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drawings/drawing2.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3.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drawings/drawing4.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theme/themeOverride9.xml" ContentType="application/vnd.openxmlformats-officedocument.themeOverride+xml"/>
  <Override PartName="/word/charts/chart30.xml" ContentType="application/vnd.openxmlformats-officedocument.drawingml.chart+xml"/>
  <Override PartName="/word/theme/themeOverride10.xml" ContentType="application/vnd.openxmlformats-officedocument.themeOverride+xml"/>
  <Override PartName="/word/charts/chart31.xml" ContentType="application/vnd.openxmlformats-officedocument.drawingml.chart+xml"/>
  <Override PartName="/word/theme/themeOverride11.xml" ContentType="application/vnd.openxmlformats-officedocument.themeOverride+xml"/>
  <Override PartName="/word/charts/chart32.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42B3" w:rsidRDefault="006542B3" w:rsidP="006542B3">
      <w:pPr>
        <w:pStyle w:val="Bezodstpw"/>
        <w:spacing w:line="216" w:lineRule="auto"/>
        <w:ind w:left="255"/>
        <w:rPr>
          <w:rFonts w:asciiTheme="majorHAnsi" w:eastAsiaTheme="majorEastAsia" w:hAnsiTheme="majorHAnsi" w:cstheme="majorBidi"/>
          <w:i/>
          <w:sz w:val="88"/>
          <w:szCs w:val="88"/>
        </w:rPr>
      </w:pPr>
    </w:p>
    <w:p w:rsidR="006542B3" w:rsidRDefault="006542B3" w:rsidP="006542B3">
      <w:pPr>
        <w:pStyle w:val="Bezodstpw"/>
        <w:spacing w:line="216" w:lineRule="auto"/>
        <w:ind w:left="255"/>
        <w:rPr>
          <w:rFonts w:asciiTheme="majorHAnsi" w:eastAsiaTheme="majorEastAsia" w:hAnsiTheme="majorHAnsi" w:cstheme="majorBidi"/>
          <w:i/>
          <w:sz w:val="88"/>
          <w:szCs w:val="88"/>
        </w:rPr>
      </w:pPr>
    </w:p>
    <w:p w:rsidR="006542B3" w:rsidRDefault="006542B3" w:rsidP="006542B3">
      <w:pPr>
        <w:pStyle w:val="Bezodstpw"/>
        <w:spacing w:line="216" w:lineRule="auto"/>
        <w:ind w:left="255"/>
        <w:rPr>
          <w:rFonts w:asciiTheme="majorHAnsi" w:eastAsiaTheme="majorEastAsia" w:hAnsiTheme="majorHAnsi" w:cstheme="majorBidi"/>
          <w:i/>
          <w:sz w:val="88"/>
          <w:szCs w:val="88"/>
        </w:rPr>
      </w:pPr>
    </w:p>
    <w:p w:rsidR="006542B3" w:rsidRDefault="006542B3" w:rsidP="006542B3">
      <w:pPr>
        <w:pStyle w:val="Bezodstpw"/>
        <w:spacing w:line="216" w:lineRule="auto"/>
        <w:ind w:left="255"/>
        <w:rPr>
          <w:rFonts w:asciiTheme="majorHAnsi" w:eastAsiaTheme="majorEastAsia" w:hAnsiTheme="majorHAnsi" w:cstheme="majorBidi"/>
          <w:i/>
          <w:sz w:val="88"/>
          <w:szCs w:val="88"/>
        </w:rPr>
      </w:pPr>
    </w:p>
    <w:p w:rsidR="006542B3" w:rsidRDefault="006542B3" w:rsidP="006542B3">
      <w:pPr>
        <w:pStyle w:val="Bezodstpw"/>
        <w:spacing w:line="216" w:lineRule="auto"/>
        <w:ind w:left="255"/>
        <w:rPr>
          <w:rFonts w:asciiTheme="majorHAnsi" w:eastAsiaTheme="majorEastAsia" w:hAnsiTheme="majorHAnsi" w:cstheme="majorBidi"/>
          <w:i/>
          <w:sz w:val="88"/>
          <w:szCs w:val="88"/>
        </w:rPr>
      </w:pPr>
      <w:r w:rsidRPr="006542B3">
        <w:rPr>
          <w:rFonts w:asciiTheme="majorHAnsi" w:eastAsiaTheme="majorEastAsia" w:hAnsiTheme="majorHAnsi" w:cstheme="majorBidi"/>
          <w:i/>
          <w:sz w:val="88"/>
          <w:szCs w:val="88"/>
        </w:rPr>
        <w:t xml:space="preserve">Diagnoza </w:t>
      </w:r>
    </w:p>
    <w:p w:rsidR="006542B3" w:rsidRDefault="006542B3" w:rsidP="006542B3">
      <w:pPr>
        <w:pStyle w:val="Bezodstpw"/>
        <w:spacing w:line="216" w:lineRule="auto"/>
        <w:ind w:left="255"/>
        <w:rPr>
          <w:rFonts w:asciiTheme="majorHAnsi" w:eastAsiaTheme="majorEastAsia" w:hAnsiTheme="majorHAnsi" w:cstheme="majorBidi"/>
          <w:i/>
          <w:sz w:val="88"/>
          <w:szCs w:val="88"/>
        </w:rPr>
      </w:pPr>
    </w:p>
    <w:p w:rsidR="006542B3" w:rsidRDefault="006542B3" w:rsidP="006542B3">
      <w:pPr>
        <w:pStyle w:val="Bezodstpw"/>
        <w:spacing w:line="216" w:lineRule="auto"/>
        <w:ind w:left="255"/>
        <w:rPr>
          <w:rFonts w:asciiTheme="majorHAnsi" w:eastAsiaTheme="majorEastAsia" w:hAnsiTheme="majorHAnsi" w:cstheme="majorBidi"/>
          <w:i/>
          <w:sz w:val="52"/>
          <w:szCs w:val="52"/>
        </w:rPr>
      </w:pPr>
      <w:r w:rsidRPr="006542B3">
        <w:rPr>
          <w:rFonts w:asciiTheme="majorHAnsi" w:eastAsiaTheme="majorEastAsia" w:hAnsiTheme="majorHAnsi" w:cstheme="majorBidi"/>
          <w:i/>
          <w:sz w:val="52"/>
          <w:szCs w:val="52"/>
        </w:rPr>
        <w:t xml:space="preserve">w obszarach objętych zakresem </w:t>
      </w:r>
    </w:p>
    <w:p w:rsidR="006542B3" w:rsidRPr="006542B3" w:rsidRDefault="006542B3" w:rsidP="006542B3">
      <w:pPr>
        <w:pStyle w:val="Bezodstpw"/>
        <w:spacing w:line="216" w:lineRule="auto"/>
        <w:ind w:left="255"/>
        <w:rPr>
          <w:rFonts w:asciiTheme="majorHAnsi" w:eastAsiaTheme="majorEastAsia" w:hAnsiTheme="majorHAnsi" w:cstheme="majorBidi"/>
          <w:i/>
          <w:sz w:val="52"/>
          <w:szCs w:val="52"/>
        </w:rPr>
      </w:pPr>
      <w:r w:rsidRPr="006542B3">
        <w:rPr>
          <w:rFonts w:asciiTheme="majorHAnsi" w:eastAsiaTheme="majorEastAsia" w:hAnsiTheme="majorHAnsi" w:cstheme="majorBidi"/>
          <w:i/>
          <w:sz w:val="52"/>
          <w:szCs w:val="52"/>
        </w:rPr>
        <w:t>Polityki ekologicznej państwa 2030</w:t>
      </w:r>
    </w:p>
    <w:p w:rsidR="006542B3" w:rsidRPr="006542B3" w:rsidRDefault="006542B3" w:rsidP="006542B3">
      <w:pPr>
        <w:rPr>
          <w:lang w:eastAsia="pl-PL"/>
        </w:rPr>
      </w:pPr>
    </w:p>
    <w:p w:rsidR="006542B3" w:rsidRPr="006542B3" w:rsidRDefault="006542B3" w:rsidP="006542B3">
      <w:pPr>
        <w:rPr>
          <w:lang w:eastAsia="pl-PL"/>
        </w:rPr>
      </w:pPr>
    </w:p>
    <w:p w:rsidR="006542B3" w:rsidRDefault="006542B3" w:rsidP="006542B3">
      <w:pPr>
        <w:rPr>
          <w:lang w:eastAsia="pl-PL"/>
        </w:rPr>
      </w:pPr>
    </w:p>
    <w:p w:rsidR="006542B3" w:rsidRDefault="006542B3" w:rsidP="006542B3">
      <w:pPr>
        <w:tabs>
          <w:tab w:val="left" w:pos="3495"/>
        </w:tabs>
        <w:rPr>
          <w:lang w:eastAsia="pl-PL"/>
        </w:rPr>
      </w:pPr>
      <w:r>
        <w:rPr>
          <w:noProof/>
          <w:lang w:eastAsia="pl-PL"/>
        </w:rPr>
        <mc:AlternateContent>
          <mc:Choice Requires="wps">
            <w:drawing>
              <wp:anchor distT="0" distB="0" distL="114300" distR="114300" simplePos="0" relativeHeight="251660288" behindDoc="0" locked="0" layoutInCell="1" allowOverlap="1">
                <wp:simplePos x="0" y="0"/>
                <wp:positionH relativeFrom="column">
                  <wp:posOffset>1395730</wp:posOffset>
                </wp:positionH>
                <wp:positionV relativeFrom="paragraph">
                  <wp:posOffset>2284095</wp:posOffset>
                </wp:positionV>
                <wp:extent cx="3019425" cy="352425"/>
                <wp:effectExtent l="0" t="0" r="0" b="0"/>
                <wp:wrapNone/>
                <wp:docPr id="2" name="Pole tekstowe 2"/>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2649" w:rsidRDefault="00812649" w:rsidP="006542B3">
                            <w:pPr>
                              <w:jc w:val="center"/>
                            </w:pPr>
                            <w:r>
                              <w:t xml:space="preserve">Warszawa,          </w:t>
                            </w:r>
                            <w:r w:rsidR="00A93945">
                              <w:t>luty</w:t>
                            </w:r>
                            <w: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margin-left:109.9pt;margin-top:179.85pt;width:237.75pt;height:27.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" filled="f" stroked="f" strokeweight=".5pt">
                <v:textbox>
                  <w:txbxContent>
                    <w:p w:rsidR="00812649" w:rsidRDefault="00812649" w:rsidP="006542B3">
                      <w:pPr>
                        <w:jc w:val="center"/>
                      </w:pPr>
                      <w:r>
                        <w:t xml:space="preserve">Warszawa,          </w:t>
                      </w:r>
                      <w:r w:rsidR="00A93945">
                        <w:t>luty</w:t>
                      </w:r>
                      <w:r>
                        <w:t xml:space="preserve"> 2018</w:t>
                      </w:r>
                    </w:p>
                  </w:txbxContent>
                </v:textbox>
              </v:shape>
            </w:pict>
          </mc:Fallback>
        </mc:AlternateContent>
      </w:r>
      <w:r>
        <w:rPr>
          <w:lang w:eastAsia="pl-PL"/>
        </w:rPr>
        <w:tab/>
      </w:r>
      <w:r>
        <w:rPr>
          <w:noProof/>
          <w:lang w:eastAsia="pl-PL"/>
        </w:rPr>
        <w:drawing>
          <wp:anchor distT="0" distB="0" distL="114300" distR="114300" simplePos="0" relativeHeight="251659264" behindDoc="0" locked="0" layoutInCell="1" allowOverlap="1" wp14:anchorId="4156E9E0" wp14:editId="3E570739">
            <wp:simplePos x="0" y="0"/>
            <wp:positionH relativeFrom="column">
              <wp:posOffset>2076450</wp:posOffset>
            </wp:positionH>
            <wp:positionV relativeFrom="paragraph">
              <wp:posOffset>1222375</wp:posOffset>
            </wp:positionV>
            <wp:extent cx="2008505" cy="695960"/>
            <wp:effectExtent l="0" t="0" r="0" b="8890"/>
            <wp:wrapSquare wrapText="bothSides"/>
            <wp:docPr id="1" name="Obraz 1" descr="http://info.mos.gov.pl/cms/g4/big/2009_06/6a401eea905e49a0fe2422d5c54c4c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http://info.mos.gov.pl/cms/g4/big/2009_06/6a401eea905e49a0fe2422d5c54c4cb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8505" cy="695960"/>
                    </a:xfrm>
                    <a:prstGeom prst="rect">
                      <a:avLst/>
                    </a:prstGeom>
                    <a:solidFill>
                      <a:srgbClr val="000000"/>
                    </a:solidFill>
                    <a:ln>
                      <a:noFill/>
                    </a:ln>
                  </pic:spPr>
                </pic:pic>
              </a:graphicData>
            </a:graphic>
          </wp:anchor>
        </w:drawing>
      </w: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Pr="006542B3" w:rsidRDefault="006542B3" w:rsidP="006542B3">
      <w:pPr>
        <w:rPr>
          <w:lang w:eastAsia="pl-PL"/>
        </w:rPr>
      </w:pPr>
    </w:p>
    <w:p w:rsidR="006542B3" w:rsidRDefault="006542B3" w:rsidP="006542B3">
      <w:pPr>
        <w:rPr>
          <w:lang w:eastAsia="pl-PL"/>
        </w:rPr>
      </w:pPr>
    </w:p>
    <w:p w:rsidR="00601DCD" w:rsidRDefault="006542B3" w:rsidP="006542B3">
      <w:pPr>
        <w:tabs>
          <w:tab w:val="left" w:pos="5295"/>
        </w:tabs>
        <w:rPr>
          <w:lang w:eastAsia="pl-PL"/>
        </w:rPr>
      </w:pPr>
      <w:r>
        <w:rPr>
          <w:lang w:eastAsia="pl-PL"/>
        </w:rPr>
        <w:tab/>
      </w:r>
    </w:p>
    <w:sdt>
      <w:sdtPr>
        <w:rPr>
          <w:rFonts w:asciiTheme="minorHAnsi" w:eastAsiaTheme="minorHAnsi" w:hAnsiTheme="minorHAnsi" w:cstheme="minorBidi"/>
          <w:b w:val="0"/>
          <w:bCs w:val="0"/>
          <w:color w:val="auto"/>
          <w:sz w:val="22"/>
          <w:szCs w:val="22"/>
          <w:lang w:eastAsia="en-US"/>
        </w:rPr>
        <w:id w:val="-243422319"/>
        <w:docPartObj>
          <w:docPartGallery w:val="Table of Contents"/>
          <w:docPartUnique/>
        </w:docPartObj>
      </w:sdtPr>
      <w:sdtEndPr/>
      <w:sdtContent>
        <w:p w:rsidR="00812649" w:rsidRDefault="00812649">
          <w:pPr>
            <w:pStyle w:val="Nagwekspisutreci"/>
          </w:pPr>
          <w:r>
            <w:t>Spis treści</w:t>
          </w:r>
        </w:p>
        <w:p w:rsidR="00812649" w:rsidRDefault="00812649">
          <w:pPr>
            <w:pStyle w:val="Spistreci1"/>
            <w:tabs>
              <w:tab w:val="left" w:pos="440"/>
              <w:tab w:val="right" w:leader="dot" w:pos="9062"/>
            </w:tabs>
            <w:rPr>
              <w:rFonts w:eastAsiaTheme="minorEastAsia"/>
              <w:noProof/>
              <w:lang w:eastAsia="pl-PL"/>
            </w:rPr>
          </w:pPr>
          <w:r>
            <w:fldChar w:fldCharType="begin"/>
          </w:r>
          <w:r>
            <w:instrText xml:space="preserve"> TOC \o "1-3" \h \z \u </w:instrText>
          </w:r>
          <w:r>
            <w:fldChar w:fldCharType="separate"/>
          </w:r>
          <w:hyperlink w:anchor="_Toc505605299" w:history="1">
            <w:r w:rsidRPr="00A93945">
              <w:rPr>
                <w:rStyle w:val="Hipercze"/>
                <w:b/>
                <w:noProof/>
              </w:rPr>
              <w:t>1.</w:t>
            </w:r>
            <w:r w:rsidRPr="00A93945">
              <w:rPr>
                <w:rFonts w:eastAsiaTheme="minorEastAsia"/>
                <w:b/>
                <w:noProof/>
                <w:lang w:eastAsia="pl-PL"/>
              </w:rPr>
              <w:tab/>
            </w:r>
            <w:r w:rsidRPr="00A93945">
              <w:rPr>
                <w:rStyle w:val="Hipercze"/>
                <w:b/>
                <w:noProof/>
              </w:rPr>
              <w:t>Wstęp</w:t>
            </w:r>
            <w:r>
              <w:rPr>
                <w:noProof/>
                <w:webHidden/>
              </w:rPr>
              <w:tab/>
            </w:r>
            <w:r>
              <w:rPr>
                <w:noProof/>
                <w:webHidden/>
              </w:rPr>
              <w:fldChar w:fldCharType="begin"/>
            </w:r>
            <w:r>
              <w:rPr>
                <w:noProof/>
                <w:webHidden/>
              </w:rPr>
              <w:instrText xml:space="preserve"> PAGEREF _Toc505605299 \h </w:instrText>
            </w:r>
            <w:r>
              <w:rPr>
                <w:noProof/>
                <w:webHidden/>
              </w:rPr>
            </w:r>
            <w:r>
              <w:rPr>
                <w:noProof/>
                <w:webHidden/>
              </w:rPr>
              <w:fldChar w:fldCharType="separate"/>
            </w:r>
            <w:r>
              <w:rPr>
                <w:noProof/>
                <w:webHidden/>
              </w:rPr>
              <w:t>4</w:t>
            </w:r>
            <w:r>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00" w:history="1">
            <w:r w:rsidR="00812649" w:rsidRPr="00A93945">
              <w:rPr>
                <w:rStyle w:val="Hipercze"/>
                <w:b/>
                <w:noProof/>
              </w:rPr>
              <w:t>2.</w:t>
            </w:r>
            <w:r w:rsidR="00812649" w:rsidRPr="00A93945">
              <w:rPr>
                <w:rStyle w:val="Hipercze"/>
                <w:b/>
              </w:rPr>
              <w:tab/>
            </w:r>
            <w:r w:rsidR="00812649" w:rsidRPr="00A93945">
              <w:rPr>
                <w:rStyle w:val="Hipercze"/>
                <w:b/>
                <w:noProof/>
              </w:rPr>
              <w:t>Zasoby wodne, w tym jakość wód</w:t>
            </w:r>
            <w:r w:rsidR="00812649">
              <w:rPr>
                <w:noProof/>
                <w:webHidden/>
              </w:rPr>
              <w:tab/>
            </w:r>
            <w:r w:rsidR="00812649">
              <w:rPr>
                <w:noProof/>
                <w:webHidden/>
              </w:rPr>
              <w:fldChar w:fldCharType="begin"/>
            </w:r>
            <w:r w:rsidR="00812649">
              <w:rPr>
                <w:noProof/>
                <w:webHidden/>
              </w:rPr>
              <w:instrText xml:space="preserve"> PAGEREF _Toc505605300 \h </w:instrText>
            </w:r>
            <w:r w:rsidR="00812649">
              <w:rPr>
                <w:noProof/>
                <w:webHidden/>
              </w:rPr>
            </w:r>
            <w:r w:rsidR="00812649">
              <w:rPr>
                <w:noProof/>
                <w:webHidden/>
              </w:rPr>
              <w:fldChar w:fldCharType="separate"/>
            </w:r>
            <w:r w:rsidR="00812649">
              <w:rPr>
                <w:noProof/>
                <w:webHidden/>
              </w:rPr>
              <w:t>4</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1" w:history="1">
            <w:r w:rsidR="00812649" w:rsidRPr="00EF0B6C">
              <w:rPr>
                <w:rStyle w:val="Hipercze"/>
                <w:noProof/>
              </w:rPr>
              <w:t>Zasoby wodne Polski</w:t>
            </w:r>
            <w:r w:rsidR="00812649">
              <w:rPr>
                <w:noProof/>
                <w:webHidden/>
              </w:rPr>
              <w:tab/>
            </w:r>
            <w:r w:rsidR="00812649">
              <w:rPr>
                <w:noProof/>
                <w:webHidden/>
              </w:rPr>
              <w:fldChar w:fldCharType="begin"/>
            </w:r>
            <w:r w:rsidR="00812649">
              <w:rPr>
                <w:noProof/>
                <w:webHidden/>
              </w:rPr>
              <w:instrText xml:space="preserve"> PAGEREF _Toc505605301 \h </w:instrText>
            </w:r>
            <w:r w:rsidR="00812649">
              <w:rPr>
                <w:noProof/>
                <w:webHidden/>
              </w:rPr>
            </w:r>
            <w:r w:rsidR="00812649">
              <w:rPr>
                <w:noProof/>
                <w:webHidden/>
              </w:rPr>
              <w:fldChar w:fldCharType="separate"/>
            </w:r>
            <w:r w:rsidR="00812649">
              <w:rPr>
                <w:noProof/>
                <w:webHidden/>
              </w:rPr>
              <w:t>4</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2" w:history="1">
            <w:r w:rsidR="00812649" w:rsidRPr="00EF0B6C">
              <w:rPr>
                <w:rStyle w:val="Hipercze"/>
                <w:noProof/>
              </w:rPr>
              <w:t>Stan wód rzecznych (w tym zbiorników zaporowych)</w:t>
            </w:r>
            <w:r w:rsidR="00812649">
              <w:rPr>
                <w:noProof/>
                <w:webHidden/>
              </w:rPr>
              <w:tab/>
            </w:r>
            <w:r w:rsidR="00812649">
              <w:rPr>
                <w:noProof/>
                <w:webHidden/>
              </w:rPr>
              <w:fldChar w:fldCharType="begin"/>
            </w:r>
            <w:r w:rsidR="00812649">
              <w:rPr>
                <w:noProof/>
                <w:webHidden/>
              </w:rPr>
              <w:instrText xml:space="preserve"> PAGEREF _Toc505605302 \h </w:instrText>
            </w:r>
            <w:r w:rsidR="00812649">
              <w:rPr>
                <w:noProof/>
                <w:webHidden/>
              </w:rPr>
            </w:r>
            <w:r w:rsidR="00812649">
              <w:rPr>
                <w:noProof/>
                <w:webHidden/>
              </w:rPr>
              <w:fldChar w:fldCharType="separate"/>
            </w:r>
            <w:r w:rsidR="00812649">
              <w:rPr>
                <w:noProof/>
                <w:webHidden/>
              </w:rPr>
              <w:t>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3" w:history="1">
            <w:r w:rsidR="00812649" w:rsidRPr="00EF0B6C">
              <w:rPr>
                <w:rStyle w:val="Hipercze"/>
                <w:noProof/>
              </w:rPr>
              <w:t>Stan jezior</w:t>
            </w:r>
            <w:r w:rsidR="00812649">
              <w:rPr>
                <w:noProof/>
                <w:webHidden/>
              </w:rPr>
              <w:tab/>
            </w:r>
            <w:r w:rsidR="00812649">
              <w:rPr>
                <w:noProof/>
                <w:webHidden/>
              </w:rPr>
              <w:fldChar w:fldCharType="begin"/>
            </w:r>
            <w:r w:rsidR="00812649">
              <w:rPr>
                <w:noProof/>
                <w:webHidden/>
              </w:rPr>
              <w:instrText xml:space="preserve"> PAGEREF _Toc505605303 \h </w:instrText>
            </w:r>
            <w:r w:rsidR="00812649">
              <w:rPr>
                <w:noProof/>
                <w:webHidden/>
              </w:rPr>
            </w:r>
            <w:r w:rsidR="00812649">
              <w:rPr>
                <w:noProof/>
                <w:webHidden/>
              </w:rPr>
              <w:fldChar w:fldCharType="separate"/>
            </w:r>
            <w:r w:rsidR="00812649">
              <w:rPr>
                <w:noProof/>
                <w:webHidden/>
              </w:rPr>
              <w:t>11</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4" w:history="1">
            <w:r w:rsidR="00812649" w:rsidRPr="00EF0B6C">
              <w:rPr>
                <w:rStyle w:val="Hipercze"/>
                <w:noProof/>
              </w:rPr>
              <w:t>Trendy zmian stężeń wybranych zanieczyszczeń badanych w osadach rzek i jezior Polski</w:t>
            </w:r>
            <w:r w:rsidR="00812649">
              <w:rPr>
                <w:noProof/>
                <w:webHidden/>
              </w:rPr>
              <w:tab/>
            </w:r>
            <w:r w:rsidR="00812649">
              <w:rPr>
                <w:noProof/>
                <w:webHidden/>
              </w:rPr>
              <w:fldChar w:fldCharType="begin"/>
            </w:r>
            <w:r w:rsidR="00812649">
              <w:rPr>
                <w:noProof/>
                <w:webHidden/>
              </w:rPr>
              <w:instrText xml:space="preserve"> PAGEREF _Toc505605304 \h </w:instrText>
            </w:r>
            <w:r w:rsidR="00812649">
              <w:rPr>
                <w:noProof/>
                <w:webHidden/>
              </w:rPr>
            </w:r>
            <w:r w:rsidR="00812649">
              <w:rPr>
                <w:noProof/>
                <w:webHidden/>
              </w:rPr>
              <w:fldChar w:fldCharType="separate"/>
            </w:r>
            <w:r w:rsidR="00812649">
              <w:rPr>
                <w:noProof/>
                <w:webHidden/>
              </w:rPr>
              <w:t>15</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5" w:history="1">
            <w:r w:rsidR="00812649" w:rsidRPr="00EF0B6C">
              <w:rPr>
                <w:rStyle w:val="Hipercze"/>
                <w:noProof/>
              </w:rPr>
              <w:t>Wody przejściowe i przybrzeżne</w:t>
            </w:r>
            <w:r w:rsidR="00812649">
              <w:rPr>
                <w:noProof/>
                <w:webHidden/>
              </w:rPr>
              <w:tab/>
            </w:r>
            <w:r w:rsidR="00812649">
              <w:rPr>
                <w:noProof/>
                <w:webHidden/>
              </w:rPr>
              <w:fldChar w:fldCharType="begin"/>
            </w:r>
            <w:r w:rsidR="00812649">
              <w:rPr>
                <w:noProof/>
                <w:webHidden/>
              </w:rPr>
              <w:instrText xml:space="preserve"> PAGEREF _Toc505605305 \h </w:instrText>
            </w:r>
            <w:r w:rsidR="00812649">
              <w:rPr>
                <w:noProof/>
                <w:webHidden/>
              </w:rPr>
            </w:r>
            <w:r w:rsidR="00812649">
              <w:rPr>
                <w:noProof/>
                <w:webHidden/>
              </w:rPr>
              <w:fldChar w:fldCharType="separate"/>
            </w:r>
            <w:r w:rsidR="00812649">
              <w:rPr>
                <w:noProof/>
                <w:webHidden/>
              </w:rPr>
              <w:t>17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6" w:history="1">
            <w:r w:rsidR="00812649" w:rsidRPr="00EF0B6C">
              <w:rPr>
                <w:rStyle w:val="Hipercze"/>
                <w:noProof/>
              </w:rPr>
              <w:t>Morze Bałtyckie</w:t>
            </w:r>
            <w:r w:rsidR="00812649">
              <w:rPr>
                <w:noProof/>
                <w:webHidden/>
              </w:rPr>
              <w:tab/>
            </w:r>
            <w:r w:rsidR="00812649">
              <w:rPr>
                <w:noProof/>
                <w:webHidden/>
              </w:rPr>
              <w:fldChar w:fldCharType="begin"/>
            </w:r>
            <w:r w:rsidR="00812649">
              <w:rPr>
                <w:noProof/>
                <w:webHidden/>
              </w:rPr>
              <w:instrText xml:space="preserve"> PAGEREF _Toc505605306 \h </w:instrText>
            </w:r>
            <w:r w:rsidR="00812649">
              <w:rPr>
                <w:noProof/>
                <w:webHidden/>
              </w:rPr>
            </w:r>
            <w:r w:rsidR="00812649">
              <w:rPr>
                <w:noProof/>
                <w:webHidden/>
              </w:rPr>
              <w:fldChar w:fldCharType="separate"/>
            </w:r>
            <w:r w:rsidR="00812649">
              <w:rPr>
                <w:noProof/>
                <w:webHidden/>
              </w:rPr>
              <w:t>19</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7" w:history="1">
            <w:r w:rsidR="00812649" w:rsidRPr="00EF0B6C">
              <w:rPr>
                <w:rStyle w:val="Hipercze"/>
                <w:noProof/>
              </w:rPr>
              <w:t>Wody podziemne</w:t>
            </w:r>
            <w:r w:rsidR="00812649">
              <w:rPr>
                <w:noProof/>
                <w:webHidden/>
              </w:rPr>
              <w:tab/>
            </w:r>
            <w:r w:rsidR="00812649">
              <w:rPr>
                <w:noProof/>
                <w:webHidden/>
              </w:rPr>
              <w:fldChar w:fldCharType="begin"/>
            </w:r>
            <w:r w:rsidR="00812649">
              <w:rPr>
                <w:noProof/>
                <w:webHidden/>
              </w:rPr>
              <w:instrText xml:space="preserve"> PAGEREF _Toc505605307 \h </w:instrText>
            </w:r>
            <w:r w:rsidR="00812649">
              <w:rPr>
                <w:noProof/>
                <w:webHidden/>
              </w:rPr>
            </w:r>
            <w:r w:rsidR="00812649">
              <w:rPr>
                <w:noProof/>
                <w:webHidden/>
              </w:rPr>
              <w:fldChar w:fldCharType="separate"/>
            </w:r>
            <w:r w:rsidR="00812649">
              <w:rPr>
                <w:noProof/>
                <w:webHidden/>
              </w:rPr>
              <w:t>21</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08" w:history="1">
            <w:r w:rsidR="00812649" w:rsidRPr="00EF0B6C">
              <w:rPr>
                <w:rStyle w:val="Hipercze"/>
                <w:noProof/>
              </w:rPr>
              <w:t>Podsumowanie</w:t>
            </w:r>
            <w:r w:rsidR="00812649">
              <w:rPr>
                <w:noProof/>
                <w:webHidden/>
              </w:rPr>
              <w:tab/>
            </w:r>
            <w:r w:rsidR="00812649">
              <w:rPr>
                <w:noProof/>
                <w:webHidden/>
              </w:rPr>
              <w:fldChar w:fldCharType="begin"/>
            </w:r>
            <w:r w:rsidR="00812649">
              <w:rPr>
                <w:noProof/>
                <w:webHidden/>
              </w:rPr>
              <w:instrText xml:space="preserve"> PAGEREF _Toc505605308 \h </w:instrText>
            </w:r>
            <w:r w:rsidR="00812649">
              <w:rPr>
                <w:noProof/>
                <w:webHidden/>
              </w:rPr>
            </w:r>
            <w:r w:rsidR="00812649">
              <w:rPr>
                <w:noProof/>
                <w:webHidden/>
              </w:rPr>
              <w:fldChar w:fldCharType="separate"/>
            </w:r>
            <w:r w:rsidR="00812649">
              <w:rPr>
                <w:noProof/>
                <w:webHidden/>
              </w:rPr>
              <w:t>24</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09" w:history="1">
            <w:r w:rsidR="00812649" w:rsidRPr="00A93945">
              <w:rPr>
                <w:rStyle w:val="Hipercze"/>
                <w:b/>
                <w:noProof/>
              </w:rPr>
              <w:t>3.</w:t>
            </w:r>
            <w:r w:rsidR="00812649" w:rsidRPr="00A93945">
              <w:rPr>
                <w:rStyle w:val="Hipercze"/>
                <w:b/>
              </w:rPr>
              <w:tab/>
            </w:r>
            <w:r w:rsidR="00812649" w:rsidRPr="00A93945">
              <w:rPr>
                <w:rStyle w:val="Hipercze"/>
                <w:b/>
                <w:noProof/>
              </w:rPr>
              <w:t>Powietrze</w:t>
            </w:r>
            <w:r w:rsidR="00812649">
              <w:rPr>
                <w:noProof/>
                <w:webHidden/>
              </w:rPr>
              <w:tab/>
            </w:r>
            <w:r w:rsidR="00812649">
              <w:rPr>
                <w:noProof/>
                <w:webHidden/>
              </w:rPr>
              <w:fldChar w:fldCharType="begin"/>
            </w:r>
            <w:r w:rsidR="00812649">
              <w:rPr>
                <w:noProof/>
                <w:webHidden/>
              </w:rPr>
              <w:instrText xml:space="preserve"> PAGEREF _Toc505605309 \h </w:instrText>
            </w:r>
            <w:r w:rsidR="00812649">
              <w:rPr>
                <w:noProof/>
                <w:webHidden/>
              </w:rPr>
            </w:r>
            <w:r w:rsidR="00812649">
              <w:rPr>
                <w:noProof/>
                <w:webHidden/>
              </w:rPr>
              <w:fldChar w:fldCharType="separate"/>
            </w:r>
            <w:r w:rsidR="00812649">
              <w:rPr>
                <w:noProof/>
                <w:webHidden/>
              </w:rPr>
              <w:t>27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0" w:history="1">
            <w:r w:rsidR="00812649" w:rsidRPr="00EF0B6C">
              <w:rPr>
                <w:rStyle w:val="Hipercze"/>
                <w:noProof/>
              </w:rPr>
              <w:t>Pył zawieszony</w:t>
            </w:r>
            <w:r w:rsidR="00812649">
              <w:rPr>
                <w:noProof/>
                <w:webHidden/>
              </w:rPr>
              <w:tab/>
            </w:r>
            <w:r w:rsidR="00812649">
              <w:rPr>
                <w:noProof/>
                <w:webHidden/>
              </w:rPr>
              <w:fldChar w:fldCharType="begin"/>
            </w:r>
            <w:r w:rsidR="00812649">
              <w:rPr>
                <w:noProof/>
                <w:webHidden/>
              </w:rPr>
              <w:instrText xml:space="preserve"> PAGEREF _Toc505605310 \h </w:instrText>
            </w:r>
            <w:r w:rsidR="00812649">
              <w:rPr>
                <w:noProof/>
                <w:webHidden/>
              </w:rPr>
            </w:r>
            <w:r w:rsidR="00812649">
              <w:rPr>
                <w:noProof/>
                <w:webHidden/>
              </w:rPr>
              <w:fldChar w:fldCharType="separate"/>
            </w:r>
            <w:r w:rsidR="00812649">
              <w:rPr>
                <w:noProof/>
                <w:webHidden/>
              </w:rPr>
              <w:t>31</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1" w:history="1">
            <w:r w:rsidR="00812649" w:rsidRPr="00EF0B6C">
              <w:rPr>
                <w:rStyle w:val="Hipercze"/>
                <w:noProof/>
              </w:rPr>
              <w:t>Ozon</w:t>
            </w:r>
            <w:r w:rsidR="00812649">
              <w:rPr>
                <w:noProof/>
                <w:webHidden/>
              </w:rPr>
              <w:tab/>
            </w:r>
            <w:r w:rsidR="00812649">
              <w:rPr>
                <w:noProof/>
                <w:webHidden/>
              </w:rPr>
              <w:fldChar w:fldCharType="begin"/>
            </w:r>
            <w:r w:rsidR="00812649">
              <w:rPr>
                <w:noProof/>
                <w:webHidden/>
              </w:rPr>
              <w:instrText xml:space="preserve"> PAGEREF _Toc505605311 \h </w:instrText>
            </w:r>
            <w:r w:rsidR="00812649">
              <w:rPr>
                <w:noProof/>
                <w:webHidden/>
              </w:rPr>
            </w:r>
            <w:r w:rsidR="00812649">
              <w:rPr>
                <w:noProof/>
                <w:webHidden/>
              </w:rPr>
              <w:fldChar w:fldCharType="separate"/>
            </w:r>
            <w:r w:rsidR="00812649">
              <w:rPr>
                <w:noProof/>
                <w:webHidden/>
              </w:rPr>
              <w:t>39</w:t>
            </w:r>
            <w:r w:rsidR="00812649">
              <w:rPr>
                <w:noProof/>
                <w:webHidden/>
              </w:rPr>
              <w:fldChar w:fldCharType="end"/>
            </w:r>
          </w:hyperlink>
        </w:p>
        <w:p w:rsidR="00812649" w:rsidRPr="00A93945" w:rsidRDefault="00FD04E5">
          <w:pPr>
            <w:pStyle w:val="Spistreci1"/>
            <w:tabs>
              <w:tab w:val="left" w:pos="440"/>
              <w:tab w:val="right" w:leader="dot" w:pos="9062"/>
            </w:tabs>
            <w:rPr>
              <w:rStyle w:val="Hipercze"/>
              <w:b/>
            </w:rPr>
          </w:pPr>
          <w:hyperlink w:anchor="_Toc505605312" w:history="1">
            <w:r w:rsidR="00812649" w:rsidRPr="00A93945">
              <w:rPr>
                <w:rStyle w:val="Hipercze"/>
                <w:b/>
                <w:noProof/>
              </w:rPr>
              <w:t>4.</w:t>
            </w:r>
            <w:r w:rsidR="00812649" w:rsidRPr="00A93945">
              <w:rPr>
                <w:rStyle w:val="Hipercze"/>
                <w:b/>
              </w:rPr>
              <w:tab/>
            </w:r>
            <w:r w:rsidR="00812649" w:rsidRPr="00A93945">
              <w:rPr>
                <w:rStyle w:val="Hipercze"/>
                <w:b/>
                <w:noProof/>
              </w:rPr>
              <w:t>Przeciwdziałanie skutkom zmian klimatu – działania mitygacyjne i adaptacyjne</w:t>
            </w:r>
            <w:r w:rsidR="00812649" w:rsidRPr="00A93945">
              <w:rPr>
                <w:rStyle w:val="Hipercze"/>
                <w:b/>
                <w:webHidden/>
              </w:rPr>
              <w:tab/>
            </w:r>
            <w:r w:rsidR="00812649" w:rsidRPr="00A93945">
              <w:rPr>
                <w:rStyle w:val="Hipercze"/>
                <w:b/>
                <w:webHidden/>
              </w:rPr>
              <w:fldChar w:fldCharType="begin"/>
            </w:r>
            <w:r w:rsidR="00812649" w:rsidRPr="00A93945">
              <w:rPr>
                <w:rStyle w:val="Hipercze"/>
                <w:b/>
                <w:webHidden/>
              </w:rPr>
              <w:instrText xml:space="preserve"> PAGEREF _Toc505605312 \h </w:instrText>
            </w:r>
            <w:r w:rsidR="00812649" w:rsidRPr="00A93945">
              <w:rPr>
                <w:rStyle w:val="Hipercze"/>
                <w:b/>
                <w:webHidden/>
              </w:rPr>
            </w:r>
            <w:r w:rsidR="00812649" w:rsidRPr="00A93945">
              <w:rPr>
                <w:rStyle w:val="Hipercze"/>
                <w:b/>
                <w:webHidden/>
              </w:rPr>
              <w:fldChar w:fldCharType="separate"/>
            </w:r>
            <w:r w:rsidR="00812649" w:rsidRPr="00A93945">
              <w:rPr>
                <w:rStyle w:val="Hipercze"/>
                <w:b/>
                <w:webHidden/>
              </w:rPr>
              <w:t>43</w:t>
            </w:r>
            <w:r w:rsidR="00812649" w:rsidRPr="00A93945">
              <w:rPr>
                <w:rStyle w:val="Hipercze"/>
                <w:b/>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3" w:history="1">
            <w:r w:rsidR="00812649" w:rsidRPr="00EF0B6C">
              <w:rPr>
                <w:rStyle w:val="Hipercze"/>
                <w:noProof/>
              </w:rPr>
              <w:t>Działania mitygacyjne</w:t>
            </w:r>
            <w:r w:rsidR="00812649">
              <w:rPr>
                <w:noProof/>
                <w:webHidden/>
              </w:rPr>
              <w:tab/>
            </w:r>
            <w:r w:rsidR="00812649">
              <w:rPr>
                <w:noProof/>
                <w:webHidden/>
              </w:rPr>
              <w:fldChar w:fldCharType="begin"/>
            </w:r>
            <w:r w:rsidR="00812649">
              <w:rPr>
                <w:noProof/>
                <w:webHidden/>
              </w:rPr>
              <w:instrText xml:space="preserve"> PAGEREF _Toc505605313 \h </w:instrText>
            </w:r>
            <w:r w:rsidR="00812649">
              <w:rPr>
                <w:noProof/>
                <w:webHidden/>
              </w:rPr>
            </w:r>
            <w:r w:rsidR="00812649">
              <w:rPr>
                <w:noProof/>
                <w:webHidden/>
              </w:rPr>
              <w:fldChar w:fldCharType="separate"/>
            </w:r>
            <w:r w:rsidR="00812649">
              <w:rPr>
                <w:noProof/>
                <w:webHidden/>
              </w:rPr>
              <w:t>44</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4" w:history="1">
            <w:r w:rsidR="00812649" w:rsidRPr="00EF0B6C">
              <w:rPr>
                <w:rStyle w:val="Hipercze"/>
                <w:noProof/>
              </w:rPr>
              <w:t>Zmiany klimatu i ich skutki</w:t>
            </w:r>
            <w:r w:rsidR="00812649">
              <w:rPr>
                <w:noProof/>
                <w:webHidden/>
              </w:rPr>
              <w:tab/>
            </w:r>
            <w:r w:rsidR="00812649">
              <w:rPr>
                <w:noProof/>
                <w:webHidden/>
              </w:rPr>
              <w:fldChar w:fldCharType="begin"/>
            </w:r>
            <w:r w:rsidR="00812649">
              <w:rPr>
                <w:noProof/>
                <w:webHidden/>
              </w:rPr>
              <w:instrText xml:space="preserve"> PAGEREF _Toc505605314 \h </w:instrText>
            </w:r>
            <w:r w:rsidR="00812649">
              <w:rPr>
                <w:noProof/>
                <w:webHidden/>
              </w:rPr>
            </w:r>
            <w:r w:rsidR="00812649">
              <w:rPr>
                <w:noProof/>
                <w:webHidden/>
              </w:rPr>
              <w:fldChar w:fldCharType="separate"/>
            </w:r>
            <w:r w:rsidR="00812649">
              <w:rPr>
                <w:noProof/>
                <w:webHidden/>
              </w:rPr>
              <w:t>49</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5" w:history="1">
            <w:r w:rsidR="00812649" w:rsidRPr="00EF0B6C">
              <w:rPr>
                <w:rStyle w:val="Hipercze"/>
                <w:noProof/>
              </w:rPr>
              <w:t>Działania adaptacyjne</w:t>
            </w:r>
            <w:r w:rsidR="00812649">
              <w:rPr>
                <w:noProof/>
                <w:webHidden/>
              </w:rPr>
              <w:tab/>
            </w:r>
            <w:r w:rsidR="00812649">
              <w:rPr>
                <w:noProof/>
                <w:webHidden/>
              </w:rPr>
              <w:fldChar w:fldCharType="begin"/>
            </w:r>
            <w:r w:rsidR="00812649">
              <w:rPr>
                <w:noProof/>
                <w:webHidden/>
              </w:rPr>
              <w:instrText xml:space="preserve"> PAGEREF _Toc505605315 \h </w:instrText>
            </w:r>
            <w:r w:rsidR="00812649">
              <w:rPr>
                <w:noProof/>
                <w:webHidden/>
              </w:rPr>
            </w:r>
            <w:r w:rsidR="00812649">
              <w:rPr>
                <w:noProof/>
                <w:webHidden/>
              </w:rPr>
              <w:fldChar w:fldCharType="separate"/>
            </w:r>
            <w:r w:rsidR="00812649">
              <w:rPr>
                <w:noProof/>
                <w:webHidden/>
              </w:rPr>
              <w:t>56</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16" w:history="1">
            <w:r w:rsidR="00812649" w:rsidRPr="00A93945">
              <w:rPr>
                <w:rStyle w:val="Hipercze"/>
                <w:b/>
                <w:noProof/>
              </w:rPr>
              <w:t>5.</w:t>
            </w:r>
            <w:r w:rsidR="00812649" w:rsidRPr="00A93945">
              <w:rPr>
                <w:rStyle w:val="Hipercze"/>
                <w:b/>
              </w:rPr>
              <w:tab/>
            </w:r>
            <w:r w:rsidR="00812649" w:rsidRPr="00A93945">
              <w:rPr>
                <w:rStyle w:val="Hipercze"/>
                <w:b/>
                <w:noProof/>
              </w:rPr>
              <w:t>Zagrożenia środowiska</w:t>
            </w:r>
            <w:r w:rsidR="00812649">
              <w:rPr>
                <w:noProof/>
                <w:webHidden/>
              </w:rPr>
              <w:tab/>
            </w:r>
            <w:r w:rsidR="00812649">
              <w:rPr>
                <w:noProof/>
                <w:webHidden/>
              </w:rPr>
              <w:fldChar w:fldCharType="begin"/>
            </w:r>
            <w:r w:rsidR="00812649">
              <w:rPr>
                <w:noProof/>
                <w:webHidden/>
              </w:rPr>
              <w:instrText xml:space="preserve"> PAGEREF _Toc505605316 \h </w:instrText>
            </w:r>
            <w:r w:rsidR="00812649">
              <w:rPr>
                <w:noProof/>
                <w:webHidden/>
              </w:rPr>
            </w:r>
            <w:r w:rsidR="00812649">
              <w:rPr>
                <w:noProof/>
                <w:webHidden/>
              </w:rPr>
              <w:fldChar w:fldCharType="separate"/>
            </w:r>
            <w:r w:rsidR="00812649">
              <w:rPr>
                <w:noProof/>
                <w:webHidden/>
              </w:rPr>
              <w:t>57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7" w:history="1">
            <w:r w:rsidR="00812649" w:rsidRPr="00EF0B6C">
              <w:rPr>
                <w:rStyle w:val="Hipercze"/>
                <w:noProof/>
              </w:rPr>
              <w:t>Bezpieczeństwo biologiczne, w tym organizmy genetycznie zmodyfikowane</w:t>
            </w:r>
            <w:r w:rsidR="00812649">
              <w:rPr>
                <w:noProof/>
                <w:webHidden/>
              </w:rPr>
              <w:tab/>
            </w:r>
            <w:r w:rsidR="00812649">
              <w:rPr>
                <w:noProof/>
                <w:webHidden/>
              </w:rPr>
              <w:fldChar w:fldCharType="begin"/>
            </w:r>
            <w:r w:rsidR="00812649">
              <w:rPr>
                <w:noProof/>
                <w:webHidden/>
              </w:rPr>
              <w:instrText xml:space="preserve"> PAGEREF _Toc505605317 \h </w:instrText>
            </w:r>
            <w:r w:rsidR="00812649">
              <w:rPr>
                <w:noProof/>
                <w:webHidden/>
              </w:rPr>
            </w:r>
            <w:r w:rsidR="00812649">
              <w:rPr>
                <w:noProof/>
                <w:webHidden/>
              </w:rPr>
              <w:fldChar w:fldCharType="separate"/>
            </w:r>
            <w:r w:rsidR="00812649">
              <w:rPr>
                <w:noProof/>
                <w:webHidden/>
              </w:rPr>
              <w:t>57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8" w:history="1">
            <w:r w:rsidR="00812649" w:rsidRPr="00EF0B6C">
              <w:rPr>
                <w:rStyle w:val="Hipercze"/>
                <w:noProof/>
              </w:rPr>
              <w:t>Klimat akustyczny</w:t>
            </w:r>
            <w:r w:rsidR="00812649">
              <w:rPr>
                <w:noProof/>
                <w:webHidden/>
              </w:rPr>
              <w:tab/>
            </w:r>
            <w:r w:rsidR="00812649">
              <w:rPr>
                <w:noProof/>
                <w:webHidden/>
              </w:rPr>
              <w:fldChar w:fldCharType="begin"/>
            </w:r>
            <w:r w:rsidR="00812649">
              <w:rPr>
                <w:noProof/>
                <w:webHidden/>
              </w:rPr>
              <w:instrText xml:space="preserve"> PAGEREF _Toc505605318 \h </w:instrText>
            </w:r>
            <w:r w:rsidR="00812649">
              <w:rPr>
                <w:noProof/>
                <w:webHidden/>
              </w:rPr>
            </w:r>
            <w:r w:rsidR="00812649">
              <w:rPr>
                <w:noProof/>
                <w:webHidden/>
              </w:rPr>
              <w:fldChar w:fldCharType="separate"/>
            </w:r>
            <w:r w:rsidR="00812649">
              <w:rPr>
                <w:noProof/>
                <w:webHidden/>
              </w:rPr>
              <w:t>58</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19" w:history="1">
            <w:r w:rsidR="00812649" w:rsidRPr="00EF0B6C">
              <w:rPr>
                <w:rStyle w:val="Hipercze"/>
                <w:noProof/>
              </w:rPr>
              <w:t>Pola elektromagnetyczne</w:t>
            </w:r>
            <w:r w:rsidR="00812649">
              <w:rPr>
                <w:noProof/>
                <w:webHidden/>
              </w:rPr>
              <w:tab/>
            </w:r>
            <w:r w:rsidR="00812649">
              <w:rPr>
                <w:noProof/>
                <w:webHidden/>
              </w:rPr>
              <w:fldChar w:fldCharType="begin"/>
            </w:r>
            <w:r w:rsidR="00812649">
              <w:rPr>
                <w:noProof/>
                <w:webHidden/>
              </w:rPr>
              <w:instrText xml:space="preserve"> PAGEREF _Toc505605319 \h </w:instrText>
            </w:r>
            <w:r w:rsidR="00812649">
              <w:rPr>
                <w:noProof/>
                <w:webHidden/>
              </w:rPr>
            </w:r>
            <w:r w:rsidR="00812649">
              <w:rPr>
                <w:noProof/>
                <w:webHidden/>
              </w:rPr>
              <w:fldChar w:fldCharType="separate"/>
            </w:r>
            <w:r w:rsidR="00812649">
              <w:rPr>
                <w:noProof/>
                <w:webHidden/>
              </w:rPr>
              <w:t>64</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0" w:history="1">
            <w:r w:rsidR="00812649" w:rsidRPr="00EF0B6C">
              <w:rPr>
                <w:rStyle w:val="Hipercze"/>
                <w:noProof/>
              </w:rPr>
              <w:t>Promieniowanie jonizujące</w:t>
            </w:r>
            <w:r w:rsidR="00812649">
              <w:rPr>
                <w:noProof/>
                <w:webHidden/>
              </w:rPr>
              <w:tab/>
            </w:r>
            <w:r w:rsidR="00812649">
              <w:rPr>
                <w:noProof/>
                <w:webHidden/>
              </w:rPr>
              <w:fldChar w:fldCharType="begin"/>
            </w:r>
            <w:r w:rsidR="00812649">
              <w:rPr>
                <w:noProof/>
                <w:webHidden/>
              </w:rPr>
              <w:instrText xml:space="preserve"> PAGEREF _Toc505605320 \h </w:instrText>
            </w:r>
            <w:r w:rsidR="00812649">
              <w:rPr>
                <w:noProof/>
                <w:webHidden/>
              </w:rPr>
            </w:r>
            <w:r w:rsidR="00812649">
              <w:rPr>
                <w:noProof/>
                <w:webHidden/>
              </w:rPr>
              <w:fldChar w:fldCharType="separate"/>
            </w:r>
            <w:r w:rsidR="00812649">
              <w:rPr>
                <w:noProof/>
                <w:webHidden/>
              </w:rPr>
              <w:t>66</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21" w:history="1">
            <w:r w:rsidR="00812649" w:rsidRPr="00A93945">
              <w:rPr>
                <w:rStyle w:val="Hipercze"/>
                <w:b/>
                <w:noProof/>
              </w:rPr>
              <w:t>6.</w:t>
            </w:r>
            <w:r w:rsidR="00812649" w:rsidRPr="00A93945">
              <w:rPr>
                <w:rStyle w:val="Hipercze"/>
                <w:b/>
              </w:rPr>
              <w:tab/>
            </w:r>
            <w:r w:rsidR="00812649" w:rsidRPr="00A93945">
              <w:rPr>
                <w:rStyle w:val="Hipercze"/>
                <w:b/>
                <w:noProof/>
              </w:rPr>
              <w:t>Powierzchnia ziemi w tym gleb</w:t>
            </w:r>
            <w:r w:rsidR="00812649">
              <w:rPr>
                <w:noProof/>
                <w:webHidden/>
              </w:rPr>
              <w:tab/>
            </w:r>
            <w:r w:rsidR="00812649">
              <w:rPr>
                <w:noProof/>
                <w:webHidden/>
              </w:rPr>
              <w:fldChar w:fldCharType="begin"/>
            </w:r>
            <w:r w:rsidR="00812649">
              <w:rPr>
                <w:noProof/>
                <w:webHidden/>
              </w:rPr>
              <w:instrText xml:space="preserve"> PAGEREF _Toc505605321 \h </w:instrText>
            </w:r>
            <w:r w:rsidR="00812649">
              <w:rPr>
                <w:noProof/>
                <w:webHidden/>
              </w:rPr>
            </w:r>
            <w:r w:rsidR="00812649">
              <w:rPr>
                <w:noProof/>
                <w:webHidden/>
              </w:rPr>
              <w:fldChar w:fldCharType="separate"/>
            </w:r>
            <w:r w:rsidR="00812649">
              <w:rPr>
                <w:noProof/>
                <w:webHidden/>
              </w:rPr>
              <w:t>69</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22" w:history="1">
            <w:r w:rsidR="00812649" w:rsidRPr="00A93945">
              <w:rPr>
                <w:rStyle w:val="Hipercze"/>
                <w:b/>
                <w:noProof/>
              </w:rPr>
              <w:t>7.</w:t>
            </w:r>
            <w:r w:rsidR="00812649" w:rsidRPr="00A93945">
              <w:rPr>
                <w:rStyle w:val="Hipercze"/>
                <w:b/>
              </w:rPr>
              <w:tab/>
            </w:r>
            <w:r w:rsidR="00812649" w:rsidRPr="00A93945">
              <w:rPr>
                <w:rStyle w:val="Hipercze"/>
                <w:b/>
                <w:noProof/>
              </w:rPr>
              <w:t>Zasoby geologiczne</w:t>
            </w:r>
            <w:r w:rsidR="00812649">
              <w:rPr>
                <w:noProof/>
                <w:webHidden/>
              </w:rPr>
              <w:tab/>
            </w:r>
            <w:r w:rsidR="00812649">
              <w:rPr>
                <w:noProof/>
                <w:webHidden/>
              </w:rPr>
              <w:fldChar w:fldCharType="begin"/>
            </w:r>
            <w:r w:rsidR="00812649">
              <w:rPr>
                <w:noProof/>
                <w:webHidden/>
              </w:rPr>
              <w:instrText xml:space="preserve"> PAGEREF _Toc505605322 \h </w:instrText>
            </w:r>
            <w:r w:rsidR="00812649">
              <w:rPr>
                <w:noProof/>
                <w:webHidden/>
              </w:rPr>
            </w:r>
            <w:r w:rsidR="00812649">
              <w:rPr>
                <w:noProof/>
                <w:webHidden/>
              </w:rPr>
              <w:fldChar w:fldCharType="separate"/>
            </w:r>
            <w:r w:rsidR="00812649">
              <w:rPr>
                <w:noProof/>
                <w:webHidden/>
              </w:rPr>
              <w:t>75</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23" w:history="1">
            <w:r w:rsidR="00812649" w:rsidRPr="00A93945">
              <w:rPr>
                <w:rStyle w:val="Hipercze"/>
                <w:b/>
                <w:noProof/>
              </w:rPr>
              <w:t>8.</w:t>
            </w:r>
            <w:r w:rsidR="00812649" w:rsidRPr="00A93945">
              <w:rPr>
                <w:rStyle w:val="Hipercze"/>
                <w:b/>
              </w:rPr>
              <w:tab/>
            </w:r>
            <w:r w:rsidR="00812649" w:rsidRPr="00A93945">
              <w:rPr>
                <w:rStyle w:val="Hipercze"/>
                <w:b/>
                <w:noProof/>
              </w:rPr>
              <w:t>Zasoby przyrodnicze</w:t>
            </w:r>
            <w:r w:rsidR="00812649">
              <w:rPr>
                <w:noProof/>
                <w:webHidden/>
              </w:rPr>
              <w:tab/>
            </w:r>
            <w:r w:rsidR="00812649">
              <w:rPr>
                <w:noProof/>
                <w:webHidden/>
              </w:rPr>
              <w:fldChar w:fldCharType="begin"/>
            </w:r>
            <w:r w:rsidR="00812649">
              <w:rPr>
                <w:noProof/>
                <w:webHidden/>
              </w:rPr>
              <w:instrText xml:space="preserve"> PAGEREF _Toc505605323 \h </w:instrText>
            </w:r>
            <w:r w:rsidR="00812649">
              <w:rPr>
                <w:noProof/>
                <w:webHidden/>
              </w:rPr>
            </w:r>
            <w:r w:rsidR="00812649">
              <w:rPr>
                <w:noProof/>
                <w:webHidden/>
              </w:rPr>
              <w:fldChar w:fldCharType="separate"/>
            </w:r>
            <w:r w:rsidR="00812649">
              <w:rPr>
                <w:noProof/>
                <w:webHidden/>
              </w:rPr>
              <w:t>79</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4" w:history="1">
            <w:r w:rsidR="00812649" w:rsidRPr="00EF0B6C">
              <w:rPr>
                <w:rStyle w:val="Hipercze"/>
                <w:noProof/>
              </w:rPr>
              <w:t>Lasy</w:t>
            </w:r>
            <w:r w:rsidR="00812649">
              <w:rPr>
                <w:noProof/>
                <w:webHidden/>
              </w:rPr>
              <w:tab/>
            </w:r>
            <w:r w:rsidR="00812649">
              <w:rPr>
                <w:noProof/>
                <w:webHidden/>
              </w:rPr>
              <w:fldChar w:fldCharType="begin"/>
            </w:r>
            <w:r w:rsidR="00812649">
              <w:rPr>
                <w:noProof/>
                <w:webHidden/>
              </w:rPr>
              <w:instrText xml:space="preserve"> PAGEREF _Toc505605324 \h </w:instrText>
            </w:r>
            <w:r w:rsidR="00812649">
              <w:rPr>
                <w:noProof/>
                <w:webHidden/>
              </w:rPr>
            </w:r>
            <w:r w:rsidR="00812649">
              <w:rPr>
                <w:noProof/>
                <w:webHidden/>
              </w:rPr>
              <w:fldChar w:fldCharType="separate"/>
            </w:r>
            <w:r w:rsidR="00812649">
              <w:rPr>
                <w:noProof/>
                <w:webHidden/>
              </w:rPr>
              <w:t>86</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5" w:history="1">
            <w:r w:rsidR="00812649" w:rsidRPr="00EF0B6C">
              <w:rPr>
                <w:rStyle w:val="Hipercze"/>
                <w:noProof/>
              </w:rPr>
              <w:t>Ekosystemy wodno-błotne</w:t>
            </w:r>
            <w:r w:rsidR="00812649">
              <w:rPr>
                <w:noProof/>
                <w:webHidden/>
              </w:rPr>
              <w:tab/>
            </w:r>
            <w:r w:rsidR="00812649">
              <w:rPr>
                <w:noProof/>
                <w:webHidden/>
              </w:rPr>
              <w:fldChar w:fldCharType="begin"/>
            </w:r>
            <w:r w:rsidR="00812649">
              <w:rPr>
                <w:noProof/>
                <w:webHidden/>
              </w:rPr>
              <w:instrText xml:space="preserve"> PAGEREF _Toc505605325 \h </w:instrText>
            </w:r>
            <w:r w:rsidR="00812649">
              <w:rPr>
                <w:noProof/>
                <w:webHidden/>
              </w:rPr>
            </w:r>
            <w:r w:rsidR="00812649">
              <w:rPr>
                <w:noProof/>
                <w:webHidden/>
              </w:rPr>
              <w:fldChar w:fldCharType="separate"/>
            </w:r>
            <w:r w:rsidR="00812649">
              <w:rPr>
                <w:noProof/>
                <w:webHidden/>
              </w:rPr>
              <w:t>88</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6" w:history="1">
            <w:r w:rsidR="00812649" w:rsidRPr="00EF0B6C">
              <w:rPr>
                <w:rStyle w:val="Hipercze"/>
                <w:noProof/>
              </w:rPr>
              <w:t>Różnorodność biologiczna na terenach rolniczych</w:t>
            </w:r>
            <w:r w:rsidR="00812649">
              <w:rPr>
                <w:noProof/>
                <w:webHidden/>
              </w:rPr>
              <w:tab/>
            </w:r>
            <w:r w:rsidR="00812649">
              <w:rPr>
                <w:noProof/>
                <w:webHidden/>
              </w:rPr>
              <w:fldChar w:fldCharType="begin"/>
            </w:r>
            <w:r w:rsidR="00812649">
              <w:rPr>
                <w:noProof/>
                <w:webHidden/>
              </w:rPr>
              <w:instrText xml:space="preserve"> PAGEREF _Toc505605326 \h </w:instrText>
            </w:r>
            <w:r w:rsidR="00812649">
              <w:rPr>
                <w:noProof/>
                <w:webHidden/>
              </w:rPr>
            </w:r>
            <w:r w:rsidR="00812649">
              <w:rPr>
                <w:noProof/>
                <w:webHidden/>
              </w:rPr>
              <w:fldChar w:fldCharType="separate"/>
            </w:r>
            <w:r w:rsidR="00812649">
              <w:rPr>
                <w:noProof/>
                <w:webHidden/>
              </w:rPr>
              <w:t>90</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7" w:history="1">
            <w:r w:rsidR="00812649" w:rsidRPr="00EF0B6C">
              <w:rPr>
                <w:rStyle w:val="Hipercze"/>
                <w:noProof/>
              </w:rPr>
              <w:t>Krajobraz</w:t>
            </w:r>
            <w:r w:rsidR="00812649">
              <w:rPr>
                <w:noProof/>
                <w:webHidden/>
              </w:rPr>
              <w:tab/>
            </w:r>
            <w:r w:rsidR="00812649">
              <w:rPr>
                <w:noProof/>
                <w:webHidden/>
              </w:rPr>
              <w:fldChar w:fldCharType="begin"/>
            </w:r>
            <w:r w:rsidR="00812649">
              <w:rPr>
                <w:noProof/>
                <w:webHidden/>
              </w:rPr>
              <w:instrText xml:space="preserve"> PAGEREF _Toc505605327 \h </w:instrText>
            </w:r>
            <w:r w:rsidR="00812649">
              <w:rPr>
                <w:noProof/>
                <w:webHidden/>
              </w:rPr>
            </w:r>
            <w:r w:rsidR="00812649">
              <w:rPr>
                <w:noProof/>
                <w:webHidden/>
              </w:rPr>
              <w:fldChar w:fldCharType="separate"/>
            </w:r>
            <w:r w:rsidR="00812649">
              <w:rPr>
                <w:noProof/>
                <w:webHidden/>
              </w:rPr>
              <w:t>91</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28" w:history="1">
            <w:r w:rsidR="00812649" w:rsidRPr="00EF0B6C">
              <w:rPr>
                <w:rStyle w:val="Hipercze"/>
                <w:noProof/>
              </w:rPr>
              <w:t>Podsumowanie</w:t>
            </w:r>
            <w:r w:rsidR="00812649">
              <w:rPr>
                <w:noProof/>
                <w:webHidden/>
              </w:rPr>
              <w:tab/>
            </w:r>
            <w:r w:rsidR="00812649">
              <w:rPr>
                <w:noProof/>
                <w:webHidden/>
              </w:rPr>
              <w:fldChar w:fldCharType="begin"/>
            </w:r>
            <w:r w:rsidR="00812649">
              <w:rPr>
                <w:noProof/>
                <w:webHidden/>
              </w:rPr>
              <w:instrText xml:space="preserve"> PAGEREF _Toc505605328 \h </w:instrText>
            </w:r>
            <w:r w:rsidR="00812649">
              <w:rPr>
                <w:noProof/>
                <w:webHidden/>
              </w:rPr>
            </w:r>
            <w:r w:rsidR="00812649">
              <w:rPr>
                <w:noProof/>
                <w:webHidden/>
              </w:rPr>
              <w:fldChar w:fldCharType="separate"/>
            </w:r>
            <w:r w:rsidR="00812649">
              <w:rPr>
                <w:noProof/>
                <w:webHidden/>
              </w:rPr>
              <w:t>92</w:t>
            </w:r>
            <w:r w:rsidR="00812649">
              <w:rPr>
                <w:noProof/>
                <w:webHidden/>
              </w:rPr>
              <w:fldChar w:fldCharType="end"/>
            </w:r>
          </w:hyperlink>
        </w:p>
        <w:p w:rsidR="00812649" w:rsidRDefault="00FD04E5">
          <w:pPr>
            <w:pStyle w:val="Spistreci1"/>
            <w:tabs>
              <w:tab w:val="left" w:pos="440"/>
              <w:tab w:val="right" w:leader="dot" w:pos="9062"/>
            </w:tabs>
            <w:rPr>
              <w:rFonts w:eastAsiaTheme="minorEastAsia"/>
              <w:noProof/>
              <w:lang w:eastAsia="pl-PL"/>
            </w:rPr>
          </w:pPr>
          <w:hyperlink w:anchor="_Toc505605329" w:history="1">
            <w:r w:rsidR="00812649" w:rsidRPr="00A93945">
              <w:rPr>
                <w:rStyle w:val="Hipercze"/>
                <w:b/>
                <w:noProof/>
              </w:rPr>
              <w:t>9.</w:t>
            </w:r>
            <w:r w:rsidR="00812649" w:rsidRPr="00A93945">
              <w:rPr>
                <w:rStyle w:val="Hipercze"/>
                <w:b/>
              </w:rPr>
              <w:tab/>
            </w:r>
            <w:r w:rsidR="00812649" w:rsidRPr="00A93945">
              <w:rPr>
                <w:rStyle w:val="Hipercze"/>
                <w:b/>
                <w:noProof/>
              </w:rPr>
              <w:t>Odpady</w:t>
            </w:r>
            <w:r w:rsidR="00812649">
              <w:rPr>
                <w:noProof/>
                <w:webHidden/>
              </w:rPr>
              <w:tab/>
            </w:r>
            <w:r w:rsidR="00812649">
              <w:rPr>
                <w:noProof/>
                <w:webHidden/>
              </w:rPr>
              <w:fldChar w:fldCharType="begin"/>
            </w:r>
            <w:r w:rsidR="00812649">
              <w:rPr>
                <w:noProof/>
                <w:webHidden/>
              </w:rPr>
              <w:instrText xml:space="preserve"> PAGEREF _Toc505605329 \h </w:instrText>
            </w:r>
            <w:r w:rsidR="00812649">
              <w:rPr>
                <w:noProof/>
                <w:webHidden/>
              </w:rPr>
            </w:r>
            <w:r w:rsidR="00812649">
              <w:rPr>
                <w:noProof/>
                <w:webHidden/>
              </w:rPr>
              <w:fldChar w:fldCharType="separate"/>
            </w:r>
            <w:r w:rsidR="00812649">
              <w:rPr>
                <w:noProof/>
                <w:webHidden/>
              </w:rPr>
              <w:t>93</w:t>
            </w:r>
            <w:r w:rsidR="00812649">
              <w:rPr>
                <w:noProof/>
                <w:webHidden/>
              </w:rPr>
              <w:fldChar w:fldCharType="end"/>
            </w:r>
          </w:hyperlink>
        </w:p>
        <w:p w:rsidR="00812649" w:rsidRDefault="00FD04E5">
          <w:pPr>
            <w:pStyle w:val="Spistreci1"/>
            <w:tabs>
              <w:tab w:val="left" w:pos="660"/>
              <w:tab w:val="right" w:leader="dot" w:pos="9062"/>
            </w:tabs>
            <w:rPr>
              <w:rFonts w:eastAsiaTheme="minorEastAsia"/>
              <w:noProof/>
              <w:lang w:eastAsia="pl-PL"/>
            </w:rPr>
          </w:pPr>
          <w:hyperlink w:anchor="_Toc505605330" w:history="1">
            <w:r w:rsidR="00812649" w:rsidRPr="00A93945">
              <w:rPr>
                <w:rStyle w:val="Hipercze"/>
                <w:b/>
                <w:noProof/>
              </w:rPr>
              <w:t>10.</w:t>
            </w:r>
            <w:r w:rsidR="00812649" w:rsidRPr="00A93945">
              <w:rPr>
                <w:rStyle w:val="Hipercze"/>
                <w:b/>
              </w:rPr>
              <w:tab/>
            </w:r>
            <w:r w:rsidR="00812649" w:rsidRPr="00A93945">
              <w:rPr>
                <w:rStyle w:val="Hipercze"/>
                <w:b/>
                <w:noProof/>
              </w:rPr>
              <w:t>Instrumenty polityki ekologicznej państwa</w:t>
            </w:r>
            <w:r w:rsidR="00812649">
              <w:rPr>
                <w:noProof/>
                <w:webHidden/>
              </w:rPr>
              <w:tab/>
            </w:r>
            <w:r w:rsidR="00812649">
              <w:rPr>
                <w:noProof/>
                <w:webHidden/>
              </w:rPr>
              <w:fldChar w:fldCharType="begin"/>
            </w:r>
            <w:r w:rsidR="00812649">
              <w:rPr>
                <w:noProof/>
                <w:webHidden/>
              </w:rPr>
              <w:instrText xml:space="preserve"> PAGEREF _Toc505605330 \h </w:instrText>
            </w:r>
            <w:r w:rsidR="00812649">
              <w:rPr>
                <w:noProof/>
                <w:webHidden/>
              </w:rPr>
            </w:r>
            <w:r w:rsidR="00812649">
              <w:rPr>
                <w:noProof/>
                <w:webHidden/>
              </w:rPr>
              <w:fldChar w:fldCharType="separate"/>
            </w:r>
            <w:r w:rsidR="00812649">
              <w:rPr>
                <w:noProof/>
                <w:webHidden/>
              </w:rPr>
              <w:t>100</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1" w:history="1">
            <w:r w:rsidR="00812649" w:rsidRPr="00EF0B6C">
              <w:rPr>
                <w:rStyle w:val="Hipercze"/>
                <w:noProof/>
              </w:rPr>
              <w:t>Podmioty biorące udział w zarzadzaniu środowiskiem (do uzupełnienia)</w:t>
            </w:r>
            <w:r w:rsidR="00812649">
              <w:rPr>
                <w:noProof/>
                <w:webHidden/>
              </w:rPr>
              <w:tab/>
            </w:r>
            <w:r w:rsidR="00812649">
              <w:rPr>
                <w:noProof/>
                <w:webHidden/>
              </w:rPr>
              <w:fldChar w:fldCharType="begin"/>
            </w:r>
            <w:r w:rsidR="00812649">
              <w:rPr>
                <w:noProof/>
                <w:webHidden/>
              </w:rPr>
              <w:instrText xml:space="preserve"> PAGEREF _Toc505605331 \h </w:instrText>
            </w:r>
            <w:r w:rsidR="00812649">
              <w:rPr>
                <w:noProof/>
                <w:webHidden/>
              </w:rPr>
            </w:r>
            <w:r w:rsidR="00812649">
              <w:rPr>
                <w:noProof/>
                <w:webHidden/>
              </w:rPr>
              <w:fldChar w:fldCharType="separate"/>
            </w:r>
            <w:r w:rsidR="00812649">
              <w:rPr>
                <w:noProof/>
                <w:webHidden/>
              </w:rPr>
              <w:t>100</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2" w:history="1">
            <w:r w:rsidR="00812649" w:rsidRPr="00EF0B6C">
              <w:rPr>
                <w:rStyle w:val="Hipercze"/>
                <w:noProof/>
              </w:rPr>
              <w:t>System finansowania ochrony środowiska</w:t>
            </w:r>
            <w:r w:rsidR="00812649">
              <w:rPr>
                <w:noProof/>
                <w:webHidden/>
              </w:rPr>
              <w:tab/>
            </w:r>
            <w:r w:rsidR="00812649">
              <w:rPr>
                <w:noProof/>
                <w:webHidden/>
              </w:rPr>
              <w:fldChar w:fldCharType="begin"/>
            </w:r>
            <w:r w:rsidR="00812649">
              <w:rPr>
                <w:noProof/>
                <w:webHidden/>
              </w:rPr>
              <w:instrText xml:space="preserve"> PAGEREF _Toc505605332 \h </w:instrText>
            </w:r>
            <w:r w:rsidR="00812649">
              <w:rPr>
                <w:noProof/>
                <w:webHidden/>
              </w:rPr>
            </w:r>
            <w:r w:rsidR="00812649">
              <w:rPr>
                <w:noProof/>
                <w:webHidden/>
              </w:rPr>
              <w:fldChar w:fldCharType="separate"/>
            </w:r>
            <w:r w:rsidR="00812649">
              <w:rPr>
                <w:noProof/>
                <w:webHidden/>
              </w:rPr>
              <w:t>100</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3" w:history="1">
            <w:r w:rsidR="00812649" w:rsidRPr="00EF0B6C">
              <w:rPr>
                <w:rStyle w:val="Hipercze"/>
                <w:noProof/>
              </w:rPr>
              <w:t>Formy ochrony przyrody</w:t>
            </w:r>
            <w:r w:rsidR="00812649">
              <w:rPr>
                <w:noProof/>
                <w:webHidden/>
              </w:rPr>
              <w:tab/>
            </w:r>
            <w:r w:rsidR="00812649">
              <w:rPr>
                <w:noProof/>
                <w:webHidden/>
              </w:rPr>
              <w:fldChar w:fldCharType="begin"/>
            </w:r>
            <w:r w:rsidR="00812649">
              <w:rPr>
                <w:noProof/>
                <w:webHidden/>
              </w:rPr>
              <w:instrText xml:space="preserve"> PAGEREF _Toc505605333 \h </w:instrText>
            </w:r>
            <w:r w:rsidR="00812649">
              <w:rPr>
                <w:noProof/>
                <w:webHidden/>
              </w:rPr>
            </w:r>
            <w:r w:rsidR="00812649">
              <w:rPr>
                <w:noProof/>
                <w:webHidden/>
              </w:rPr>
              <w:fldChar w:fldCharType="separate"/>
            </w:r>
            <w:r w:rsidR="00812649">
              <w:rPr>
                <w:noProof/>
                <w:webHidden/>
              </w:rPr>
              <w:t>106</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4" w:history="1">
            <w:r w:rsidR="00812649" w:rsidRPr="00EF0B6C">
              <w:rPr>
                <w:rStyle w:val="Hipercze"/>
                <w:noProof/>
              </w:rPr>
              <w:t>System ocen oddziaływania na środowisko</w:t>
            </w:r>
            <w:r w:rsidR="00812649">
              <w:rPr>
                <w:noProof/>
                <w:webHidden/>
              </w:rPr>
              <w:tab/>
            </w:r>
            <w:r w:rsidR="00812649">
              <w:rPr>
                <w:noProof/>
                <w:webHidden/>
              </w:rPr>
              <w:fldChar w:fldCharType="begin"/>
            </w:r>
            <w:r w:rsidR="00812649">
              <w:rPr>
                <w:noProof/>
                <w:webHidden/>
              </w:rPr>
              <w:instrText xml:space="preserve"> PAGEREF _Toc505605334 \h </w:instrText>
            </w:r>
            <w:r w:rsidR="00812649">
              <w:rPr>
                <w:noProof/>
                <w:webHidden/>
              </w:rPr>
            </w:r>
            <w:r w:rsidR="00812649">
              <w:rPr>
                <w:noProof/>
                <w:webHidden/>
              </w:rPr>
              <w:fldChar w:fldCharType="separate"/>
            </w:r>
            <w:r w:rsidR="00812649">
              <w:rPr>
                <w:noProof/>
                <w:webHidden/>
              </w:rPr>
              <w:t>110</w:t>
            </w:r>
            <w:r w:rsidR="00812649">
              <w:rPr>
                <w:noProof/>
                <w:webHidden/>
              </w:rPr>
              <w:fldChar w:fldCharType="end"/>
            </w:r>
          </w:hyperlink>
        </w:p>
        <w:p w:rsidR="00812649" w:rsidRDefault="00FD04E5">
          <w:pPr>
            <w:pStyle w:val="Spistreci1"/>
            <w:tabs>
              <w:tab w:val="left" w:pos="660"/>
              <w:tab w:val="right" w:leader="dot" w:pos="9062"/>
            </w:tabs>
            <w:rPr>
              <w:rFonts w:eastAsiaTheme="minorEastAsia"/>
              <w:noProof/>
              <w:lang w:eastAsia="pl-PL"/>
            </w:rPr>
          </w:pPr>
          <w:hyperlink w:anchor="_Toc505605335" w:history="1">
            <w:r w:rsidR="00812649" w:rsidRPr="00A93945">
              <w:rPr>
                <w:rStyle w:val="Hipercze"/>
                <w:b/>
                <w:noProof/>
              </w:rPr>
              <w:t>11.</w:t>
            </w:r>
            <w:r w:rsidR="00812649" w:rsidRPr="00A93945">
              <w:rPr>
                <w:rStyle w:val="Hipercze"/>
                <w:b/>
              </w:rPr>
              <w:tab/>
            </w:r>
            <w:r w:rsidR="00812649" w:rsidRPr="00A93945">
              <w:rPr>
                <w:rStyle w:val="Hipercze"/>
                <w:b/>
                <w:noProof/>
              </w:rPr>
              <w:t>Technologie środowiskowe</w:t>
            </w:r>
            <w:r w:rsidR="00812649">
              <w:rPr>
                <w:noProof/>
                <w:webHidden/>
              </w:rPr>
              <w:tab/>
            </w:r>
            <w:r w:rsidR="00812649">
              <w:rPr>
                <w:noProof/>
                <w:webHidden/>
              </w:rPr>
              <w:fldChar w:fldCharType="begin"/>
            </w:r>
            <w:r w:rsidR="00812649">
              <w:rPr>
                <w:noProof/>
                <w:webHidden/>
              </w:rPr>
              <w:instrText xml:space="preserve"> PAGEREF _Toc505605335 \h </w:instrText>
            </w:r>
            <w:r w:rsidR="00812649">
              <w:rPr>
                <w:noProof/>
                <w:webHidden/>
              </w:rPr>
            </w:r>
            <w:r w:rsidR="00812649">
              <w:rPr>
                <w:noProof/>
                <w:webHidden/>
              </w:rPr>
              <w:fldChar w:fldCharType="separate"/>
            </w:r>
            <w:r w:rsidR="00812649">
              <w:rPr>
                <w:noProof/>
                <w:webHidden/>
              </w:rPr>
              <w:t>116</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6" w:history="1">
            <w:r w:rsidR="00812649" w:rsidRPr="00EF0B6C">
              <w:rPr>
                <w:rStyle w:val="Hipercze"/>
                <w:noProof/>
              </w:rPr>
              <w:t>Ekoinnowacje</w:t>
            </w:r>
            <w:r w:rsidR="00812649">
              <w:rPr>
                <w:noProof/>
                <w:webHidden/>
              </w:rPr>
              <w:tab/>
            </w:r>
            <w:r w:rsidR="00812649">
              <w:rPr>
                <w:noProof/>
                <w:webHidden/>
              </w:rPr>
              <w:fldChar w:fldCharType="begin"/>
            </w:r>
            <w:r w:rsidR="00812649">
              <w:rPr>
                <w:noProof/>
                <w:webHidden/>
              </w:rPr>
              <w:instrText xml:space="preserve"> PAGEREF _Toc505605336 \h </w:instrText>
            </w:r>
            <w:r w:rsidR="00812649">
              <w:rPr>
                <w:noProof/>
                <w:webHidden/>
              </w:rPr>
            </w:r>
            <w:r w:rsidR="00812649">
              <w:rPr>
                <w:noProof/>
                <w:webHidden/>
              </w:rPr>
              <w:fldChar w:fldCharType="separate"/>
            </w:r>
            <w:r w:rsidR="00812649">
              <w:rPr>
                <w:noProof/>
                <w:webHidden/>
              </w:rPr>
              <w:t>116</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7" w:history="1">
            <w:r w:rsidR="00812649" w:rsidRPr="00EF0B6C">
              <w:rPr>
                <w:rStyle w:val="Hipercze"/>
                <w:noProof/>
              </w:rPr>
              <w:t>System ekozarządzania i audytu (EMAS)</w:t>
            </w:r>
            <w:r w:rsidR="00812649">
              <w:rPr>
                <w:noProof/>
                <w:webHidden/>
              </w:rPr>
              <w:tab/>
            </w:r>
            <w:r w:rsidR="00812649">
              <w:rPr>
                <w:noProof/>
                <w:webHidden/>
              </w:rPr>
              <w:fldChar w:fldCharType="begin"/>
            </w:r>
            <w:r w:rsidR="00812649">
              <w:rPr>
                <w:noProof/>
                <w:webHidden/>
              </w:rPr>
              <w:instrText xml:space="preserve"> PAGEREF _Toc505605337 \h </w:instrText>
            </w:r>
            <w:r w:rsidR="00812649">
              <w:rPr>
                <w:noProof/>
                <w:webHidden/>
              </w:rPr>
            </w:r>
            <w:r w:rsidR="00812649">
              <w:rPr>
                <w:noProof/>
                <w:webHidden/>
              </w:rPr>
              <w:fldChar w:fldCharType="separate"/>
            </w:r>
            <w:r w:rsidR="00812649">
              <w:rPr>
                <w:noProof/>
                <w:webHidden/>
              </w:rPr>
              <w:t>117</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38" w:history="1">
            <w:r w:rsidR="00812649" w:rsidRPr="00EF0B6C">
              <w:rPr>
                <w:rStyle w:val="Hipercze"/>
                <w:noProof/>
              </w:rPr>
              <w:t>Pozwolenia zintegrowane</w:t>
            </w:r>
            <w:r w:rsidR="00812649">
              <w:rPr>
                <w:noProof/>
                <w:webHidden/>
              </w:rPr>
              <w:tab/>
            </w:r>
            <w:r w:rsidR="00812649">
              <w:rPr>
                <w:noProof/>
                <w:webHidden/>
              </w:rPr>
              <w:fldChar w:fldCharType="begin"/>
            </w:r>
            <w:r w:rsidR="00812649">
              <w:rPr>
                <w:noProof/>
                <w:webHidden/>
              </w:rPr>
              <w:instrText xml:space="preserve"> PAGEREF _Toc505605338 \h </w:instrText>
            </w:r>
            <w:r w:rsidR="00812649">
              <w:rPr>
                <w:noProof/>
                <w:webHidden/>
              </w:rPr>
            </w:r>
            <w:r w:rsidR="00812649">
              <w:rPr>
                <w:noProof/>
                <w:webHidden/>
              </w:rPr>
              <w:fldChar w:fldCharType="separate"/>
            </w:r>
            <w:r w:rsidR="00812649">
              <w:rPr>
                <w:noProof/>
                <w:webHidden/>
              </w:rPr>
              <w:t>118</w:t>
            </w:r>
            <w:r w:rsidR="00812649">
              <w:rPr>
                <w:noProof/>
                <w:webHidden/>
              </w:rPr>
              <w:fldChar w:fldCharType="end"/>
            </w:r>
          </w:hyperlink>
        </w:p>
        <w:p w:rsidR="00812649" w:rsidRDefault="00FD04E5">
          <w:pPr>
            <w:pStyle w:val="Spistreci1"/>
            <w:tabs>
              <w:tab w:val="left" w:pos="660"/>
              <w:tab w:val="right" w:leader="dot" w:pos="9062"/>
            </w:tabs>
            <w:rPr>
              <w:rFonts w:eastAsiaTheme="minorEastAsia"/>
              <w:noProof/>
              <w:lang w:eastAsia="pl-PL"/>
            </w:rPr>
          </w:pPr>
          <w:hyperlink w:anchor="_Toc505605339" w:history="1">
            <w:r w:rsidR="00812649" w:rsidRPr="00A93945">
              <w:rPr>
                <w:rStyle w:val="Hipercze"/>
                <w:b/>
                <w:noProof/>
              </w:rPr>
              <w:t>12.</w:t>
            </w:r>
            <w:r w:rsidR="00812649" w:rsidRPr="00A93945">
              <w:rPr>
                <w:rStyle w:val="Hipercze"/>
                <w:b/>
              </w:rPr>
              <w:tab/>
            </w:r>
            <w:r w:rsidR="00812649" w:rsidRPr="00A93945">
              <w:rPr>
                <w:rStyle w:val="Hipercze"/>
                <w:b/>
                <w:noProof/>
              </w:rPr>
              <w:t>Edukacja ekologiczna i dostęp do informacji  o środowisku</w:t>
            </w:r>
            <w:r w:rsidR="00812649">
              <w:rPr>
                <w:noProof/>
                <w:webHidden/>
              </w:rPr>
              <w:tab/>
            </w:r>
            <w:r w:rsidR="00812649">
              <w:rPr>
                <w:noProof/>
                <w:webHidden/>
              </w:rPr>
              <w:fldChar w:fldCharType="begin"/>
            </w:r>
            <w:r w:rsidR="00812649">
              <w:rPr>
                <w:noProof/>
                <w:webHidden/>
              </w:rPr>
              <w:instrText xml:space="preserve"> PAGEREF _Toc505605339 \h </w:instrText>
            </w:r>
            <w:r w:rsidR="00812649">
              <w:rPr>
                <w:noProof/>
                <w:webHidden/>
              </w:rPr>
            </w:r>
            <w:r w:rsidR="00812649">
              <w:rPr>
                <w:noProof/>
                <w:webHidden/>
              </w:rPr>
              <w:fldChar w:fldCharType="separate"/>
            </w:r>
            <w:r w:rsidR="00812649">
              <w:rPr>
                <w:noProof/>
                <w:webHidden/>
              </w:rPr>
              <w:t>119</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40" w:history="1">
            <w:r w:rsidR="00812649" w:rsidRPr="00EF0B6C">
              <w:rPr>
                <w:rStyle w:val="Hipercze"/>
                <w:noProof/>
              </w:rPr>
              <w:t>Wzorce zrównoważonej konsumpcji i edukacja ekologiczna</w:t>
            </w:r>
            <w:r w:rsidR="00812649">
              <w:rPr>
                <w:noProof/>
                <w:webHidden/>
              </w:rPr>
              <w:tab/>
            </w:r>
            <w:r w:rsidR="00812649">
              <w:rPr>
                <w:noProof/>
                <w:webHidden/>
              </w:rPr>
              <w:fldChar w:fldCharType="begin"/>
            </w:r>
            <w:r w:rsidR="00812649">
              <w:rPr>
                <w:noProof/>
                <w:webHidden/>
              </w:rPr>
              <w:instrText xml:space="preserve"> PAGEREF _Toc505605340 \h </w:instrText>
            </w:r>
            <w:r w:rsidR="00812649">
              <w:rPr>
                <w:noProof/>
                <w:webHidden/>
              </w:rPr>
            </w:r>
            <w:r w:rsidR="00812649">
              <w:rPr>
                <w:noProof/>
                <w:webHidden/>
              </w:rPr>
              <w:fldChar w:fldCharType="separate"/>
            </w:r>
            <w:r w:rsidR="00812649">
              <w:rPr>
                <w:noProof/>
                <w:webHidden/>
              </w:rPr>
              <w:t>119</w:t>
            </w:r>
            <w:r w:rsidR="00812649">
              <w:rPr>
                <w:noProof/>
                <w:webHidden/>
              </w:rPr>
              <w:fldChar w:fldCharType="end"/>
            </w:r>
          </w:hyperlink>
        </w:p>
        <w:p w:rsidR="00812649" w:rsidRDefault="00FD04E5">
          <w:pPr>
            <w:pStyle w:val="Spistreci2"/>
            <w:tabs>
              <w:tab w:val="right" w:leader="dot" w:pos="9062"/>
            </w:tabs>
            <w:rPr>
              <w:rFonts w:eastAsiaTheme="minorEastAsia"/>
              <w:noProof/>
              <w:lang w:eastAsia="pl-PL"/>
            </w:rPr>
          </w:pPr>
          <w:hyperlink w:anchor="_Toc505605341" w:history="1">
            <w:r w:rsidR="00812649" w:rsidRPr="00EF0B6C">
              <w:rPr>
                <w:rStyle w:val="Hipercze"/>
                <w:noProof/>
              </w:rPr>
              <w:t>Dostęp do informacji o środowisku</w:t>
            </w:r>
            <w:r w:rsidR="00812649">
              <w:rPr>
                <w:noProof/>
                <w:webHidden/>
              </w:rPr>
              <w:tab/>
            </w:r>
            <w:r w:rsidR="00812649">
              <w:rPr>
                <w:noProof/>
                <w:webHidden/>
              </w:rPr>
              <w:fldChar w:fldCharType="begin"/>
            </w:r>
            <w:r w:rsidR="00812649">
              <w:rPr>
                <w:noProof/>
                <w:webHidden/>
              </w:rPr>
              <w:instrText xml:space="preserve"> PAGEREF _Toc505605341 \h </w:instrText>
            </w:r>
            <w:r w:rsidR="00812649">
              <w:rPr>
                <w:noProof/>
                <w:webHidden/>
              </w:rPr>
            </w:r>
            <w:r w:rsidR="00812649">
              <w:rPr>
                <w:noProof/>
                <w:webHidden/>
              </w:rPr>
              <w:fldChar w:fldCharType="separate"/>
            </w:r>
            <w:r w:rsidR="00812649">
              <w:rPr>
                <w:noProof/>
                <w:webHidden/>
              </w:rPr>
              <w:t>125</w:t>
            </w:r>
            <w:r w:rsidR="00812649">
              <w:rPr>
                <w:noProof/>
                <w:webHidden/>
              </w:rPr>
              <w:fldChar w:fldCharType="end"/>
            </w:r>
          </w:hyperlink>
        </w:p>
        <w:p w:rsidR="00812649" w:rsidRDefault="00812649">
          <w:r>
            <w:rPr>
              <w:b/>
              <w:bCs/>
            </w:rPr>
            <w:fldChar w:fldCharType="end"/>
          </w:r>
        </w:p>
      </w:sdtContent>
    </w:sdt>
    <w:p w:rsidR="00812649" w:rsidRDefault="00812649">
      <w:pPr>
        <w:pStyle w:val="Spistreci1"/>
        <w:tabs>
          <w:tab w:val="left" w:pos="440"/>
          <w:tab w:val="right" w:leader="dot" w:pos="9062"/>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3B1DFB" w:rsidRDefault="003B1DFB"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812649" w:rsidRDefault="00812649" w:rsidP="00E22A77">
      <w:pPr>
        <w:pStyle w:val="Akapitzlist"/>
        <w:tabs>
          <w:tab w:val="left" w:pos="5295"/>
        </w:tabs>
        <w:rPr>
          <w:lang w:eastAsia="pl-PL"/>
        </w:rPr>
      </w:pPr>
    </w:p>
    <w:p w:rsidR="00812649" w:rsidRDefault="00812649" w:rsidP="00E22A77">
      <w:pPr>
        <w:pStyle w:val="Akapitzlist"/>
        <w:tabs>
          <w:tab w:val="left" w:pos="5295"/>
        </w:tabs>
        <w:rPr>
          <w:lang w:eastAsia="pl-PL"/>
        </w:rPr>
      </w:pPr>
    </w:p>
    <w:p w:rsidR="00812649" w:rsidRDefault="00812649" w:rsidP="00E22A77">
      <w:pPr>
        <w:pStyle w:val="Akapitzlist"/>
        <w:tabs>
          <w:tab w:val="left" w:pos="5295"/>
        </w:tabs>
        <w:rPr>
          <w:lang w:eastAsia="pl-PL"/>
        </w:rPr>
      </w:pPr>
    </w:p>
    <w:p w:rsidR="00812649" w:rsidRDefault="00812649"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A93945" w:rsidRDefault="00A93945" w:rsidP="00E22A77">
      <w:pPr>
        <w:pStyle w:val="Akapitzlist"/>
        <w:tabs>
          <w:tab w:val="left" w:pos="5295"/>
        </w:tabs>
        <w:rPr>
          <w:lang w:eastAsia="pl-PL"/>
        </w:rPr>
      </w:pPr>
    </w:p>
    <w:p w:rsidR="00E22A77" w:rsidRDefault="00E22A77" w:rsidP="00E22A77">
      <w:pPr>
        <w:pStyle w:val="Nagwek1"/>
        <w:numPr>
          <w:ilvl w:val="0"/>
          <w:numId w:val="5"/>
        </w:numPr>
        <w:spacing w:after="240"/>
      </w:pPr>
      <w:bookmarkStart w:id="0" w:name="_Toc505604906"/>
      <w:bookmarkStart w:id="1" w:name="_Toc505605299"/>
      <w:r>
        <w:lastRenderedPageBreak/>
        <w:t>Wstęp</w:t>
      </w:r>
      <w:bookmarkEnd w:id="0"/>
      <w:bookmarkEnd w:id="1"/>
    </w:p>
    <w:p w:rsidR="00E22A77" w:rsidRDefault="00591ABA" w:rsidP="00AB0433">
      <w:pPr>
        <w:tabs>
          <w:tab w:val="left" w:pos="5295"/>
        </w:tabs>
        <w:jc w:val="both"/>
        <w:rPr>
          <w:lang w:eastAsia="pl-PL"/>
        </w:rPr>
      </w:pPr>
      <w:r>
        <w:rPr>
          <w:lang w:eastAsia="pl-PL"/>
        </w:rPr>
        <w:t xml:space="preserve">W toku prac nad kształtem </w:t>
      </w:r>
      <w:r w:rsidRPr="00AB0433">
        <w:rPr>
          <w:i/>
          <w:lang w:eastAsia="pl-PL"/>
        </w:rPr>
        <w:t>Polityki ekologicznej państwa 2030</w:t>
      </w:r>
      <w:r>
        <w:rPr>
          <w:lang w:eastAsia="pl-PL"/>
        </w:rPr>
        <w:t xml:space="preserve"> opracowano szczegółową diagnozę stanu istniejącego w wszystkich obszarach objętych zakresem PEP. Punkt wyjścia dla opracowania </w:t>
      </w:r>
      <w:r w:rsidR="00894646">
        <w:rPr>
          <w:lang w:eastAsia="pl-PL"/>
        </w:rPr>
        <w:t xml:space="preserve">stanowiła diagnoza przygotowana na potrzeby </w:t>
      </w:r>
      <w:r w:rsidR="00894646" w:rsidRPr="00894646">
        <w:rPr>
          <w:i/>
          <w:lang w:eastAsia="pl-PL"/>
        </w:rPr>
        <w:t>Strategii na rzecz Odpowiedzialnego Rozwoju</w:t>
      </w:r>
      <w:r w:rsidR="00894646">
        <w:rPr>
          <w:lang w:eastAsia="pl-PL"/>
        </w:rPr>
        <w:t xml:space="preserve"> (SOR).</w:t>
      </w:r>
      <w:r>
        <w:rPr>
          <w:lang w:eastAsia="pl-PL"/>
        </w:rPr>
        <w:t xml:space="preserve"> </w:t>
      </w:r>
    </w:p>
    <w:p w:rsidR="00B538BD" w:rsidRDefault="00B538BD" w:rsidP="00AB0433">
      <w:pPr>
        <w:autoSpaceDE w:val="0"/>
        <w:autoSpaceDN w:val="0"/>
        <w:adjustRightInd w:val="0"/>
        <w:jc w:val="both"/>
      </w:pPr>
      <w:r w:rsidRPr="000518B0">
        <w:t xml:space="preserve">Prace nad </w:t>
      </w:r>
      <w:r>
        <w:t xml:space="preserve">diagnozą były koordynowane przez </w:t>
      </w:r>
      <w:r w:rsidRPr="000518B0">
        <w:t>Ministerstwo Środowiska</w:t>
      </w:r>
      <w:r>
        <w:t xml:space="preserve"> ze wsparciem członków międzyresortowego</w:t>
      </w:r>
      <w:r w:rsidRPr="000518B0">
        <w:t xml:space="preserve"> zesp</w:t>
      </w:r>
      <w:r>
        <w:t>ołu ds. PEP.  Diagnoza została przygotowana w oparciu o dostę</w:t>
      </w:r>
      <w:r w:rsidR="00AB0433">
        <w:t xml:space="preserve">pne materiały, w szczególności </w:t>
      </w:r>
      <w:r>
        <w:t>raporty Głównego Inspektoratu Ochrony Środowiska</w:t>
      </w:r>
      <w:r w:rsidR="0059767D">
        <w:t xml:space="preserve"> (GIOŚ)</w:t>
      </w:r>
      <w:r>
        <w:t xml:space="preserve"> oraz innych jednostek resortowych (IMGW, KZGW, GDOŚ, PGL LP, </w:t>
      </w:r>
      <w:r w:rsidR="00AB0433">
        <w:t xml:space="preserve">IOŚ – KOBIZE)  i GUS oraz zaktualizowana </w:t>
      </w:r>
      <w:r w:rsidR="00AB0433">
        <w:br/>
        <w:t>i uzupełniona o aspekty istotne z punktu widzenia innych resortów.</w:t>
      </w:r>
    </w:p>
    <w:p w:rsidR="00B538BD" w:rsidRDefault="00AB0433" w:rsidP="00EF2573">
      <w:pPr>
        <w:autoSpaceDE w:val="0"/>
        <w:autoSpaceDN w:val="0"/>
        <w:adjustRightInd w:val="0"/>
        <w:jc w:val="both"/>
      </w:pPr>
      <w:r>
        <w:t xml:space="preserve">Należy przy tym podkreślić, że opisując stan poszczególnych komponentów środowiska nie jest możliwe przyjęcie jednolitej cezury czasowej danych. </w:t>
      </w:r>
      <w:r w:rsidR="00EF2573">
        <w:t>Sposób monitorowania</w:t>
      </w:r>
      <w:r>
        <w:t xml:space="preserve"> </w:t>
      </w:r>
      <w:r w:rsidR="00EF2573">
        <w:t xml:space="preserve">wskaźników </w:t>
      </w:r>
      <w:r w:rsidR="0059767D">
        <w:br/>
      </w:r>
      <w:r w:rsidR="00EF2573">
        <w:t xml:space="preserve">w wybranych obszarach różni się </w:t>
      </w:r>
      <w:r w:rsidR="00135477">
        <w:t>metodyką badań i dostępnością danych. Pomiary wykonywane są również przez różne podmioty.</w:t>
      </w:r>
    </w:p>
    <w:p w:rsidR="00E22A77" w:rsidRDefault="00135477" w:rsidP="0059767D">
      <w:pPr>
        <w:autoSpaceDE w:val="0"/>
        <w:autoSpaceDN w:val="0"/>
        <w:adjustRightInd w:val="0"/>
        <w:jc w:val="both"/>
      </w:pPr>
      <w:r>
        <w:t xml:space="preserve">Głównym celem </w:t>
      </w:r>
      <w:r w:rsidR="0059767D">
        <w:t xml:space="preserve">opracowania </w:t>
      </w:r>
      <w:r>
        <w:t xml:space="preserve">diagnozy jest </w:t>
      </w:r>
      <w:r w:rsidR="0059767D">
        <w:t>dostarczenie aktualnych i wiarygodnych informacji na temat stanu środowiska (również w wymiarze terytorialnym), które będą stanowiły podstawę do interwencji Państwa w tym obszarze.</w:t>
      </w:r>
    </w:p>
    <w:p w:rsidR="00E22A77" w:rsidRDefault="00E22A77" w:rsidP="00E22A77">
      <w:pPr>
        <w:pStyle w:val="Nagwek1"/>
        <w:numPr>
          <w:ilvl w:val="0"/>
          <w:numId w:val="5"/>
        </w:numPr>
        <w:spacing w:after="240"/>
      </w:pPr>
      <w:bookmarkStart w:id="2" w:name="_Toc505604907"/>
      <w:bookmarkStart w:id="3" w:name="_Toc505605300"/>
      <w:r>
        <w:t>Z</w:t>
      </w:r>
      <w:r w:rsidRPr="00E22A77">
        <w:t>asoby wodne, w tym jakość wód</w:t>
      </w:r>
      <w:r w:rsidR="00383D92">
        <w:rPr>
          <w:rStyle w:val="Odwoanieprzypisudolnego"/>
        </w:rPr>
        <w:footnoteReference w:id="1"/>
      </w:r>
      <w:bookmarkEnd w:id="2"/>
      <w:bookmarkEnd w:id="3"/>
    </w:p>
    <w:p w:rsidR="00F1177A" w:rsidRPr="003B1DFB" w:rsidRDefault="00F1177A" w:rsidP="003B1DFB">
      <w:pPr>
        <w:pStyle w:val="Nagwek2"/>
      </w:pPr>
      <w:bookmarkStart w:id="4" w:name="_Toc505604908"/>
      <w:bookmarkStart w:id="5" w:name="_Toc505605301"/>
      <w:r w:rsidRPr="003B1DFB">
        <w:t>Zasoby wodne Polski</w:t>
      </w:r>
      <w:bookmarkEnd w:id="4"/>
      <w:bookmarkEnd w:id="5"/>
    </w:p>
    <w:p w:rsidR="00BE39C6" w:rsidRDefault="00BE39C6" w:rsidP="00BE39C6">
      <w:pPr>
        <w:autoSpaceDE w:val="0"/>
        <w:autoSpaceDN w:val="0"/>
        <w:adjustRightInd w:val="0"/>
        <w:jc w:val="both"/>
      </w:pPr>
      <w:r w:rsidRPr="0050433F">
        <w:t>Polska wyróżnia się stosunkowo małymi zasobami wód wynoszącymi ok. 15</w:t>
      </w:r>
      <w:r>
        <w:t>8</w:t>
      </w:r>
      <w:r w:rsidRPr="0050433F">
        <w:t>0 m</w:t>
      </w:r>
      <w:r w:rsidRPr="00BE39C6">
        <w:rPr>
          <w:vertAlign w:val="superscript"/>
        </w:rPr>
        <w:t>3</w:t>
      </w:r>
      <w:r w:rsidRPr="0050433F">
        <w:t>/rok/mieszkańca, co stanowi zaledwie około 3</w:t>
      </w:r>
      <w:r>
        <w:t>5</w:t>
      </w:r>
      <w:r w:rsidRPr="0050433F">
        <w:t xml:space="preserve">% średniej europejskiej. Efektem tego jest występowanie w części obszaru Polski trudności w zaopatrzeniu w wodę. W szczególności na południu Polski wodochłonny przemysł </w:t>
      </w:r>
      <w:r>
        <w:br/>
      </w:r>
      <w:r w:rsidRPr="0050433F">
        <w:t xml:space="preserve">i rozwój procesów demograficznych oraz naturalne warunki geograficzne i hydrograficzne powodują występowanie silnych deficytów wody. Na południu kraju występuje także znaczna zmienność przepływu wód w rzekach w czasie silnych opadów deszczu i przemieszczania się znacznych ilości wód powodziowych stanowiących m.in. spływy z terenów górskich. Wszystkie te czynniki utrudniają racjonalne gospodarowanie wodami, a stosunkowo mała pojemność retencyjna sztucznych zbiorników nie pozwala na skuteczne niwelowanie problemów wynikających z okresowych nadmiarów i deficytów wód powierzchniowych. </w:t>
      </w:r>
      <w:r>
        <w:t xml:space="preserve">Z powodu niskich opadów najbardziej zagrożonym rejonem Polski jest obszar szeroko pojętego niżu Polskiego – głównie Wielkopolska i północne Mazowsze. </w:t>
      </w:r>
      <w:r w:rsidRPr="0050433F">
        <w:t>Podstawowym problemem w zakresie zaopatrzenia w wodę ludności jest w dalszym ciągu mała dostępność wody wysokiej jakości, pomimo wyraźnego spadku wielkości poborów wody przez przemysł i gospodarstwa domowe w ostatnim dziesięcioleciu.</w:t>
      </w:r>
      <w:r>
        <w:t xml:space="preserve"> Jednocześnie należy zwrócić uwagę, że zasoby wód podziemnych w Polsce szacowane są na około 16 km</w:t>
      </w:r>
      <w:r w:rsidRPr="00BE39C6">
        <w:rPr>
          <w:vertAlign w:val="superscript"/>
        </w:rPr>
        <w:t>3</w:t>
      </w:r>
      <w:r>
        <w:t>, przy czym około 2 km</w:t>
      </w:r>
      <w:r w:rsidRPr="00BE39C6">
        <w:rPr>
          <w:vertAlign w:val="superscript"/>
        </w:rPr>
        <w:t>3</w:t>
      </w:r>
      <w:r>
        <w:t xml:space="preserve"> jest obecnie eksploatowanych.</w:t>
      </w:r>
    </w:p>
    <w:p w:rsidR="00BE39C6" w:rsidRDefault="00BE39C6" w:rsidP="00BE39C6">
      <w:pPr>
        <w:autoSpaceDE w:val="0"/>
        <w:autoSpaceDN w:val="0"/>
        <w:adjustRightInd w:val="0"/>
        <w:jc w:val="both"/>
      </w:pPr>
      <w:r>
        <w:t xml:space="preserve">Działalność gospodarcza człowieka i niektóre procesy przyrodnicze, jak również globalne zmiany klimatu zwiększają częstość występowania ekstremalnych zjawisk atmosferycznych, w tym takich jak powodzie i susze. Zjawisko suszy w ostatnich dwudziestu latach występuje w Polsce szczególnie </w:t>
      </w:r>
      <w:r>
        <w:lastRenderedPageBreak/>
        <w:t>często. Jest to spowodowane przede wszystkim wzrostem temperatury powietrza w okresie wegetacyjnym oraz występowaniem okresów bezopadowych lub okresów w powtarzającymi się opadami mniejszymi niż średnie.</w:t>
      </w:r>
    </w:p>
    <w:p w:rsidR="00BE39C6" w:rsidRDefault="00BE39C6" w:rsidP="00BE39C6">
      <w:pPr>
        <w:autoSpaceDE w:val="0"/>
        <w:autoSpaceDN w:val="0"/>
        <w:adjustRightInd w:val="0"/>
        <w:jc w:val="both"/>
      </w:pPr>
      <w:r>
        <w:t>W systemie monitoringu suszy rolniczej prowadzonym przez Instytut Uprawy Nawożenia i Gleboznawstwa w Puławach – Państwowy Instytut Badawczy, warunki meteorologiczne są określane za pomocą klimatycznego bilansu wodnego (KBW). Szczególnie w ostatnich latach, wiosną i wczesnym latem wartości KBW są coraz mniejsze, co oznacza, że występujące okresy suszy są coraz bardziej dotkliwe. Zbiega się to z okresem największego zapotrzebowania na wodę przez rośliny uprawne, zwłaszcza przez zboża. Przejawem trendu występowania dużych niedoborów wody była ekstremalna susza w 2006 r., w wyniku której średnie krajowe plony niektórych upraw zmniejszyły się nawet o 30%.</w:t>
      </w:r>
    </w:p>
    <w:p w:rsidR="00BE39C6" w:rsidRDefault="00BE39C6" w:rsidP="00BE39C6">
      <w:pPr>
        <w:autoSpaceDE w:val="0"/>
        <w:autoSpaceDN w:val="0"/>
        <w:adjustRightInd w:val="0"/>
        <w:jc w:val="both"/>
      </w:pPr>
      <w:r>
        <w:t>Intensyfikacja rolnictwa, zunifikowanie siedlisk naturalnych, budowa systemów odwadniających i urbanizacja wywołały zmiany w pokrywie glebowej, które powodują, że mniejsza ilość wody jest obecnie zatrzymywana w zlewniach niż w przeszłości. Obieg wody i materii w zlewniach jest szybszy niż wiele lat temu. Wszystkie te czynniki zwiększają częstość występowania susz i powodzi. Kiedy naturalna zdolność retencjonowania wody w zlewni maleje, tworzą się naturalne szybkie drogi odpływu wód opadowych i roztopowych po powierzchni terenu. Zjawiska te nasilają się podczas gwałtownych opadów i intensywnym topnieniu śniegu.</w:t>
      </w:r>
    </w:p>
    <w:p w:rsidR="00BE39C6" w:rsidRDefault="00BE39C6" w:rsidP="00BE39C6">
      <w:pPr>
        <w:autoSpaceDE w:val="0"/>
        <w:autoSpaceDN w:val="0"/>
        <w:jc w:val="both"/>
      </w:pPr>
      <w:r>
        <w:t>W świetle prognoz zmian klimatu przewiduje się nasilenie intensywności przede wszystkim krótkich opadów nawalnych, których wysokość w środkowej i południowej części kraju może wzrosnąć nawet o 50 – 75 mm, co może spowodować zwiększenie częstości występowania powodzi lokalnych. W tym kontekście ważne są konserwacja i utrzymanie systemów melioracyjnych. Znamiennym przykładem ich nieodpowiedniego stanu jest ich niewydolność w czasie powodzi w 2010 r. Wiele obszarów zostało podtopionych tylko ze względu na nieprawidłowe działanie tych właśnie systemów. Zasoby wód powierzchniowych i ich wykorzystywanie w celu zabezpieczenia odpowiedniej ilości wody dla wszystkich użytkowników, wymagają odpowiednich urządzeń technicznych. Istnieje więc pilna potrzeba wdrażania działań, które łagodziłyby ujemny wpływ chwilowego nadmiaru lub niedoboru wody na działalność gospodarczą i stan środowiska przyrodniczego</w:t>
      </w:r>
    </w:p>
    <w:p w:rsidR="00BE39C6" w:rsidRDefault="00BE39C6" w:rsidP="00BE39C6">
      <w:pPr>
        <w:autoSpaceDE w:val="0"/>
        <w:autoSpaceDN w:val="0"/>
        <w:jc w:val="both"/>
      </w:pPr>
      <w:r>
        <w:t xml:space="preserve">Obecny stan zasobów wodnych w Polsce – tak ilościowy jak i jakościowy – jest, poza czynnikami naturalnymi, wynikiem wieloletniego niedofinansowania gospodarki wodnej i rozproszenia kompetencji zarządczych. Ponieważ dostęp do odpowiedniej ilości zasobów wód dobrej jakości jest warunkiem rozwoju, konieczne jest zwiększenie dyspozycyjnych zasobów wód, poprawa ich stanu ekologicznego i jakości chemicznej. Racjonalne gospodarowanie zasobami wód ujmowanych na potrzeby zaopatrzenia ludności oraz dla rozwoju gospodarczego powinno zapewniać równowagę poboru i odtwarzania zasobów, przy jednoczesnym zapewnieniu odpowiednio wysokiego poziomu oczyszczania wód zużytych. </w:t>
      </w:r>
    </w:p>
    <w:p w:rsidR="00BE39C6" w:rsidRPr="0050433F" w:rsidRDefault="00BE39C6" w:rsidP="00BE39C6">
      <w:pPr>
        <w:jc w:val="both"/>
      </w:pPr>
      <w:r w:rsidRPr="0050433F">
        <w:t xml:space="preserve">Polska położona jest w </w:t>
      </w:r>
      <w:r>
        <w:t xml:space="preserve">zlewiskach </w:t>
      </w:r>
      <w:r w:rsidRPr="0050433F">
        <w:t xml:space="preserve">trzech mórz: Morza Bałtyckiego (99,7% powierzchni kraju), Morza Północnego (0,1% powierzchni kraju) oraz Morza Czarnego (0,2% powierzchni kraju) </w:t>
      </w:r>
      <w:r w:rsidRPr="00BE39C6">
        <w:rPr>
          <w:vertAlign w:val="superscript"/>
        </w:rPr>
        <w:t>[4.2.3]</w:t>
      </w:r>
      <w:r w:rsidRPr="0050433F">
        <w:t xml:space="preserve">. Polską część </w:t>
      </w:r>
      <w:r>
        <w:t>zlewiska</w:t>
      </w:r>
      <w:r w:rsidRPr="0050433F">
        <w:t xml:space="preserve"> Morza Bałtyckiego tworzą dwa dorzecza największych rzek: Wisły, o powierzchni 168,</w:t>
      </w:r>
      <w:r>
        <w:t>7</w:t>
      </w:r>
      <w:r w:rsidRPr="0050433F">
        <w:t xml:space="preserve"> tys. km</w:t>
      </w:r>
      <w:r w:rsidRPr="00BE39C6">
        <w:rPr>
          <w:vertAlign w:val="superscript"/>
        </w:rPr>
        <w:t>2</w:t>
      </w:r>
      <w:r w:rsidRPr="0050433F">
        <w:t xml:space="preserve"> (co stanowi 54% powierzchni kraju) i Odry, o powierzchni 106,0 tys. km</w:t>
      </w:r>
      <w:r w:rsidRPr="00BE39C6">
        <w:rPr>
          <w:vertAlign w:val="superscript"/>
        </w:rPr>
        <w:t>2</w:t>
      </w:r>
      <w:r w:rsidRPr="0050433F">
        <w:t xml:space="preserve"> (33,9% powierzchni kraju), a także </w:t>
      </w:r>
      <w:r>
        <w:t>4</w:t>
      </w:r>
      <w:r w:rsidRPr="0050433F">
        <w:t xml:space="preserve"> dorzeczy mniejszych rzek: </w:t>
      </w:r>
      <w:r>
        <w:t>Banówka</w:t>
      </w:r>
      <w:r w:rsidRPr="0050433F">
        <w:t>, Świeżej, Pregoły i Niemna oraz zlewnie rzek wpadających bezpośrednio do Bałtyku (17,3 tys. km</w:t>
      </w:r>
      <w:r w:rsidRPr="00BE39C6">
        <w:rPr>
          <w:vertAlign w:val="superscript"/>
        </w:rPr>
        <w:t>2</w:t>
      </w:r>
      <w:r w:rsidRPr="0050433F">
        <w:t>, 5,5% powierzchni kraju).</w:t>
      </w:r>
    </w:p>
    <w:p w:rsidR="00BE39C6" w:rsidRPr="0050433F" w:rsidRDefault="00BE39C6" w:rsidP="00BE39C6">
      <w:pPr>
        <w:jc w:val="both"/>
      </w:pPr>
      <w:r w:rsidRPr="0050433F">
        <w:lastRenderedPageBreak/>
        <w:t>Do zlewni Morza Północnego należy polska część dorzecza Łaby (23</w:t>
      </w:r>
      <w:r>
        <w:t>9,8</w:t>
      </w:r>
      <w:r w:rsidRPr="0050433F">
        <w:t xml:space="preserve"> km</w:t>
      </w:r>
      <w:r w:rsidRPr="00BE39C6">
        <w:rPr>
          <w:vertAlign w:val="superscript"/>
        </w:rPr>
        <w:t>2</w:t>
      </w:r>
      <w:r w:rsidRPr="0050433F">
        <w:t>), zaś do zlewni Morza Czarnego polskie</w:t>
      </w:r>
      <w:r>
        <w:t xml:space="preserve"> fragmenty dorzeczy Dunaju (382,6</w:t>
      </w:r>
      <w:r w:rsidRPr="0050433F">
        <w:t xml:space="preserve"> km</w:t>
      </w:r>
      <w:r w:rsidRPr="00BE39C6">
        <w:rPr>
          <w:vertAlign w:val="superscript"/>
        </w:rPr>
        <w:t>2</w:t>
      </w:r>
      <w:r w:rsidRPr="0050433F">
        <w:t>) i Dniestru (233 km</w:t>
      </w:r>
      <w:r w:rsidRPr="00BE39C6">
        <w:rPr>
          <w:vertAlign w:val="superscript"/>
        </w:rPr>
        <w:t>2</w:t>
      </w:r>
      <w:r w:rsidRPr="0050433F">
        <w:t>).</w:t>
      </w:r>
    </w:p>
    <w:p w:rsidR="00BE39C6" w:rsidRPr="0050433F" w:rsidRDefault="00BE39C6" w:rsidP="00BE39C6">
      <w:pPr>
        <w:jc w:val="both"/>
      </w:pPr>
      <w:r>
        <w:rPr>
          <w:noProof/>
          <w:lang w:eastAsia="pl-PL"/>
        </w:rPr>
        <w:drawing>
          <wp:inline distT="0" distB="0" distL="0" distR="0" wp14:anchorId="105D5774" wp14:editId="67F0BA6E">
            <wp:extent cx="4590415" cy="4128135"/>
            <wp:effectExtent l="0" t="0" r="635" b="5715"/>
            <wp:docPr id="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a:extLst>
                        <a:ext uri="{28A0092B-C50C-407E-A947-70E740481C1C}">
                          <a14:useLocalDpi xmlns:a14="http://schemas.microsoft.com/office/drawing/2010/main" val="0"/>
                        </a:ext>
                      </a:extLst>
                    </a:blip>
                    <a:srcRect l="70607" t="15283" r="12230" b="29395"/>
                    <a:stretch>
                      <a:fillRect/>
                    </a:stretch>
                  </pic:blipFill>
                  <pic:spPr bwMode="auto">
                    <a:xfrm>
                      <a:off x="0" y="0"/>
                      <a:ext cx="4590415" cy="4128135"/>
                    </a:xfrm>
                    <a:prstGeom prst="rect">
                      <a:avLst/>
                    </a:prstGeom>
                    <a:noFill/>
                    <a:ln>
                      <a:noFill/>
                    </a:ln>
                  </pic:spPr>
                </pic:pic>
              </a:graphicData>
            </a:graphic>
          </wp:inline>
        </w:drawing>
      </w: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E22A77" w:rsidP="00E22A77">
      <w:pPr>
        <w:pStyle w:val="Akapitzlist"/>
        <w:tabs>
          <w:tab w:val="left" w:pos="5295"/>
        </w:tabs>
        <w:rPr>
          <w:lang w:eastAsia="pl-PL"/>
        </w:rPr>
      </w:pPr>
    </w:p>
    <w:p w:rsidR="00E22A77" w:rsidRDefault="00BE39C6" w:rsidP="00E22A77">
      <w:pPr>
        <w:pStyle w:val="Akapitzlist"/>
        <w:tabs>
          <w:tab w:val="left" w:pos="5295"/>
        </w:tabs>
        <w:rPr>
          <w:i/>
          <w:iCs/>
        </w:rPr>
      </w:pPr>
      <w:r>
        <w:rPr>
          <w:lang w:eastAsia="pl-PL"/>
        </w:rPr>
        <w:t xml:space="preserve">Rys. 2.1 </w:t>
      </w:r>
      <w:r w:rsidRPr="0050433F">
        <w:rPr>
          <w:i/>
          <w:iCs/>
        </w:rPr>
        <w:t>Obszary dorzeczy w Polsce (źródło: KZGW)</w:t>
      </w:r>
    </w:p>
    <w:p w:rsidR="00BE39C6" w:rsidRDefault="00BE39C6" w:rsidP="00E22A77">
      <w:pPr>
        <w:pStyle w:val="Akapitzlist"/>
        <w:tabs>
          <w:tab w:val="left" w:pos="5295"/>
        </w:tabs>
        <w:rPr>
          <w:i/>
          <w:iCs/>
        </w:rPr>
      </w:pPr>
    </w:p>
    <w:p w:rsidR="00BE39C6" w:rsidRPr="0050433F" w:rsidRDefault="00BE39C6" w:rsidP="00BE39C6">
      <w:pPr>
        <w:jc w:val="both"/>
      </w:pPr>
      <w:r w:rsidRPr="00BE39C6">
        <w:t xml:space="preserve">Zlewnie rzek uchodzących bezpośrednio do Bałtyku połączone zostały w dwa regiony i wraz </w:t>
      </w:r>
      <w:r w:rsidRPr="00BE39C6">
        <w:br/>
        <w:t>z dorzeczami Odry (Świna, Dziwna, Rega, Parsęta, Radew, Czerwona i Wieprza) oraz Wisły (Słupia, Łeba, Reda, Elbląg i Pasłęka) utworzyły tzw. obszary dorzeczy Odry i Wisły, będące głównymi jednostkami gospodarowania wodami.</w:t>
      </w:r>
      <w:r>
        <w:t xml:space="preserve"> </w:t>
      </w:r>
    </w:p>
    <w:p w:rsidR="00BE39C6" w:rsidRPr="009F0089" w:rsidRDefault="00BE39C6" w:rsidP="00BE39C6">
      <w:pPr>
        <w:jc w:val="both"/>
      </w:pPr>
      <w:r w:rsidRPr="009F0089">
        <w:t xml:space="preserve">Monitoring jakości wód powierzchniowych prowadzony jest w </w:t>
      </w:r>
      <w:r w:rsidRPr="005E5754">
        <w:t>jednolitych częściach wód powierzchniowych</w:t>
      </w:r>
      <w:r w:rsidRPr="009F0089">
        <w:t xml:space="preserve"> (jcwp) w ramach Państwowego Monitoringu Środowiska. Badania i ocena stanu wód w rzekach wykonywane są przez wojewódzkie inspektoraty ochrony środowiska. Jcwp to jednostka podziału wyznaczona do zarządzania wodami przez </w:t>
      </w:r>
      <w:r>
        <w:t>Państwowe Gospodarstwo Wodne Wody Polskie</w:t>
      </w:r>
      <w:r w:rsidRPr="009F0089">
        <w:t>. Jednolitą częścią wód jest wydzielony fragment sieci rzecznej, jezioro o powierzchni co najmniej 50 h oraz zbiorniki zaporowe. Na terenie Polski wydzielono 4586 jcwp rzecznych (w tym zbiorników zaporowych).</w:t>
      </w:r>
    </w:p>
    <w:p w:rsidR="00BE39C6" w:rsidRPr="009F0089" w:rsidRDefault="00BE39C6" w:rsidP="00BE39C6">
      <w:pPr>
        <w:jc w:val="both"/>
      </w:pPr>
      <w:r w:rsidRPr="009F0089">
        <w:t xml:space="preserve">Na ocenę stanu jcwp składa się </w:t>
      </w:r>
      <w:r w:rsidRPr="005E5754">
        <w:t>ocena stanu lub potencjału ekologicznego</w:t>
      </w:r>
      <w:r w:rsidRPr="009F0089">
        <w:t xml:space="preserve"> oraz ocena stanu chemicznego wód. Stan ekologiczny określa się dla jcwp naturalnych, czyli takich których hydromorfologia nie została </w:t>
      </w:r>
      <w:r>
        <w:t>w znacznym stopniu zmieniona</w:t>
      </w:r>
      <w:r w:rsidRPr="009F0089">
        <w:t xml:space="preserve"> na skutek działalności człowieka. </w:t>
      </w:r>
      <w:r w:rsidRPr="009F0089">
        <w:lastRenderedPageBreak/>
        <w:t>Potencjał ekologiczny określa się dla sztucznych lub silnie zmienionych jcwp. Na obie te oceny składa się klasyfikacja biologicznych elementów jakości oraz wspierających je wskaźników fizykochemicznych</w:t>
      </w:r>
      <w:r>
        <w:t xml:space="preserve"> i hydromorfologicznych</w:t>
      </w:r>
      <w:r w:rsidRPr="009F0089">
        <w:t xml:space="preserve">. Do </w:t>
      </w:r>
      <w:r>
        <w:t>wskaźników fizykochemicznych</w:t>
      </w:r>
      <w:r w:rsidRPr="009F0089">
        <w:t xml:space="preserve"> należą parametry wody określające warunki termiczne, tlenowe, zasolenie, zakwaszenie oraz stężenia substancji biogennych (związki azotu i fosforu)</w:t>
      </w:r>
      <w:r>
        <w:t xml:space="preserve">, jak również </w:t>
      </w:r>
      <w:r w:rsidRPr="009F0089">
        <w:t>obecność w wodzie substancji szczególnie szkodliwych dla środowiska</w:t>
      </w:r>
      <w:r>
        <w:t xml:space="preserve"> wodnego</w:t>
      </w:r>
      <w:r w:rsidRPr="009F0089">
        <w:t xml:space="preserve"> (takich jak węglowodory ropopochodne, cyjanki, fenole lotne, aldehyd mrówkowy oraz szereg metali ciężkich). Stan i potencjał ekologiczny określa pięciostopniowa skala. Dla stanu ekologicznego jest to: bardzo dobry/dobry/umiarkowany/słaby/ zły</w:t>
      </w:r>
      <w:r>
        <w:t>,</w:t>
      </w:r>
      <w:r w:rsidRPr="009F0089">
        <w:t xml:space="preserve"> a dla potencjału ekologicznego: maksymalny/dobry/umiarkowany /słaby/zły.</w:t>
      </w:r>
    </w:p>
    <w:p w:rsidR="00BE39C6" w:rsidRPr="009F0089" w:rsidRDefault="00BE39C6" w:rsidP="00BE39C6">
      <w:pPr>
        <w:jc w:val="both"/>
      </w:pPr>
      <w:r w:rsidRPr="005E5754">
        <w:rPr>
          <w:u w:val="single"/>
        </w:rPr>
        <w:t>Ocenę stanu chemicznego</w:t>
      </w:r>
      <w:r w:rsidRPr="009F0089">
        <w:t xml:space="preserve"> jcwp określa się poprzez badania stężeń substancji priorytetow</w:t>
      </w:r>
      <w:r>
        <w:t>ych</w:t>
      </w:r>
      <w:r w:rsidRPr="009F0089">
        <w:t xml:space="preserve"> </w:t>
      </w:r>
      <w:r>
        <w:t xml:space="preserve">oraz innych zanieczyszczeń </w:t>
      </w:r>
      <w:r w:rsidRPr="009F0089">
        <w:t>w dziedzinie gospodarki wodnej</w:t>
      </w:r>
      <w:r>
        <w:t xml:space="preserve"> wskazanych w rozporządzeniu </w:t>
      </w:r>
      <w:r w:rsidRPr="00623587">
        <w:t>Ministra Środowiska z dnia 21 lipca 2016 r. w sprawie sposobu klasyfikacji stanu jednolitych części wód powierzchniowych oraz środowiskowych norm jakości dla substancji priorytetowych (Dz.U. Z 2016 r. Poz. 1187)</w:t>
      </w:r>
      <w:r w:rsidRPr="009F0089">
        <w:t>. Ocena stanu chemicznego wyrażona jest w dwustopniowej skali: stan chemiczny dobry/poniżej dobrego.</w:t>
      </w:r>
    </w:p>
    <w:p w:rsidR="00BE39C6" w:rsidRPr="009F0089" w:rsidRDefault="00BE39C6" w:rsidP="00BE39C6">
      <w:pPr>
        <w:jc w:val="both"/>
      </w:pPr>
      <w:r w:rsidRPr="005E5754">
        <w:rPr>
          <w:u w:val="single"/>
        </w:rPr>
        <w:t>Ocena stanu</w:t>
      </w:r>
      <w:r w:rsidRPr="009F0089">
        <w:t xml:space="preserve"> jcwp wyrażona jest w dwustopniowej skali (stan dobry/stan zły). W klasyfikacji stanu dominuje zasada „</w:t>
      </w:r>
      <w:r w:rsidRPr="009F0089">
        <w:rPr>
          <w:i/>
        </w:rPr>
        <w:t>one-out, all-out</w:t>
      </w:r>
      <w:r w:rsidRPr="009F0089">
        <w:t xml:space="preserve">”. Oznacza ona, </w:t>
      </w:r>
      <w:r>
        <w:t>że do osiągnięcia dobrego stanu</w:t>
      </w:r>
      <w:r w:rsidRPr="009F0089">
        <w:t xml:space="preserve"> jcw</w:t>
      </w:r>
      <w:r>
        <w:t>p</w:t>
      </w:r>
      <w:r w:rsidRPr="009F0089">
        <w:t xml:space="preserve"> musi osiągnąć co najmniej dobry stan/potencjał ekologiczny oraz dobry stan chemiczny. Jednocześnie o klasyfikacji obu ocen decydują wyniki pomiarów wskaźnika, który osiągnął najgorszą ocenę. W zależności od programu monitoringu badaniom podlegać może nawet ponad 100 wskaźników. Mnogość badanych parametrów sprawia, że dobry stan mogą osiągnąć wyłącznie jcwp, których wody są wysokiej jakości pod niemal każdym względem. Liczba i rodzaj badanych wskaźników zależą od zaplanowanego w danej jcwp programu monitoringu, którego rodzaj dostosowany jest do celu zaplanowanych badań. Miejsca jego realizacji wytypowane są w sposób zapewniający reprezentatywność wyników w skali zlewni i obszarów dorzeczy. </w:t>
      </w:r>
    </w:p>
    <w:p w:rsidR="00BE39C6" w:rsidRPr="00E91739" w:rsidRDefault="00BE39C6" w:rsidP="00BE39C6">
      <w:pPr>
        <w:jc w:val="both"/>
      </w:pPr>
      <w:r w:rsidRPr="00E91739">
        <w:t xml:space="preserve">Ze względu na wyznaczoną w Polsce dużą liczbę </w:t>
      </w:r>
      <w:r>
        <w:t>jcwp</w:t>
      </w:r>
      <w:r w:rsidRPr="00E91739">
        <w:t xml:space="preserve"> objęcie ich wszystkich monitoringiem jest niemożliwe. Z tego powodu przy prezentowaniu oceny stanu/potencjału ekologicznego rozróżnia się wyniki dla </w:t>
      </w:r>
      <w:r>
        <w:t>jcwp</w:t>
      </w:r>
      <w:r w:rsidRPr="00E91739">
        <w:t xml:space="preserve"> monitorowanych i dla </w:t>
      </w:r>
      <w:r>
        <w:t>jcwp</w:t>
      </w:r>
      <w:r w:rsidRPr="00E91739">
        <w:t xml:space="preserve"> niemonitorowanych, które klasyfikowane są poprzez ekstrapolację. Wyniki klasyfikacji stanu/potencjału ekologicznego niemonitorowanych </w:t>
      </w:r>
      <w:r>
        <w:t>jcwp</w:t>
      </w:r>
      <w:r w:rsidRPr="00E91739">
        <w:t xml:space="preserve">, ze względu na stosunkowo niski poziom ufności, prezentuje się poprzez nadanie tak ocenianym </w:t>
      </w:r>
      <w:r>
        <w:t>jcwp</w:t>
      </w:r>
      <w:r w:rsidRPr="00E91739">
        <w:t xml:space="preserve"> dwóch klas: stan/potencjał ekologiczny „co najmniej dobry” oraz „poniżej dobrego”.</w:t>
      </w:r>
    </w:p>
    <w:p w:rsidR="00BE39C6" w:rsidRPr="003B1DFB" w:rsidRDefault="00BE39C6" w:rsidP="003B1DFB">
      <w:pPr>
        <w:pStyle w:val="Nagwek2"/>
      </w:pPr>
      <w:bookmarkStart w:id="6" w:name="_Toc482258682"/>
      <w:bookmarkStart w:id="7" w:name="_Toc505604909"/>
      <w:bookmarkStart w:id="8" w:name="_Toc505605302"/>
      <w:r w:rsidRPr="003B1DFB">
        <w:t>Stan wód rzecznych (w tym zbiorników zaporowych)</w:t>
      </w:r>
      <w:bookmarkEnd w:id="6"/>
      <w:bookmarkEnd w:id="7"/>
      <w:bookmarkEnd w:id="8"/>
      <w:r w:rsidRPr="003B1DFB">
        <w:t xml:space="preserve"> </w:t>
      </w:r>
    </w:p>
    <w:p w:rsidR="00BE39C6" w:rsidRDefault="00BE39C6" w:rsidP="00BE39C6">
      <w:pPr>
        <w:jc w:val="both"/>
      </w:pPr>
      <w:r w:rsidRPr="00DF5461">
        <w:t xml:space="preserve">Na podstawie danych zebranych </w:t>
      </w:r>
      <w:r>
        <w:t>z realizowanego w ramach Państwowego Monitoringu Środowiska</w:t>
      </w:r>
      <w:r w:rsidRPr="00DF5461">
        <w:t xml:space="preserve"> monitoringu diagnostycznego rzek w latach 2010–2015 można stwierdzić, że jedynie ¼ badanych jcwp osiągnęła stan dobry </w:t>
      </w:r>
      <w:r w:rsidRPr="00BE39C6">
        <w:t xml:space="preserve">(Rys. </w:t>
      </w:r>
      <w:r>
        <w:t>2.2.</w:t>
      </w:r>
      <w:r w:rsidRPr="00BE39C6">
        <w:t>).</w:t>
      </w:r>
      <w:r w:rsidRPr="00DF5461">
        <w:t xml:space="preserve"> Na wynik ten wpłynęła w znacznej mierze ocena stanu/potencjału ekologicznego, bowiem dobry stan chemiczny stwierdzono w </w:t>
      </w:r>
      <w:r>
        <w:t>około</w:t>
      </w:r>
      <w:r w:rsidRPr="00DF5461">
        <w:t xml:space="preserve"> 70% jcwp. Bardzo dobrego lub dobrego stanu/potencjału ekologicznego nie osiągnęła natomiast większość (70%) badanych jcwp. W ponad 60% przypadków element</w:t>
      </w:r>
      <w:r>
        <w:t>em</w:t>
      </w:r>
      <w:r w:rsidRPr="00DF5461">
        <w:t>, którego klasyfikacja wpłynęła na negatywną ocenę</w:t>
      </w:r>
      <w:r>
        <w:t>,</w:t>
      </w:r>
      <w:r w:rsidRPr="00DF5461">
        <w:t xml:space="preserve"> był jeden z badanych elementów biologicznych (fitoplankton, fitobentos, mak</w:t>
      </w:r>
      <w:r>
        <w:t>r</w:t>
      </w:r>
      <w:r w:rsidRPr="00DF5461">
        <w:t>ofity, makrobezkręgowce</w:t>
      </w:r>
      <w:r>
        <w:t xml:space="preserve"> bentosowe</w:t>
      </w:r>
      <w:r w:rsidRPr="00DF5461">
        <w:t xml:space="preserve">, ichtiofauna). Większość z nich jest wrażliwa na zaburzenia związane z trofią (żyznością) wód, w których żyją. Związki biogenne, wpływające na trofię, dostają się </w:t>
      </w:r>
      <w:r w:rsidRPr="00DF5461">
        <w:lastRenderedPageBreak/>
        <w:t xml:space="preserve">do wód wraz </w:t>
      </w:r>
      <w:r>
        <w:t xml:space="preserve">z </w:t>
      </w:r>
      <w:r w:rsidRPr="00DF5461">
        <w:t xml:space="preserve">wodą opadową wypłukującą nawozy z pól uprawnych oraz są wprowadzane wraz z nieoczyszczonymi i oczyszczonymi ściekami komunalnymi. </w:t>
      </w:r>
    </w:p>
    <w:p w:rsidR="00BE39C6" w:rsidRDefault="00BE39C6" w:rsidP="00BE39C6">
      <w:pPr>
        <w:jc w:val="both"/>
        <w:rPr>
          <w:noProof/>
          <w:lang w:eastAsia="pl-PL"/>
        </w:rPr>
      </w:pPr>
    </w:p>
    <w:p w:rsidR="00BE39C6" w:rsidRDefault="00BE39C6" w:rsidP="00BE39C6">
      <w:pPr>
        <w:jc w:val="both"/>
      </w:pPr>
      <w:r>
        <w:rPr>
          <w:noProof/>
          <w:lang w:eastAsia="pl-PL"/>
        </w:rPr>
        <w:drawing>
          <wp:inline distT="0" distB="0" distL="0" distR="0" wp14:anchorId="192CFE22" wp14:editId="6E1E0E9A">
            <wp:extent cx="5038256" cy="3739082"/>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3993" t="13561" r="11007" b="16866"/>
                    <a:stretch/>
                  </pic:blipFill>
                  <pic:spPr bwMode="auto">
                    <a:xfrm>
                      <a:off x="0" y="0"/>
                      <a:ext cx="5043133" cy="3742702"/>
                    </a:xfrm>
                    <a:prstGeom prst="rect">
                      <a:avLst/>
                    </a:prstGeom>
                    <a:ln>
                      <a:noFill/>
                    </a:ln>
                    <a:extLst>
                      <a:ext uri="{53640926-AAD7-44D8-BBD7-CCE9431645EC}">
                        <a14:shadowObscured xmlns:a14="http://schemas.microsoft.com/office/drawing/2010/main"/>
                      </a:ext>
                    </a:extLst>
                  </pic:spPr>
                </pic:pic>
              </a:graphicData>
            </a:graphic>
          </wp:inline>
        </w:drawing>
      </w:r>
    </w:p>
    <w:p w:rsidR="00BE39C6" w:rsidRPr="00BE39C6" w:rsidRDefault="00BE39C6" w:rsidP="00BE39C6">
      <w:pPr>
        <w:jc w:val="both"/>
        <w:rPr>
          <w:i/>
        </w:rPr>
      </w:pPr>
      <w:r w:rsidRPr="00BE39C6">
        <w:rPr>
          <w:i/>
        </w:rPr>
        <w:t>Rys. 2.2. Ocena stanu ekologicznego jednolitych części wód w rzekach w latach 2010 - 2015</w:t>
      </w:r>
    </w:p>
    <w:p w:rsidR="00BE39C6" w:rsidRDefault="00BE39C6" w:rsidP="00BE39C6">
      <w:pPr>
        <w:jc w:val="both"/>
      </w:pPr>
      <w:r>
        <w:rPr>
          <w:noProof/>
          <w:lang w:eastAsia="pl-PL"/>
        </w:rPr>
        <w:drawing>
          <wp:inline distT="0" distB="0" distL="0" distR="0" wp14:anchorId="12232940" wp14:editId="69F2471A">
            <wp:extent cx="5076415" cy="3693814"/>
            <wp:effectExtent l="0" t="0" r="0" b="190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2579" t="13757" r="10063" b="15882"/>
                    <a:stretch/>
                  </pic:blipFill>
                  <pic:spPr bwMode="auto">
                    <a:xfrm>
                      <a:off x="0" y="0"/>
                      <a:ext cx="5085093" cy="3700129"/>
                    </a:xfrm>
                    <a:prstGeom prst="rect">
                      <a:avLst/>
                    </a:prstGeom>
                    <a:ln>
                      <a:noFill/>
                    </a:ln>
                    <a:extLst>
                      <a:ext uri="{53640926-AAD7-44D8-BBD7-CCE9431645EC}">
                        <a14:shadowObscured xmlns:a14="http://schemas.microsoft.com/office/drawing/2010/main"/>
                      </a:ext>
                    </a:extLst>
                  </pic:spPr>
                </pic:pic>
              </a:graphicData>
            </a:graphic>
          </wp:inline>
        </w:drawing>
      </w:r>
    </w:p>
    <w:p w:rsidR="00BE39C6" w:rsidRPr="00BE39C6" w:rsidRDefault="00BE39C6" w:rsidP="00BE39C6">
      <w:pPr>
        <w:jc w:val="both"/>
        <w:rPr>
          <w:i/>
        </w:rPr>
      </w:pPr>
      <w:r w:rsidRPr="00BE39C6">
        <w:rPr>
          <w:i/>
        </w:rPr>
        <w:lastRenderedPageBreak/>
        <w:t>Rys. 2.</w:t>
      </w:r>
      <w:r>
        <w:rPr>
          <w:i/>
        </w:rPr>
        <w:t>3</w:t>
      </w:r>
      <w:r w:rsidRPr="00BE39C6">
        <w:rPr>
          <w:i/>
        </w:rPr>
        <w:t xml:space="preserve">. Ocena stanu </w:t>
      </w:r>
      <w:r>
        <w:rPr>
          <w:i/>
        </w:rPr>
        <w:t>chemicznego</w:t>
      </w:r>
      <w:r w:rsidRPr="00BE39C6">
        <w:rPr>
          <w:i/>
        </w:rPr>
        <w:t xml:space="preserve"> jednolitych części wód </w:t>
      </w:r>
      <w:r>
        <w:rPr>
          <w:i/>
        </w:rPr>
        <w:t>rzek i zbiorników zaporowych</w:t>
      </w:r>
      <w:r w:rsidRPr="00BE39C6">
        <w:rPr>
          <w:i/>
        </w:rPr>
        <w:t xml:space="preserve"> w latach 2010 - 2015</w:t>
      </w:r>
    </w:p>
    <w:p w:rsidR="00BE39C6" w:rsidRPr="00BE39C6" w:rsidRDefault="00BE39C6" w:rsidP="00BE39C6"/>
    <w:p w:rsidR="00BE39C6" w:rsidRPr="00765434" w:rsidRDefault="00BE39C6" w:rsidP="00BE39C6">
      <w:pPr>
        <w:ind w:left="851" w:hanging="851"/>
        <w:jc w:val="both"/>
      </w:pPr>
      <w:r w:rsidRPr="004F7458">
        <w:rPr>
          <w:i/>
        </w:rPr>
        <w:t xml:space="preserve">Rys. </w:t>
      </w:r>
      <w:r w:rsidR="004F7458">
        <w:rPr>
          <w:i/>
        </w:rPr>
        <w:t>2</w:t>
      </w:r>
      <w:r w:rsidRPr="004F7458">
        <w:rPr>
          <w:i/>
        </w:rPr>
        <w:t>.</w:t>
      </w:r>
      <w:r w:rsidR="004F7458">
        <w:rPr>
          <w:i/>
        </w:rPr>
        <w:t xml:space="preserve">4. </w:t>
      </w:r>
      <w:r w:rsidRPr="00765434">
        <w:rPr>
          <w:i/>
        </w:rPr>
        <w:t xml:space="preserve"> Ocena stanu/ potencjału ekologicznego, stanu chemicznego i stanu jednolitych części wód powierzchniowych rzecznych przebadanych w ramac</w:t>
      </w:r>
      <w:r>
        <w:rPr>
          <w:i/>
        </w:rPr>
        <w:t>h monitoringu diagnostycznego w </w:t>
      </w:r>
      <w:r w:rsidRPr="00765434">
        <w:rPr>
          <w:i/>
        </w:rPr>
        <w:t>latach 2010–2015 (źródło: GIOŚ/PMŚ).</w:t>
      </w:r>
    </w:p>
    <w:tbl>
      <w:tblPr>
        <w:tblW w:w="0" w:type="auto"/>
        <w:tblLook w:val="04A0" w:firstRow="1" w:lastRow="0" w:firstColumn="1" w:lastColumn="0" w:noHBand="0" w:noVBand="1"/>
      </w:tblPr>
      <w:tblGrid>
        <w:gridCol w:w="4550"/>
        <w:gridCol w:w="4707"/>
      </w:tblGrid>
      <w:tr w:rsidR="00BE39C6" w:rsidRPr="00D3502C" w:rsidTr="00936AEC">
        <w:tc>
          <w:tcPr>
            <w:tcW w:w="4456" w:type="dxa"/>
            <w:shd w:val="clear" w:color="auto" w:fill="auto"/>
          </w:tcPr>
          <w:p w:rsidR="00BE39C6" w:rsidRPr="00D3502C" w:rsidRDefault="00BE39C6" w:rsidP="00936AEC">
            <w:pPr>
              <w:rPr>
                <w:rFonts w:ascii="Times New Roman" w:eastAsia="Times New Roman" w:hAnsi="Times New Roman"/>
                <w:sz w:val="20"/>
                <w:szCs w:val="20"/>
                <w:lang w:eastAsia="pl-PL"/>
              </w:rPr>
            </w:pPr>
            <w:r>
              <w:rPr>
                <w:rFonts w:ascii="Times New Roman" w:eastAsia="Times New Roman" w:hAnsi="Times New Roman"/>
                <w:noProof/>
                <w:sz w:val="20"/>
                <w:szCs w:val="20"/>
                <w:lang w:eastAsia="pl-PL"/>
              </w:rPr>
              <w:drawing>
                <wp:inline distT="0" distB="0" distL="0" distR="0" wp14:anchorId="0E9E9BE5" wp14:editId="75CF65CC">
                  <wp:extent cx="2752090" cy="1937385"/>
                  <wp:effectExtent l="0" t="0" r="0" b="5715"/>
                  <wp:docPr id="4" name="Wykres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4616" w:type="dxa"/>
            <w:vMerge w:val="restart"/>
            <w:shd w:val="clear" w:color="auto" w:fill="auto"/>
          </w:tcPr>
          <w:p w:rsidR="00BE39C6" w:rsidRPr="00D3502C" w:rsidRDefault="00BE39C6" w:rsidP="00936AEC">
            <w:pPr>
              <w:rPr>
                <w:rFonts w:ascii="Times New Roman" w:eastAsia="Times New Roman" w:hAnsi="Times New Roman"/>
                <w:sz w:val="20"/>
                <w:szCs w:val="20"/>
                <w:lang w:eastAsia="pl-PL"/>
              </w:rPr>
            </w:pPr>
            <w:r>
              <w:rPr>
                <w:rFonts w:ascii="Times New Roman" w:eastAsia="Times New Roman" w:hAnsi="Times New Roman"/>
                <w:noProof/>
                <w:sz w:val="20"/>
                <w:szCs w:val="20"/>
                <w:lang w:eastAsia="pl-PL"/>
              </w:rPr>
              <w:drawing>
                <wp:inline distT="0" distB="0" distL="0" distR="0" wp14:anchorId="3081397F" wp14:editId="688796AD">
                  <wp:extent cx="2851785" cy="3385820"/>
                  <wp:effectExtent l="0" t="0" r="0" b="0"/>
                  <wp:docPr id="5" name="Wykres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BE39C6" w:rsidRPr="00D3502C" w:rsidTr="00936AEC">
        <w:tc>
          <w:tcPr>
            <w:tcW w:w="4456" w:type="dxa"/>
            <w:shd w:val="clear" w:color="auto" w:fill="auto"/>
          </w:tcPr>
          <w:p w:rsidR="00BE39C6" w:rsidRPr="00D3502C" w:rsidRDefault="00BE39C6" w:rsidP="00936AEC">
            <w:pPr>
              <w:tabs>
                <w:tab w:val="left" w:pos="182"/>
              </w:tabs>
              <w:rPr>
                <w:rFonts w:ascii="Times New Roman" w:eastAsia="Times New Roman" w:hAnsi="Times New Roman"/>
                <w:sz w:val="20"/>
                <w:szCs w:val="20"/>
                <w:lang w:eastAsia="pl-PL"/>
              </w:rPr>
            </w:pPr>
            <w:r>
              <w:rPr>
                <w:rFonts w:ascii="Times New Roman" w:eastAsia="Times New Roman" w:hAnsi="Times New Roman"/>
                <w:noProof/>
                <w:sz w:val="20"/>
                <w:szCs w:val="20"/>
                <w:lang w:eastAsia="pl-PL"/>
              </w:rPr>
              <w:drawing>
                <wp:inline distT="0" distB="0" distL="0" distR="0" wp14:anchorId="34AC4703" wp14:editId="502D0199">
                  <wp:extent cx="2752090" cy="1436370"/>
                  <wp:effectExtent l="0" t="0" r="0" b="0"/>
                  <wp:docPr id="6" name="Wykres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616" w:type="dxa"/>
            <w:vMerge/>
            <w:shd w:val="clear" w:color="auto" w:fill="auto"/>
          </w:tcPr>
          <w:p w:rsidR="00BE39C6" w:rsidRPr="00D3502C" w:rsidRDefault="00BE39C6" w:rsidP="00936AEC">
            <w:pPr>
              <w:keepNext/>
              <w:rPr>
                <w:rFonts w:ascii="Times New Roman" w:eastAsia="Times New Roman" w:hAnsi="Times New Roman"/>
                <w:sz w:val="20"/>
                <w:szCs w:val="20"/>
                <w:lang w:eastAsia="pl-PL"/>
              </w:rPr>
            </w:pPr>
          </w:p>
        </w:tc>
      </w:tr>
    </w:tbl>
    <w:p w:rsidR="00BE39C6" w:rsidRPr="00F1177A" w:rsidRDefault="00BE39C6" w:rsidP="00BE39C6">
      <w:pPr>
        <w:jc w:val="both"/>
      </w:pPr>
      <w:r w:rsidRPr="00F1177A">
        <w:rPr>
          <w:i/>
          <w:iCs/>
        </w:rPr>
        <w:t xml:space="preserve">Tab. </w:t>
      </w:r>
      <w:r w:rsidR="00F1177A" w:rsidRPr="00F1177A">
        <w:rPr>
          <w:i/>
          <w:iCs/>
        </w:rPr>
        <w:t xml:space="preserve">2.1 </w:t>
      </w:r>
      <w:r w:rsidRPr="00F1177A">
        <w:rPr>
          <w:i/>
          <w:iCs/>
        </w:rPr>
        <w:t>Ocena stanu jednolitych części wód powierzchniowych rzecznych monitorowanych w latach 2010–2015 (źródło: GIOŚ/PMŚ)</w:t>
      </w:r>
      <w:r w:rsidRPr="00F1177A">
        <w:t xml:space="preserve"> </w:t>
      </w:r>
    </w:p>
    <w:tbl>
      <w:tblPr>
        <w:tblW w:w="10557" w:type="dxa"/>
        <w:tblInd w:w="-497" w:type="dxa"/>
        <w:tblCellMar>
          <w:left w:w="70" w:type="dxa"/>
          <w:right w:w="70" w:type="dxa"/>
        </w:tblCellMar>
        <w:tblLook w:val="04A0" w:firstRow="1" w:lastRow="0" w:firstColumn="1" w:lastColumn="0" w:noHBand="0" w:noVBand="1"/>
      </w:tblPr>
      <w:tblGrid>
        <w:gridCol w:w="779"/>
        <w:gridCol w:w="1874"/>
        <w:gridCol w:w="674"/>
        <w:gridCol w:w="749"/>
        <w:gridCol w:w="852"/>
        <w:gridCol w:w="709"/>
        <w:gridCol w:w="709"/>
        <w:gridCol w:w="709"/>
        <w:gridCol w:w="850"/>
        <w:gridCol w:w="932"/>
        <w:gridCol w:w="850"/>
        <w:gridCol w:w="870"/>
      </w:tblGrid>
      <w:tr w:rsidR="00BE39C6" w:rsidRPr="00CE203A" w:rsidTr="00936AEC">
        <w:trPr>
          <w:cantSplit/>
          <w:trHeight w:val="735"/>
          <w:tblHeader/>
        </w:trPr>
        <w:tc>
          <w:tcPr>
            <w:tcW w:w="265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OCENY JEDNOLITYCH CZĘŚCI WÓD POWIERZCHNIOWYCH RZECZNYCH</w:t>
            </w:r>
          </w:p>
        </w:tc>
        <w:tc>
          <w:tcPr>
            <w:tcW w:w="7904" w:type="dxa"/>
            <w:gridSpan w:val="10"/>
            <w:tcBorders>
              <w:top w:val="single" w:sz="4" w:space="0" w:color="auto"/>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DORZECZE</w:t>
            </w:r>
          </w:p>
        </w:tc>
      </w:tr>
      <w:tr w:rsidR="00BE39C6" w:rsidRPr="00CE203A" w:rsidTr="00936AEC">
        <w:trPr>
          <w:cantSplit/>
          <w:trHeight w:val="652"/>
          <w:tblHeader/>
        </w:trPr>
        <w:tc>
          <w:tcPr>
            <w:tcW w:w="2653" w:type="dxa"/>
            <w:gridSpan w:val="2"/>
            <w:vMerge/>
            <w:tcBorders>
              <w:top w:val="single" w:sz="4" w:space="0" w:color="auto"/>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674"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WISŁA</w:t>
            </w:r>
          </w:p>
        </w:tc>
        <w:tc>
          <w:tcPr>
            <w:tcW w:w="74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ODRA</w:t>
            </w:r>
          </w:p>
        </w:tc>
        <w:tc>
          <w:tcPr>
            <w:tcW w:w="85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DNIESTR</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DUNAJ</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JARFT</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ŁABA</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NIEMEN</w:t>
            </w:r>
          </w:p>
        </w:tc>
        <w:tc>
          <w:tcPr>
            <w:tcW w:w="93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PREGOŁA</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ŚWIEŻA</w:t>
            </w:r>
          </w:p>
        </w:tc>
        <w:tc>
          <w:tcPr>
            <w:tcW w:w="87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ŁĄCZNIE</w:t>
            </w:r>
          </w:p>
        </w:tc>
      </w:tr>
      <w:tr w:rsidR="00BE39C6" w:rsidRPr="00CE203A" w:rsidTr="00936AEC">
        <w:trPr>
          <w:trHeight w:hRule="exact" w:val="465"/>
        </w:trPr>
        <w:tc>
          <w:tcPr>
            <w:tcW w:w="77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KLASYFIKACJA STANU EKOLOGICZNEGO</w:t>
            </w:r>
          </w:p>
        </w:tc>
        <w:tc>
          <w:tcPr>
            <w:tcW w:w="1874" w:type="dxa"/>
            <w:tcBorders>
              <w:top w:val="nil"/>
              <w:left w:val="nil"/>
              <w:bottom w:val="single" w:sz="4" w:space="0" w:color="auto"/>
              <w:right w:val="single" w:sz="4" w:space="0" w:color="auto"/>
            </w:tcBorders>
            <w:shd w:val="clear" w:color="000000" w:fill="00B0F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Bardzo dobry</w:t>
            </w:r>
          </w:p>
        </w:tc>
        <w:tc>
          <w:tcPr>
            <w:tcW w:w="674"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7</w:t>
            </w:r>
          </w:p>
        </w:tc>
        <w:tc>
          <w:tcPr>
            <w:tcW w:w="74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7</w:t>
            </w:r>
          </w:p>
        </w:tc>
        <w:tc>
          <w:tcPr>
            <w:tcW w:w="85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93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14</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92D05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Dobry</w:t>
            </w:r>
          </w:p>
        </w:tc>
        <w:tc>
          <w:tcPr>
            <w:tcW w:w="674"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107</w:t>
            </w:r>
          </w:p>
        </w:tc>
        <w:tc>
          <w:tcPr>
            <w:tcW w:w="74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97</w:t>
            </w:r>
          </w:p>
        </w:tc>
        <w:tc>
          <w:tcPr>
            <w:tcW w:w="852"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6</w:t>
            </w:r>
          </w:p>
        </w:tc>
        <w:tc>
          <w:tcPr>
            <w:tcW w:w="932"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13</w:t>
            </w:r>
          </w:p>
        </w:tc>
        <w:tc>
          <w:tcPr>
            <w:tcW w:w="85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228</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FF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Umiarkowany</w:t>
            </w:r>
          </w:p>
        </w:tc>
        <w:tc>
          <w:tcPr>
            <w:tcW w:w="674"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298</w:t>
            </w:r>
          </w:p>
        </w:tc>
        <w:tc>
          <w:tcPr>
            <w:tcW w:w="74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199</w:t>
            </w:r>
          </w:p>
        </w:tc>
        <w:tc>
          <w:tcPr>
            <w:tcW w:w="852"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85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6</w:t>
            </w:r>
          </w:p>
        </w:tc>
        <w:tc>
          <w:tcPr>
            <w:tcW w:w="932"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14</w:t>
            </w:r>
          </w:p>
        </w:tc>
        <w:tc>
          <w:tcPr>
            <w:tcW w:w="85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7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523</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Słaby</w:t>
            </w:r>
          </w:p>
        </w:tc>
        <w:tc>
          <w:tcPr>
            <w:tcW w:w="674"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129</w:t>
            </w:r>
          </w:p>
        </w:tc>
        <w:tc>
          <w:tcPr>
            <w:tcW w:w="74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54</w:t>
            </w:r>
          </w:p>
        </w:tc>
        <w:tc>
          <w:tcPr>
            <w:tcW w:w="852"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932"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185</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00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Zły</w:t>
            </w:r>
          </w:p>
        </w:tc>
        <w:tc>
          <w:tcPr>
            <w:tcW w:w="674"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32</w:t>
            </w:r>
          </w:p>
        </w:tc>
        <w:tc>
          <w:tcPr>
            <w:tcW w:w="74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11</w:t>
            </w:r>
          </w:p>
        </w:tc>
        <w:tc>
          <w:tcPr>
            <w:tcW w:w="85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93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46</w:t>
            </w:r>
          </w:p>
        </w:tc>
      </w:tr>
      <w:tr w:rsidR="00BE39C6" w:rsidRPr="00CE203A" w:rsidTr="00936AEC">
        <w:trPr>
          <w:trHeight w:val="944"/>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auto" w:fill="auto"/>
            <w:vAlign w:val="center"/>
            <w:hideMark/>
          </w:tcPr>
          <w:p w:rsidR="00BE39C6" w:rsidRPr="00CE203A" w:rsidRDefault="00BE39C6" w:rsidP="00936AEC">
            <w:pPr>
              <w:spacing w:after="0"/>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LICZBA SKLASYFIKOWANYCH NATURALNYCH JCWP</w:t>
            </w:r>
          </w:p>
        </w:tc>
        <w:tc>
          <w:tcPr>
            <w:tcW w:w="674"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573</w:t>
            </w:r>
          </w:p>
        </w:tc>
        <w:tc>
          <w:tcPr>
            <w:tcW w:w="74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368</w:t>
            </w:r>
          </w:p>
        </w:tc>
        <w:tc>
          <w:tcPr>
            <w:tcW w:w="85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5</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15</w:t>
            </w:r>
          </w:p>
        </w:tc>
        <w:tc>
          <w:tcPr>
            <w:tcW w:w="93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29</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996</w:t>
            </w:r>
          </w:p>
        </w:tc>
      </w:tr>
      <w:tr w:rsidR="00BE39C6" w:rsidRPr="00CE203A" w:rsidTr="00936AEC">
        <w:trPr>
          <w:trHeight w:hRule="exact" w:val="465"/>
        </w:trPr>
        <w:tc>
          <w:tcPr>
            <w:tcW w:w="77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lastRenderedPageBreak/>
              <w:t>KLASYFIKACJA POTENCJAŁU EKOLOGICZNEGO</w:t>
            </w:r>
          </w:p>
        </w:tc>
        <w:tc>
          <w:tcPr>
            <w:tcW w:w="1874" w:type="dxa"/>
            <w:tcBorders>
              <w:top w:val="nil"/>
              <w:left w:val="nil"/>
              <w:bottom w:val="single" w:sz="4" w:space="0" w:color="auto"/>
              <w:right w:val="single" w:sz="4" w:space="0" w:color="auto"/>
            </w:tcBorders>
            <w:shd w:val="clear" w:color="000000" w:fill="00B0F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MAKSYMALNY</w:t>
            </w:r>
          </w:p>
        </w:tc>
        <w:tc>
          <w:tcPr>
            <w:tcW w:w="674"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74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85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93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92D05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DOBRY</w:t>
            </w:r>
          </w:p>
        </w:tc>
        <w:tc>
          <w:tcPr>
            <w:tcW w:w="674"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169</w:t>
            </w:r>
          </w:p>
        </w:tc>
        <w:tc>
          <w:tcPr>
            <w:tcW w:w="74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112</w:t>
            </w:r>
          </w:p>
        </w:tc>
        <w:tc>
          <w:tcPr>
            <w:tcW w:w="852"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932"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85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92D05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284</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FF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UMIARKOWANY</w:t>
            </w:r>
          </w:p>
        </w:tc>
        <w:tc>
          <w:tcPr>
            <w:tcW w:w="674"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217</w:t>
            </w:r>
          </w:p>
        </w:tc>
        <w:tc>
          <w:tcPr>
            <w:tcW w:w="74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184</w:t>
            </w:r>
          </w:p>
        </w:tc>
        <w:tc>
          <w:tcPr>
            <w:tcW w:w="852"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932"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FFFF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402</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SŁABY</w:t>
            </w:r>
          </w:p>
        </w:tc>
        <w:tc>
          <w:tcPr>
            <w:tcW w:w="674"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98</w:t>
            </w:r>
          </w:p>
        </w:tc>
        <w:tc>
          <w:tcPr>
            <w:tcW w:w="74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84</w:t>
            </w:r>
          </w:p>
        </w:tc>
        <w:tc>
          <w:tcPr>
            <w:tcW w:w="852"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932"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FF9900"/>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182</w:t>
            </w:r>
          </w:p>
        </w:tc>
      </w:tr>
      <w:tr w:rsidR="00BE39C6" w:rsidRPr="00CE203A" w:rsidTr="00936AEC">
        <w:trPr>
          <w:trHeight w:hRule="exact" w:val="46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00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ZŁY</w:t>
            </w:r>
          </w:p>
        </w:tc>
        <w:tc>
          <w:tcPr>
            <w:tcW w:w="674"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31</w:t>
            </w:r>
          </w:p>
        </w:tc>
        <w:tc>
          <w:tcPr>
            <w:tcW w:w="74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26</w:t>
            </w:r>
          </w:p>
        </w:tc>
        <w:tc>
          <w:tcPr>
            <w:tcW w:w="85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93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58</w:t>
            </w:r>
          </w:p>
        </w:tc>
      </w:tr>
      <w:tr w:rsidR="00BE39C6" w:rsidRPr="00CE203A" w:rsidTr="00936AEC">
        <w:trPr>
          <w:trHeight w:val="1084"/>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auto" w:fill="auto"/>
            <w:vAlign w:val="center"/>
            <w:hideMark/>
          </w:tcPr>
          <w:p w:rsidR="00BE39C6" w:rsidRPr="00CE203A" w:rsidRDefault="00BE39C6" w:rsidP="00936AEC">
            <w:pPr>
              <w:spacing w:after="0"/>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LICZBA SKLASYFIKOWANYCH SILNIE ZMIENIONYCH LUB SZTUCZNYCH JCWP</w:t>
            </w:r>
          </w:p>
        </w:tc>
        <w:tc>
          <w:tcPr>
            <w:tcW w:w="674"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517</w:t>
            </w:r>
          </w:p>
        </w:tc>
        <w:tc>
          <w:tcPr>
            <w:tcW w:w="74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408</w:t>
            </w:r>
          </w:p>
        </w:tc>
        <w:tc>
          <w:tcPr>
            <w:tcW w:w="85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0</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0</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93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0</w:t>
            </w:r>
          </w:p>
        </w:tc>
        <w:tc>
          <w:tcPr>
            <w:tcW w:w="87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930</w:t>
            </w:r>
          </w:p>
        </w:tc>
      </w:tr>
      <w:tr w:rsidR="00BE39C6" w:rsidRPr="00CE203A" w:rsidTr="00936AEC">
        <w:trPr>
          <w:trHeight w:val="572"/>
        </w:trPr>
        <w:tc>
          <w:tcPr>
            <w:tcW w:w="77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OCENA STANU CHEMICZNEGO</w:t>
            </w:r>
          </w:p>
        </w:tc>
        <w:tc>
          <w:tcPr>
            <w:tcW w:w="1874" w:type="dxa"/>
            <w:tcBorders>
              <w:top w:val="nil"/>
              <w:left w:val="nil"/>
              <w:bottom w:val="single" w:sz="4" w:space="0" w:color="auto"/>
              <w:right w:val="single" w:sz="4" w:space="0" w:color="auto"/>
            </w:tcBorders>
            <w:shd w:val="clear" w:color="000000" w:fill="00B0F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DOBRY</w:t>
            </w:r>
          </w:p>
        </w:tc>
        <w:tc>
          <w:tcPr>
            <w:tcW w:w="674"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411</w:t>
            </w:r>
          </w:p>
        </w:tc>
        <w:tc>
          <w:tcPr>
            <w:tcW w:w="74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167</w:t>
            </w:r>
          </w:p>
        </w:tc>
        <w:tc>
          <w:tcPr>
            <w:tcW w:w="85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14</w:t>
            </w:r>
          </w:p>
        </w:tc>
        <w:tc>
          <w:tcPr>
            <w:tcW w:w="93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7</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602</w:t>
            </w:r>
          </w:p>
        </w:tc>
      </w:tr>
      <w:tr w:rsidR="00BE39C6" w:rsidRPr="00CE203A" w:rsidTr="00936AEC">
        <w:trPr>
          <w:trHeight w:val="519"/>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00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PONIŻEJ DOBREGO</w:t>
            </w:r>
          </w:p>
        </w:tc>
        <w:tc>
          <w:tcPr>
            <w:tcW w:w="674"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116</w:t>
            </w:r>
          </w:p>
        </w:tc>
        <w:tc>
          <w:tcPr>
            <w:tcW w:w="74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141</w:t>
            </w:r>
          </w:p>
        </w:tc>
        <w:tc>
          <w:tcPr>
            <w:tcW w:w="85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 </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 </w:t>
            </w:r>
          </w:p>
        </w:tc>
        <w:tc>
          <w:tcPr>
            <w:tcW w:w="93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5</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7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266</w:t>
            </w:r>
          </w:p>
        </w:tc>
      </w:tr>
      <w:tr w:rsidR="00BE39C6" w:rsidRPr="00CE203A" w:rsidTr="00936AEC">
        <w:trPr>
          <w:trHeight w:val="1026"/>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auto" w:fill="auto"/>
            <w:vAlign w:val="center"/>
            <w:hideMark/>
          </w:tcPr>
          <w:p w:rsidR="00BE39C6" w:rsidRPr="00CE203A" w:rsidRDefault="00BE39C6" w:rsidP="00936AEC">
            <w:pPr>
              <w:spacing w:after="0"/>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LICZBA SKLASYFIKOWANYCH JCWP</w:t>
            </w:r>
          </w:p>
        </w:tc>
        <w:tc>
          <w:tcPr>
            <w:tcW w:w="674"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527</w:t>
            </w:r>
          </w:p>
        </w:tc>
        <w:tc>
          <w:tcPr>
            <w:tcW w:w="74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308</w:t>
            </w:r>
          </w:p>
        </w:tc>
        <w:tc>
          <w:tcPr>
            <w:tcW w:w="85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14</w:t>
            </w:r>
          </w:p>
        </w:tc>
        <w:tc>
          <w:tcPr>
            <w:tcW w:w="93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12</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868</w:t>
            </w:r>
          </w:p>
        </w:tc>
      </w:tr>
      <w:tr w:rsidR="00BE39C6" w:rsidRPr="00CE203A" w:rsidTr="00936AEC">
        <w:trPr>
          <w:trHeight w:val="559"/>
        </w:trPr>
        <w:tc>
          <w:tcPr>
            <w:tcW w:w="77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OCENA STANU</w:t>
            </w:r>
          </w:p>
        </w:tc>
        <w:tc>
          <w:tcPr>
            <w:tcW w:w="1874" w:type="dxa"/>
            <w:tcBorders>
              <w:top w:val="nil"/>
              <w:left w:val="nil"/>
              <w:bottom w:val="single" w:sz="4" w:space="0" w:color="auto"/>
              <w:right w:val="single" w:sz="4" w:space="0" w:color="auto"/>
            </w:tcBorders>
            <w:shd w:val="clear" w:color="000000" w:fill="00B0F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DOBRY</w:t>
            </w:r>
          </w:p>
        </w:tc>
        <w:tc>
          <w:tcPr>
            <w:tcW w:w="674"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119</w:t>
            </w:r>
          </w:p>
        </w:tc>
        <w:tc>
          <w:tcPr>
            <w:tcW w:w="74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44</w:t>
            </w:r>
          </w:p>
        </w:tc>
        <w:tc>
          <w:tcPr>
            <w:tcW w:w="85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709"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6</w:t>
            </w:r>
          </w:p>
        </w:tc>
        <w:tc>
          <w:tcPr>
            <w:tcW w:w="932"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7</w:t>
            </w:r>
          </w:p>
        </w:tc>
        <w:tc>
          <w:tcPr>
            <w:tcW w:w="85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0</w:t>
            </w:r>
          </w:p>
        </w:tc>
        <w:tc>
          <w:tcPr>
            <w:tcW w:w="870" w:type="dxa"/>
            <w:tcBorders>
              <w:top w:val="nil"/>
              <w:left w:val="nil"/>
              <w:bottom w:val="single" w:sz="4" w:space="0" w:color="auto"/>
              <w:right w:val="single" w:sz="4" w:space="0" w:color="auto"/>
            </w:tcBorders>
            <w:shd w:val="clear" w:color="000000" w:fill="00B0F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178</w:t>
            </w:r>
          </w:p>
        </w:tc>
      </w:tr>
      <w:tr w:rsidR="00BE39C6" w:rsidRPr="00CE203A" w:rsidTr="00936AEC">
        <w:trPr>
          <w:trHeight w:val="315"/>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000000" w:fill="FF0000"/>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ZŁY</w:t>
            </w:r>
          </w:p>
        </w:tc>
        <w:tc>
          <w:tcPr>
            <w:tcW w:w="674"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834</w:t>
            </w:r>
          </w:p>
        </w:tc>
        <w:tc>
          <w:tcPr>
            <w:tcW w:w="74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586</w:t>
            </w:r>
          </w:p>
        </w:tc>
        <w:tc>
          <w:tcPr>
            <w:tcW w:w="85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709"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2</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9</w:t>
            </w:r>
          </w:p>
        </w:tc>
        <w:tc>
          <w:tcPr>
            <w:tcW w:w="932"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16</w:t>
            </w:r>
          </w:p>
        </w:tc>
        <w:tc>
          <w:tcPr>
            <w:tcW w:w="85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w:t>
            </w:r>
          </w:p>
        </w:tc>
        <w:tc>
          <w:tcPr>
            <w:tcW w:w="870" w:type="dxa"/>
            <w:tcBorders>
              <w:top w:val="nil"/>
              <w:left w:val="nil"/>
              <w:bottom w:val="single" w:sz="4" w:space="0" w:color="auto"/>
              <w:right w:val="single" w:sz="4" w:space="0" w:color="auto"/>
            </w:tcBorders>
            <w:shd w:val="clear" w:color="000000" w:fill="FF0000"/>
            <w:noWrap/>
            <w:vAlign w:val="center"/>
            <w:hideMark/>
          </w:tcPr>
          <w:p w:rsidR="00BE39C6" w:rsidRPr="00CE203A" w:rsidRDefault="00BE39C6" w:rsidP="00936AEC">
            <w:pPr>
              <w:spacing w:after="0"/>
              <w:jc w:val="center"/>
              <w:rPr>
                <w:rFonts w:ascii="Times New Roman" w:eastAsia="Times New Roman" w:hAnsi="Times New Roman"/>
                <w:b/>
                <w:bCs/>
                <w:color w:val="000000"/>
                <w:sz w:val="16"/>
                <w:szCs w:val="16"/>
                <w:lang w:eastAsia="pl-PL"/>
              </w:rPr>
            </w:pPr>
            <w:r w:rsidRPr="00CE203A">
              <w:rPr>
                <w:rFonts w:ascii="Times New Roman" w:eastAsia="Times New Roman" w:hAnsi="Times New Roman"/>
                <w:b/>
                <w:bCs/>
                <w:color w:val="000000"/>
                <w:sz w:val="16"/>
                <w:szCs w:val="16"/>
                <w:lang w:eastAsia="pl-PL"/>
              </w:rPr>
              <w:t>1452</w:t>
            </w:r>
          </w:p>
        </w:tc>
      </w:tr>
      <w:tr w:rsidR="00BE39C6" w:rsidRPr="00CE203A" w:rsidTr="00936AEC">
        <w:trPr>
          <w:trHeight w:val="570"/>
        </w:trPr>
        <w:tc>
          <w:tcPr>
            <w:tcW w:w="779" w:type="dxa"/>
            <w:vMerge/>
            <w:tcBorders>
              <w:top w:val="nil"/>
              <w:left w:val="single" w:sz="4" w:space="0" w:color="auto"/>
              <w:bottom w:val="single" w:sz="4" w:space="0" w:color="auto"/>
              <w:right w:val="single" w:sz="4" w:space="0" w:color="auto"/>
            </w:tcBorders>
            <w:vAlign w:val="center"/>
            <w:hideMark/>
          </w:tcPr>
          <w:p w:rsidR="00BE39C6" w:rsidRPr="00CE203A" w:rsidRDefault="00BE39C6" w:rsidP="00936AEC">
            <w:pPr>
              <w:spacing w:after="0"/>
              <w:rPr>
                <w:rFonts w:ascii="Times New Roman" w:eastAsia="Times New Roman" w:hAnsi="Times New Roman"/>
                <w:b/>
                <w:bCs/>
                <w:color w:val="000000"/>
                <w:sz w:val="16"/>
                <w:szCs w:val="16"/>
                <w:lang w:eastAsia="pl-PL"/>
              </w:rPr>
            </w:pPr>
          </w:p>
        </w:tc>
        <w:tc>
          <w:tcPr>
            <w:tcW w:w="1874" w:type="dxa"/>
            <w:tcBorders>
              <w:top w:val="nil"/>
              <w:left w:val="nil"/>
              <w:bottom w:val="single" w:sz="4" w:space="0" w:color="auto"/>
              <w:right w:val="single" w:sz="4" w:space="0" w:color="auto"/>
            </w:tcBorders>
            <w:shd w:val="clear" w:color="auto" w:fill="auto"/>
            <w:vAlign w:val="center"/>
            <w:hideMark/>
          </w:tcPr>
          <w:p w:rsidR="00BE39C6" w:rsidRPr="00CE203A" w:rsidRDefault="00BE39C6" w:rsidP="00936AEC">
            <w:pPr>
              <w:spacing w:after="0"/>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LICZBA OCENIONYCH JCWP</w:t>
            </w:r>
          </w:p>
        </w:tc>
        <w:tc>
          <w:tcPr>
            <w:tcW w:w="674"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953</w:t>
            </w:r>
          </w:p>
        </w:tc>
        <w:tc>
          <w:tcPr>
            <w:tcW w:w="74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630</w:t>
            </w:r>
          </w:p>
        </w:tc>
        <w:tc>
          <w:tcPr>
            <w:tcW w:w="85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3</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709"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3</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15</w:t>
            </w:r>
          </w:p>
        </w:tc>
        <w:tc>
          <w:tcPr>
            <w:tcW w:w="932"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23</w:t>
            </w:r>
          </w:p>
        </w:tc>
        <w:tc>
          <w:tcPr>
            <w:tcW w:w="85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w:t>
            </w:r>
          </w:p>
        </w:tc>
        <w:tc>
          <w:tcPr>
            <w:tcW w:w="870" w:type="dxa"/>
            <w:tcBorders>
              <w:top w:val="nil"/>
              <w:left w:val="nil"/>
              <w:bottom w:val="single" w:sz="4" w:space="0" w:color="auto"/>
              <w:right w:val="single" w:sz="4" w:space="0" w:color="auto"/>
            </w:tcBorders>
            <w:shd w:val="clear" w:color="auto" w:fill="auto"/>
            <w:noWrap/>
            <w:vAlign w:val="center"/>
            <w:hideMark/>
          </w:tcPr>
          <w:p w:rsidR="00BE39C6" w:rsidRPr="00CE203A" w:rsidRDefault="00BE39C6" w:rsidP="00936AEC">
            <w:pPr>
              <w:spacing w:after="0"/>
              <w:jc w:val="center"/>
              <w:rPr>
                <w:rFonts w:ascii="Times New Roman" w:eastAsia="Times New Roman" w:hAnsi="Times New Roman"/>
                <w:color w:val="000000"/>
                <w:sz w:val="16"/>
                <w:szCs w:val="16"/>
                <w:lang w:eastAsia="pl-PL"/>
              </w:rPr>
            </w:pPr>
            <w:r w:rsidRPr="00CE203A">
              <w:rPr>
                <w:rFonts w:ascii="Times New Roman" w:eastAsia="Times New Roman" w:hAnsi="Times New Roman"/>
                <w:color w:val="000000"/>
                <w:sz w:val="16"/>
                <w:szCs w:val="16"/>
                <w:lang w:eastAsia="pl-PL"/>
              </w:rPr>
              <w:t>1630</w:t>
            </w:r>
          </w:p>
        </w:tc>
      </w:tr>
    </w:tbl>
    <w:p w:rsidR="00BE39C6" w:rsidRDefault="00BE39C6" w:rsidP="00BE39C6">
      <w:pPr>
        <w:jc w:val="both"/>
        <w:rPr>
          <w:sz w:val="20"/>
          <w:szCs w:val="20"/>
        </w:rPr>
      </w:pPr>
    </w:p>
    <w:p w:rsidR="00BE39C6" w:rsidRPr="00F1177A" w:rsidRDefault="00BE39C6" w:rsidP="00F1177A">
      <w:pPr>
        <w:jc w:val="both"/>
      </w:pPr>
      <w:r w:rsidRPr="00F1177A">
        <w:t xml:space="preserve">Większość, spośród jcwp, w których wykonano ocenę stanu lub potencjału ekologicznego, charakteryzowała się warunkami fizykochemicznymi klasyfikowanymi w klasie I lub II. W pozostałej część jcwp, stanowiącej 37% ocenionych jednolitych części wód, co najmniej jeden wskaźnik wskazywał na stan lub potencjał ekologiczny wód poniżej dobrego. Wskaźniki, których mierzone wartości najczęściej przekraczały dopuszczalne normy to stężenie fosforanów, chemiczne zapotrzebowanie na tlen, azot, fosfor ogólny oraz ogólny węgiel organiczny. Wszystkie te wskaźniki są miarą stopnia eutrofizacji wód powierzchniowych. </w:t>
      </w:r>
    </w:p>
    <w:p w:rsidR="00BE39C6" w:rsidRDefault="00BE39C6" w:rsidP="00BE39C6">
      <w:pPr>
        <w:jc w:val="both"/>
        <w:rPr>
          <w:sz w:val="20"/>
          <w:szCs w:val="20"/>
        </w:rPr>
      </w:pPr>
      <w:r>
        <w:rPr>
          <w:sz w:val="20"/>
          <w:szCs w:val="20"/>
        </w:rPr>
        <w:tab/>
        <w:t xml:space="preserve"> </w:t>
      </w:r>
    </w:p>
    <w:p w:rsidR="00F1177A" w:rsidRDefault="00F1177A" w:rsidP="00BE39C6">
      <w:pPr>
        <w:jc w:val="both"/>
        <w:rPr>
          <w:sz w:val="20"/>
          <w:szCs w:val="20"/>
        </w:rPr>
      </w:pPr>
    </w:p>
    <w:p w:rsidR="00F1177A" w:rsidRDefault="00F1177A" w:rsidP="00BE39C6">
      <w:pPr>
        <w:jc w:val="both"/>
        <w:rPr>
          <w:sz w:val="20"/>
          <w:szCs w:val="20"/>
        </w:rPr>
      </w:pPr>
    </w:p>
    <w:p w:rsidR="00F1177A" w:rsidRDefault="00F1177A" w:rsidP="00BE39C6">
      <w:pPr>
        <w:jc w:val="both"/>
        <w:rPr>
          <w:sz w:val="20"/>
          <w:szCs w:val="20"/>
        </w:rPr>
      </w:pPr>
    </w:p>
    <w:p w:rsidR="00F1177A" w:rsidRDefault="00F1177A" w:rsidP="00BE39C6">
      <w:pPr>
        <w:jc w:val="both"/>
        <w:rPr>
          <w:sz w:val="20"/>
          <w:szCs w:val="20"/>
        </w:rPr>
      </w:pPr>
    </w:p>
    <w:p w:rsidR="00F1177A" w:rsidRDefault="00F1177A" w:rsidP="00BE39C6">
      <w:pPr>
        <w:jc w:val="both"/>
        <w:rPr>
          <w:sz w:val="20"/>
          <w:szCs w:val="20"/>
        </w:rPr>
      </w:pPr>
    </w:p>
    <w:p w:rsidR="00F1177A" w:rsidRDefault="00F1177A" w:rsidP="00BE39C6">
      <w:pPr>
        <w:jc w:val="both"/>
        <w:rPr>
          <w:sz w:val="20"/>
          <w:szCs w:val="20"/>
        </w:rPr>
      </w:pPr>
    </w:p>
    <w:p w:rsidR="00BE39C6" w:rsidRPr="00F1177A" w:rsidRDefault="00F1177A" w:rsidP="00F1177A">
      <w:pPr>
        <w:jc w:val="both"/>
        <w:rPr>
          <w:i/>
          <w:iCs/>
        </w:rPr>
      </w:pPr>
      <w:r>
        <w:rPr>
          <w:i/>
          <w:iCs/>
        </w:rPr>
        <w:t xml:space="preserve">Tab.2.2. </w:t>
      </w:r>
      <w:r w:rsidR="00BE39C6" w:rsidRPr="00F1177A">
        <w:rPr>
          <w:i/>
          <w:iCs/>
        </w:rPr>
        <w:t xml:space="preserve"> Udział procentowy wyników klasyfikacji poniżej i powyżej klasy II dla wskaźników najczęściej wskazujących na stan/potencjał ekologiczny poniżej dobrego, 100% stanowi liczba klasyfikacji danego wskaźnika wykorzystana w ocenie stanu jcwp rzecznych w latach 2010-2015 (źródło: GIOŚ/PMŚ)</w:t>
      </w:r>
    </w:p>
    <w:p w:rsidR="00BE39C6" w:rsidRDefault="00BE39C6" w:rsidP="00BE39C6">
      <w:pPr>
        <w:jc w:val="both"/>
        <w:rPr>
          <w:sz w:val="20"/>
          <w:szCs w:val="20"/>
        </w:rPr>
      </w:pPr>
      <w:r>
        <w:rPr>
          <w:noProof/>
          <w:sz w:val="20"/>
          <w:szCs w:val="20"/>
          <w:lang w:eastAsia="pl-PL"/>
        </w:rPr>
        <w:drawing>
          <wp:inline distT="0" distB="0" distL="0" distR="0" wp14:anchorId="69A33DAB" wp14:editId="3681C953">
            <wp:extent cx="5785164" cy="2752254"/>
            <wp:effectExtent l="0" t="0" r="6350" b="0"/>
            <wp:docPr id="7"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E39C6" w:rsidRPr="00F1177A" w:rsidRDefault="00BE39C6" w:rsidP="00F1177A">
      <w:pPr>
        <w:jc w:val="both"/>
      </w:pPr>
      <w:r w:rsidRPr="00F1177A">
        <w:t xml:space="preserve">Badania występowania większych niż dopuszczalne stężeń substancji szczególnie szkodliwych dla środowiska wodnego, w zdecydowanej większości nie wykazywały przekroczeń norm. Spośród 23 klasyfikowanych wskaźników jedynie dla 12 zaobserwowano przekroczenie w co najmniej jednej z ocenianych w latach 2010-2015 jcwp rzecznej. Liczba zaobserwowanych przekroczeń była niewielka. Na blisko 14 tys. klasyfikacji, przekroczenie norm dla klasy II stwierdzono jedynie w 51 przypadkach. Około połowa z nich (26) dotyczyła przekroczeń norm dopuszczalnych dla węglowodorów ropopochodnych - indeks oleju mineralnego (15)  oraz fenoli lotnych - indeks fenolowy (11). </w:t>
      </w:r>
    </w:p>
    <w:p w:rsidR="00BE39C6" w:rsidRPr="00F1177A" w:rsidRDefault="00BE39C6" w:rsidP="00F1177A">
      <w:pPr>
        <w:jc w:val="both"/>
      </w:pPr>
      <w:r w:rsidRPr="00F1177A">
        <w:t>W ocenie stanu chemicznego, najczęściej przekraczającym normę wskaźnikiem była suma wielopierścieniowych węglowodorów aromatycznych (WWA). Na jej podstawie stwierdzono stan chemiczny poniżej dobrego w 28,6% (229 jcwp) spośród 802 ocenianych jcwp m.in. pod kątem tego wskaźnika. Kolejnymi wskaźnikami pod względem frekwencji klasyfikacji wskazującej na stan chemiczny poniżej dobrego był kadm i jego związki (21 przypadków przekroczeń) oraz rtęć i jej związki (18 przypadków przekroczeń). Przekroczenia wskazujące na stan chemiczny poniżej dobrego w liczbie klasyfikacji nieprzekraczającej 10 stwierdzono w 12 wskaźnikach chemicznego stanu wód. Klasyfikacja pozostałych wskaźników wskazywała na dobry stan chemiczny wód.</w:t>
      </w:r>
    </w:p>
    <w:p w:rsidR="00BE39C6" w:rsidRPr="003B1DFB" w:rsidRDefault="00BE39C6" w:rsidP="003B1DFB">
      <w:pPr>
        <w:pStyle w:val="Nagwek2"/>
      </w:pPr>
      <w:r w:rsidRPr="003B1DFB">
        <w:t xml:space="preserve">  </w:t>
      </w:r>
      <w:bookmarkStart w:id="9" w:name="_Toc482258683"/>
      <w:bookmarkStart w:id="10" w:name="_Toc505604910"/>
      <w:bookmarkStart w:id="11" w:name="_Toc505605303"/>
      <w:r w:rsidRPr="003B1DFB">
        <w:t>Stan jezior</w:t>
      </w:r>
      <w:bookmarkEnd w:id="9"/>
      <w:bookmarkEnd w:id="10"/>
      <w:bookmarkEnd w:id="11"/>
      <w:r w:rsidRPr="003B1DFB">
        <w:t xml:space="preserve"> </w:t>
      </w:r>
    </w:p>
    <w:p w:rsidR="00BE39C6" w:rsidRDefault="00BE39C6" w:rsidP="00BE39C6">
      <w:pPr>
        <w:jc w:val="both"/>
      </w:pPr>
      <w:r w:rsidRPr="00B55E3F">
        <w:t>W Polsce jeziora zajmują łącznie mniej niż 1% powierzchni kraju. Natężenie presji rekreacyjnej oraz potrzeba gospodarczego wykorzystania</w:t>
      </w:r>
      <w:r>
        <w:t>, a z drugiej strony konieczność</w:t>
      </w:r>
      <w:r w:rsidRPr="00B55E3F">
        <w:t xml:space="preserve"> ochrony wrażliwych siedlisk i gatunków wymusza wprowadzenie właściwej ochrony </w:t>
      </w:r>
      <w:r>
        <w:t>oraz</w:t>
      </w:r>
      <w:r w:rsidRPr="00B55E3F">
        <w:t xml:space="preserve"> działań naprawczych</w:t>
      </w:r>
      <w:r>
        <w:t>.</w:t>
      </w:r>
    </w:p>
    <w:p w:rsidR="00BE39C6" w:rsidRPr="00765434" w:rsidRDefault="00BE39C6" w:rsidP="00BE39C6">
      <w:pPr>
        <w:jc w:val="both"/>
      </w:pPr>
      <w:r>
        <w:t>W</w:t>
      </w:r>
      <w:r w:rsidRPr="00765434">
        <w:t xml:space="preserve"> cyklu planistycznym 2010–2015 wyznaczono 1044 jcwp jeziornych – podstawowych jednostek gospodarowania wodami. </w:t>
      </w:r>
      <w:r>
        <w:t xml:space="preserve">Są </w:t>
      </w:r>
      <w:r w:rsidRPr="00765434">
        <w:t>to jeziora o powierzchni lustra wody większej</w:t>
      </w:r>
      <w:r>
        <w:t xml:space="preserve"> niż</w:t>
      </w:r>
      <w:r w:rsidRPr="00765434">
        <w:t xml:space="preserve"> 50 ha oraz kilkadziesiąt mniejszych, istotnych dla prawidłowego gospodarowania wodami. Przypisane im zostały właściwe typy abiotyczne, charakteryzujące miejsce występowania, wpływ zlewni na stan wód oraz typ miksji. </w:t>
      </w:r>
      <w:r w:rsidRPr="00765434">
        <w:lastRenderedPageBreak/>
        <w:t xml:space="preserve">Dodatkowo oszacowano stopień modyfikacji hydrologicznych i morfologicznych w obrębie wyznaczanych jwcp, przypisując im status wód naturalnych (dla których określa się stan ekologiczny) lub silnie zmienionych (dla których określa się potencjał ekologiczny). </w:t>
      </w:r>
    </w:p>
    <w:p w:rsidR="00BE39C6" w:rsidRPr="00765434" w:rsidRDefault="00BE39C6" w:rsidP="00BE39C6">
      <w:pPr>
        <w:jc w:val="both"/>
      </w:pPr>
      <w:r w:rsidRPr="00765434">
        <w:t>Tak wyznaczone jcwp są przedmiotem monitorowania i oceny stanu wód powierzchniowych w ramach Państwowego Monitoringu Środowiska. Badania i ocena stanu wód w jeziorach wykonywane są przez wojewódzkie inspektoraty ochrony środowiska. Ze względu na czasochłonność prowadzonych badań w latach 2010–2015 kompletnym monitoringiem objęto 493 jezior</w:t>
      </w:r>
      <w:r>
        <w:t>a</w:t>
      </w:r>
      <w:r w:rsidRPr="00765434">
        <w:t xml:space="preserve">, co stanowi ponad 47% wszystkich wyznaczonych jcwp jeziornych. Ocenę pozostałych, niemonitorowanych jezior opracowuje się ekspercko, na podstawie analizy ich podatności na presje. </w:t>
      </w:r>
    </w:p>
    <w:p w:rsidR="00BE39C6" w:rsidRPr="00765434" w:rsidRDefault="00BE39C6" w:rsidP="00BE39C6">
      <w:pPr>
        <w:jc w:val="both"/>
      </w:pPr>
      <w:r w:rsidRPr="00765434">
        <w:t>System monitorowania stanu lub potencjału ekologicznego jcwp jeziornych obejmuje badania biologicznych wskaźników jakości wód, do których zalicza się: fitoplankton, makro</w:t>
      </w:r>
      <w:r>
        <w:t>f</w:t>
      </w:r>
      <w:r w:rsidRPr="00765434">
        <w:t xml:space="preserve">ity, fitobentos, </w:t>
      </w:r>
      <w:r>
        <w:t>makrobezkręgowce bentosowe</w:t>
      </w:r>
      <w:r w:rsidRPr="00765434">
        <w:t xml:space="preserve"> oraz ichtiofaunę jeziorną, a także wspierające ich ocenę wskaźniki </w:t>
      </w:r>
      <w:r>
        <w:t xml:space="preserve">hydromorfologiczne oraz </w:t>
      </w:r>
      <w:r w:rsidRPr="00765434">
        <w:t>fizykochemiczne charakteryzujące: stan fizyczny (w tym warunki termiczne), warunki tlenowe i zanieczyszczenia organiczne, zasolenie, zakwaszenie, warunki biogenne oraz specyficzne zanieczyszczenia syntetyczne</w:t>
      </w:r>
      <w:r>
        <w:t xml:space="preserve"> </w:t>
      </w:r>
      <w:r w:rsidRPr="00765434">
        <w:t xml:space="preserve">i niesyntetyczne. </w:t>
      </w:r>
    </w:p>
    <w:p w:rsidR="00BE39C6" w:rsidRDefault="00BE39C6" w:rsidP="00BE39C6">
      <w:pPr>
        <w:jc w:val="both"/>
      </w:pPr>
      <w:r w:rsidRPr="002E7614">
        <w:t>Wykonana w ramach Państwowego Monitoringu Środowiska</w:t>
      </w:r>
      <w:r>
        <w:rPr>
          <w:b/>
        </w:rPr>
        <w:t xml:space="preserve"> </w:t>
      </w:r>
      <w:r w:rsidRPr="005E5754">
        <w:t>Ocena stanu lub potencjału ekologicznego</w:t>
      </w:r>
      <w:r w:rsidRPr="00765434">
        <w:t xml:space="preserve"> 493 jezior objętych monitoringiem w latach 2010–2015 wykazała, że 178 jezior osiągnęło co najmniej dobry stan lub potencjał ekologiczny (48 zaklasyfikowano do bardzo dobrego stanu lub maksymalnego potencjału ekologicznego) </w:t>
      </w:r>
      <w:r w:rsidRPr="002D617E">
        <w:t>(Rys.</w:t>
      </w:r>
      <w:r w:rsidR="002D617E">
        <w:t>2.3</w:t>
      </w:r>
      <w:r w:rsidRPr="002D617E">
        <w:t>)</w:t>
      </w:r>
      <w:r>
        <w:t xml:space="preserve"> </w:t>
      </w:r>
      <w:r w:rsidRPr="00765434">
        <w:t>315 spośród zbadanych jezior nie osiągnęło celu środowiskowego, jakim jest co najmniej dobry stan lub potencjał ekologiczny, z czego 81 jezior sklasyfikowano jako jeziora o złym stanie lub potencjale ekologicznym. Ponad 70% przypadków nieosiągnięcia dobrego stanu lub potencjału ekologicznego spowodowanych było gorszą niż dobra oceną stanu fitoplanktonu jeziornego.</w:t>
      </w:r>
    </w:p>
    <w:p w:rsidR="00BE39C6" w:rsidRDefault="00BE39C6" w:rsidP="00BE39C6">
      <w:pPr>
        <w:jc w:val="both"/>
      </w:pPr>
    </w:p>
    <w:p w:rsidR="00BE39C6" w:rsidRPr="00411A5C" w:rsidRDefault="00BE39C6" w:rsidP="00BE39C6">
      <w:pPr>
        <w:jc w:val="both"/>
        <w:rPr>
          <w:highlight w:val="yellow"/>
        </w:rPr>
      </w:pPr>
      <w:r>
        <w:rPr>
          <w:noProof/>
          <w:lang w:eastAsia="pl-PL"/>
        </w:rPr>
        <w:drawing>
          <wp:inline distT="0" distB="0" distL="0" distR="0" wp14:anchorId="2C1546D3" wp14:editId="474AE60B">
            <wp:extent cx="3467100" cy="31245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9139" t="20882" r="28973" b="12011"/>
                    <a:stretch/>
                  </pic:blipFill>
                  <pic:spPr bwMode="auto">
                    <a:xfrm>
                      <a:off x="0" y="0"/>
                      <a:ext cx="3467100" cy="3124500"/>
                    </a:xfrm>
                    <a:prstGeom prst="rect">
                      <a:avLst/>
                    </a:prstGeom>
                    <a:ln>
                      <a:noFill/>
                    </a:ln>
                    <a:extLst>
                      <a:ext uri="{53640926-AAD7-44D8-BBD7-CCE9431645EC}">
                        <a14:shadowObscured xmlns:a14="http://schemas.microsoft.com/office/drawing/2010/main"/>
                      </a:ext>
                    </a:extLst>
                  </pic:spPr>
                </pic:pic>
              </a:graphicData>
            </a:graphic>
          </wp:inline>
        </w:drawing>
      </w:r>
    </w:p>
    <w:p w:rsidR="00BE39C6" w:rsidRPr="00765434" w:rsidRDefault="00BE39C6" w:rsidP="00BE39C6">
      <w:pPr>
        <w:ind w:left="709" w:hanging="709"/>
        <w:jc w:val="both"/>
      </w:pPr>
      <w:r w:rsidRPr="002D617E">
        <w:rPr>
          <w:i/>
        </w:rPr>
        <w:lastRenderedPageBreak/>
        <w:t xml:space="preserve">Rys. </w:t>
      </w:r>
      <w:r w:rsidR="002D617E">
        <w:rPr>
          <w:i/>
        </w:rPr>
        <w:t>2.3</w:t>
      </w:r>
      <w:r>
        <w:rPr>
          <w:i/>
        </w:rPr>
        <w:t xml:space="preserve"> </w:t>
      </w:r>
      <w:r w:rsidRPr="00765434">
        <w:rPr>
          <w:i/>
        </w:rPr>
        <w:t xml:space="preserve">Stan lub potencjał ekologiczny jcwp jeziornych w Polsce w latach 2010–2015 </w:t>
      </w:r>
      <w:r>
        <w:rPr>
          <w:i/>
        </w:rPr>
        <w:br/>
      </w:r>
      <w:r w:rsidRPr="00765434">
        <w:rPr>
          <w:i/>
        </w:rPr>
        <w:t>(źródło: GIOŚ/PMŚ).</w:t>
      </w:r>
    </w:p>
    <w:p w:rsidR="00BE39C6" w:rsidRDefault="00BE39C6" w:rsidP="00BE39C6">
      <w:pPr>
        <w:jc w:val="both"/>
      </w:pPr>
    </w:p>
    <w:p w:rsidR="00BE39C6" w:rsidRDefault="00BE39C6" w:rsidP="00BE39C6">
      <w:pPr>
        <w:jc w:val="both"/>
      </w:pPr>
      <w:r>
        <w:t xml:space="preserve">Ocenie podlega </w:t>
      </w:r>
      <w:r w:rsidRPr="005E5754">
        <w:t>również stan chemiczny wód</w:t>
      </w:r>
      <w:r>
        <w:t xml:space="preserve">, na potrzeby którego monitoruje się wskaźniki chemiczne charakteryzujące występowanie substancji priorytetowych w dziedzinie polityki wodnej, których eliminacja powinna być priorytetem w polityce ochrony wód. Są to m.in. metale ciężkie, związki metaloorganiczne oraz węglowodory charakteryzujące się wysoką toksycznością, a także 8 wskaźników innych substancji zanieczyszczających obejmujących pestycydy jak aldryna, dieldryna, endryna, izodryna, DDT (z wyszczególnieniem izomeru para-para) oraz potencjalnie kancerogenne środki czyszczące jak trichloroetylen i tetrachloroetylen. </w:t>
      </w:r>
    </w:p>
    <w:p w:rsidR="00BE39C6" w:rsidRPr="00C54973" w:rsidRDefault="00BE39C6" w:rsidP="00BE39C6">
      <w:pPr>
        <w:jc w:val="both"/>
        <w:rPr>
          <w:highlight w:val="yellow"/>
        </w:rPr>
      </w:pPr>
      <w:r>
        <w:t>W latach 2010–2015 normy stanu chemicznego były stosunkowo rzadko przekraczane. Pojawiające się incydenty dotyczą najczęściej wielopierścieniowych węglowodorów aromatycznych (WWA – 51 jezior), rtęci (12 jezior), endosulfanu (10 jezior) oraz DDT (10 jezior). Przeprowadzone w kolejnych latach powtórne badania tych wskaźników, z wyjątkiem</w:t>
      </w:r>
      <w:r w:rsidRPr="003C30D8">
        <w:t xml:space="preserve"> </w:t>
      </w:r>
      <w:r>
        <w:t xml:space="preserve">węglowodorów aromatycznych, w większości przypadków nie wykazywały stężeń </w:t>
      </w:r>
      <w:r w:rsidRPr="00411A5C">
        <w:t>przekraczających przyjęte normy środowiskowe. Końcowa ocena stanu chemicznego dla lat 2010–2015 wykazała , że w 359 jeziorach (93% jezior ocenionych pod kątem stanu chemicznego oraz 34% wszystkich JCWP jezior w Polsce) stan chemiczny oceniony został jako dobry (brak przekroczeń), a w 27 jeziorach (7% ocenionych i 3% wszystkich), w których stwierdzono przekroczenia substancji niebezpiecznych, stan chemiczny oceniony został poniżej dobrego (rys. 4). Wiarygodność ocen stanu chemicznego wahała się od niskiej do wysokiej.</w:t>
      </w:r>
    </w:p>
    <w:p w:rsidR="00BE39C6" w:rsidRDefault="00BE39C6" w:rsidP="00BE39C6">
      <w:pPr>
        <w:jc w:val="both"/>
      </w:pPr>
      <w:r w:rsidRPr="00411A5C">
        <w:t>Na podstawie kombinacji stanu/potencjału ekologicznego i chemicznego możliwe było opracowane oceny stanu dla 855 jezior. Stan 151 (18% jezior ocenionych oraz 14% wszystkich JCWP jezior w Polsce) został oceniony, jako dobry, a 704 jako zły (82% ocenionych i 67% wszystkich). Dla 189 jezior, których stan/potencjał ekologiczny został oceniony jako bardzo dobry/maksymalny lub dobry, ale dla których nie było dostępnych informacji o stanie chemicznym, stan ogólny nie mógł zostać oceniony. Pozostałe 10 jezior nie zostało ocenionych ani pod kątem stanu ekologicznego, ani chemicznego.</w:t>
      </w:r>
    </w:p>
    <w:p w:rsidR="00BE39C6" w:rsidRDefault="00BE39C6" w:rsidP="00BE39C6">
      <w:pPr>
        <w:jc w:val="both"/>
      </w:pPr>
      <w:r>
        <w:t>Najpowszechniej obserwowanym problemem skutkującym nieosiągnięciu dobrego stanu wód jest intensywny wzrost trofii jezior, czego wynikiem jest zachwianie równowagi ekologicznej dającej się zaobserwować m.in. poprzez coraz obfitsze zakwity fitoplanktonu, występowanie deficytów tlenowych, spadek widzialności, a także zmniejszenie zróżnicowania siedlisk oraz gatunków</w:t>
      </w:r>
      <w:r w:rsidRPr="00663DF4">
        <w:t>.</w:t>
      </w:r>
      <w:r>
        <w:t xml:space="preserve"> </w:t>
      </w:r>
    </w:p>
    <w:p w:rsidR="00BE39C6" w:rsidRDefault="00BE39C6" w:rsidP="00BE39C6">
      <w:pPr>
        <w:jc w:val="both"/>
        <w:rPr>
          <w:noProof/>
          <w:lang w:eastAsia="pl-PL"/>
        </w:rPr>
      </w:pPr>
    </w:p>
    <w:p w:rsidR="00BE39C6" w:rsidRDefault="00BE39C6" w:rsidP="00BE39C6">
      <w:pPr>
        <w:jc w:val="both"/>
        <w:rPr>
          <w:noProof/>
          <w:lang w:eastAsia="pl-PL"/>
        </w:rPr>
      </w:pPr>
    </w:p>
    <w:p w:rsidR="00BE39C6" w:rsidRDefault="00BE39C6" w:rsidP="00BE39C6">
      <w:pPr>
        <w:jc w:val="both"/>
        <w:rPr>
          <w:noProof/>
          <w:lang w:eastAsia="pl-PL"/>
        </w:rPr>
      </w:pPr>
    </w:p>
    <w:p w:rsidR="00D90275" w:rsidRDefault="00D90275" w:rsidP="00BE39C6">
      <w:pPr>
        <w:jc w:val="both"/>
      </w:pPr>
      <w:r>
        <w:rPr>
          <w:noProof/>
          <w:lang w:eastAsia="pl-PL"/>
        </w:rPr>
        <w:lastRenderedPageBreak/>
        <mc:AlternateContent>
          <mc:Choice Requires="wps">
            <w:drawing>
              <wp:anchor distT="0" distB="0" distL="114300" distR="114300" simplePos="0" relativeHeight="251663360" behindDoc="0" locked="0" layoutInCell="1" allowOverlap="1" wp14:anchorId="1F680239" wp14:editId="742A1075">
                <wp:simplePos x="0" y="0"/>
                <wp:positionH relativeFrom="column">
                  <wp:posOffset>405130</wp:posOffset>
                </wp:positionH>
                <wp:positionV relativeFrom="paragraph">
                  <wp:posOffset>6329680</wp:posOffset>
                </wp:positionV>
                <wp:extent cx="4543425" cy="523875"/>
                <wp:effectExtent l="0" t="0" r="9525" b="9525"/>
                <wp:wrapNone/>
                <wp:docPr id="24" name="Pole tekstowe 24"/>
                <wp:cNvGraphicFramePr/>
                <a:graphic xmlns:a="http://schemas.openxmlformats.org/drawingml/2006/main">
                  <a:graphicData uri="http://schemas.microsoft.com/office/word/2010/wordprocessingShape">
                    <wps:wsp>
                      <wps:cNvSpPr txBox="1"/>
                      <wps:spPr>
                        <a:xfrm>
                          <a:off x="0" y="0"/>
                          <a:ext cx="45434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2649" w:rsidRPr="00D90275" w:rsidRDefault="00812649" w:rsidP="00D90275">
                            <w:pPr>
                              <w:rPr>
                                <w:i/>
                                <w:sz w:val="20"/>
                                <w:szCs w:val="20"/>
                              </w:rPr>
                            </w:pPr>
                            <w:r w:rsidRPr="00D90275">
                              <w:rPr>
                                <w:i/>
                                <w:sz w:val="20"/>
                                <w:szCs w:val="20"/>
                              </w:rPr>
                              <w:t>Rys 2.4 Rozmieszczenie i udział jcwp jezior w Polsce (n=1044) w poszczególnych klasach</w:t>
                            </w:r>
                            <w:r>
                              <w:rPr>
                                <w:i/>
                                <w:sz w:val="20"/>
                                <w:szCs w:val="20"/>
                              </w:rPr>
                              <w:t xml:space="preserve"> stanu chemicznego, </w:t>
                            </w:r>
                            <w:r w:rsidRPr="00D90275">
                              <w:rPr>
                                <w:i/>
                                <w:sz w:val="20"/>
                                <w:szCs w:val="20"/>
                              </w:rPr>
                              <w:t>D</w:t>
                            </w:r>
                            <w:r>
                              <w:rPr>
                                <w:i/>
                                <w:sz w:val="20"/>
                                <w:szCs w:val="20"/>
                              </w:rPr>
                              <w:t xml:space="preserve"> -  dobry, PD – poniżej dobrego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680239" id="Pole tekstowe 24" o:spid="_x0000_s1027" type="#_x0000_t202" style="position:absolute;left:0;text-align:left;margin-left:31.9pt;margin-top:498.4pt;width:357.75pt;height:41.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" fillcolor="white [3201]" stroked="f" strokeweight=".5pt">
                <v:textbox>
                  <w:txbxContent>
                    <w:p w:rsidR="00812649" w:rsidRPr="00D90275" w:rsidRDefault="00812649" w:rsidP="00D90275">
                      <w:pPr>
                        <w:rPr>
                          <w:i/>
                          <w:sz w:val="20"/>
                          <w:szCs w:val="20"/>
                        </w:rPr>
                      </w:pPr>
                      <w:r w:rsidRPr="00D90275">
                        <w:rPr>
                          <w:i/>
                          <w:sz w:val="20"/>
                          <w:szCs w:val="20"/>
                        </w:rPr>
                        <w:t>Rys 2.4 Rozmieszczenie i udział jcwp jezior w Polsce (n=1044) w poszczególnych klasach</w:t>
                      </w:r>
                      <w:r>
                        <w:rPr>
                          <w:i/>
                          <w:sz w:val="20"/>
                          <w:szCs w:val="20"/>
                        </w:rPr>
                        <w:t xml:space="preserve"> stanu chemicznego, </w:t>
                      </w:r>
                      <w:r w:rsidRPr="00D90275">
                        <w:rPr>
                          <w:i/>
                          <w:sz w:val="20"/>
                          <w:szCs w:val="20"/>
                        </w:rPr>
                        <w:t>D</w:t>
                      </w:r>
                      <w:r>
                        <w:rPr>
                          <w:i/>
                          <w:sz w:val="20"/>
                          <w:szCs w:val="20"/>
                        </w:rPr>
                        <w:t xml:space="preserve"> -  dobry, PD – poniżej dobrego</w:t>
                      </w:r>
                    </w:p>
                  </w:txbxContent>
                </v:textbox>
              </v:shape>
            </w:pict>
          </mc:Fallback>
        </mc:AlternateContent>
      </w:r>
      <w:r w:rsidR="002D617E">
        <w:rPr>
          <w:noProof/>
          <w:lang w:eastAsia="pl-PL"/>
        </w:rPr>
        <mc:AlternateContent>
          <mc:Choice Requires="wps">
            <w:drawing>
              <wp:anchor distT="0" distB="0" distL="114300" distR="114300" simplePos="0" relativeHeight="251661312" behindDoc="0" locked="0" layoutInCell="1" allowOverlap="1" wp14:anchorId="0CC64AD9" wp14:editId="2E32215A">
                <wp:simplePos x="0" y="0"/>
                <wp:positionH relativeFrom="column">
                  <wp:posOffset>557530</wp:posOffset>
                </wp:positionH>
                <wp:positionV relativeFrom="paragraph">
                  <wp:posOffset>2872105</wp:posOffset>
                </wp:positionV>
                <wp:extent cx="4543425" cy="666750"/>
                <wp:effectExtent l="0" t="0" r="9525" b="0"/>
                <wp:wrapNone/>
                <wp:docPr id="16" name="Pole tekstowe 16"/>
                <wp:cNvGraphicFramePr/>
                <a:graphic xmlns:a="http://schemas.openxmlformats.org/drawingml/2006/main">
                  <a:graphicData uri="http://schemas.microsoft.com/office/word/2010/wordprocessingShape">
                    <wps:wsp>
                      <wps:cNvSpPr txBox="1"/>
                      <wps:spPr>
                        <a:xfrm>
                          <a:off x="0" y="0"/>
                          <a:ext cx="4543425"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2649" w:rsidRPr="00D90275" w:rsidRDefault="00812649">
                            <w:pPr>
                              <w:rPr>
                                <w:i/>
                                <w:sz w:val="20"/>
                                <w:szCs w:val="20"/>
                              </w:rPr>
                            </w:pPr>
                            <w:r w:rsidRPr="00D90275">
                              <w:rPr>
                                <w:i/>
                                <w:sz w:val="20"/>
                                <w:szCs w:val="20"/>
                              </w:rPr>
                              <w:t>Rys 2.4 Rozmieszczenie i udział jcwp jezior w Polsce (n=1044) w poszczególnych klasach stanu/potencjału ekologicznego, BD/M-bardzo dobry/maksymalny, D – dobry, U-umiarkowany, S – słaby, Z - zły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64AD9" id="Pole tekstowe 16" o:spid="_x0000_s1028" type="#_x0000_t202" style="position:absolute;left:0;text-align:left;margin-left:43.9pt;margin-top:226.15pt;width:357.75pt;height:5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" fillcolor="white [3201]" stroked="f" strokeweight=".5pt">
                <v:textbox>
                  <w:txbxContent>
                    <w:p w:rsidR="00812649" w:rsidRPr="00D90275" w:rsidRDefault="00812649">
                      <w:pPr>
                        <w:rPr>
                          <w:i/>
                          <w:sz w:val="20"/>
                          <w:szCs w:val="20"/>
                        </w:rPr>
                      </w:pPr>
                      <w:r w:rsidRPr="00D90275">
                        <w:rPr>
                          <w:i/>
                          <w:sz w:val="20"/>
                          <w:szCs w:val="20"/>
                        </w:rPr>
                        <w:t>Rys 2.4 Rozmieszczenie i udział jcwp jezior w Polsce (n=1044) w poszczególnych klasach stanu/potencjału ekologicznego, BD/M-bardzo dobry/maksymalny, D – dobry, U-umiarkowany, S – słaby, Z - zły</w:t>
                      </w:r>
                    </w:p>
                  </w:txbxContent>
                </v:textbox>
              </v:shape>
            </w:pict>
          </mc:Fallback>
        </mc:AlternateContent>
      </w:r>
      <w:r w:rsidR="00BE39C6">
        <w:rPr>
          <w:noProof/>
          <w:lang w:eastAsia="pl-PL"/>
        </w:rPr>
        <w:drawing>
          <wp:inline distT="0" distB="0" distL="0" distR="0" wp14:anchorId="54364E37" wp14:editId="426369A0">
            <wp:extent cx="5676523" cy="6856056"/>
            <wp:effectExtent l="0" t="0" r="635" b="254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169" t="8238" r="22170" b="7732"/>
                    <a:stretch/>
                  </pic:blipFill>
                  <pic:spPr bwMode="auto">
                    <a:xfrm>
                      <a:off x="0" y="0"/>
                      <a:ext cx="5679863" cy="6860090"/>
                    </a:xfrm>
                    <a:prstGeom prst="rect">
                      <a:avLst/>
                    </a:prstGeom>
                    <a:ln>
                      <a:noFill/>
                    </a:ln>
                    <a:extLst>
                      <a:ext uri="{53640926-AAD7-44D8-BBD7-CCE9431645EC}">
                        <a14:shadowObscured xmlns:a14="http://schemas.microsoft.com/office/drawing/2010/main"/>
                      </a:ext>
                    </a:extLst>
                  </pic:spPr>
                </pic:pic>
              </a:graphicData>
            </a:graphic>
          </wp:inline>
        </w:drawing>
      </w:r>
    </w:p>
    <w:p w:rsidR="00BE39C6" w:rsidRPr="00D90275" w:rsidRDefault="00AB7A3C" w:rsidP="00D90275">
      <w:r>
        <w:rPr>
          <w:i/>
        </w:rPr>
        <w:t>(źródło: GIOŚ/PMŚ)</w:t>
      </w:r>
    </w:p>
    <w:p w:rsidR="00BE39C6" w:rsidRDefault="00AB7A3C" w:rsidP="00BE39C6">
      <w:pPr>
        <w:jc w:val="both"/>
      </w:pPr>
      <w:r>
        <w:rPr>
          <w:noProof/>
          <w:lang w:eastAsia="pl-PL"/>
        </w:rPr>
        <w:lastRenderedPageBreak/>
        <mc:AlternateContent>
          <mc:Choice Requires="wps">
            <w:drawing>
              <wp:anchor distT="0" distB="0" distL="114300" distR="114300" simplePos="0" relativeHeight="251665408" behindDoc="0" locked="0" layoutInCell="1" allowOverlap="1" wp14:anchorId="7AD7EA33" wp14:editId="4840A6E1">
                <wp:simplePos x="0" y="0"/>
                <wp:positionH relativeFrom="column">
                  <wp:posOffset>-4445</wp:posOffset>
                </wp:positionH>
                <wp:positionV relativeFrom="paragraph">
                  <wp:posOffset>2843530</wp:posOffset>
                </wp:positionV>
                <wp:extent cx="4543425" cy="523875"/>
                <wp:effectExtent l="0" t="0" r="9525" b="9525"/>
                <wp:wrapNone/>
                <wp:docPr id="26" name="Pole tekstowe 26"/>
                <wp:cNvGraphicFramePr/>
                <a:graphic xmlns:a="http://schemas.openxmlformats.org/drawingml/2006/main">
                  <a:graphicData uri="http://schemas.microsoft.com/office/word/2010/wordprocessingShape">
                    <wps:wsp>
                      <wps:cNvSpPr txBox="1"/>
                      <wps:spPr>
                        <a:xfrm>
                          <a:off x="0" y="0"/>
                          <a:ext cx="45434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2649" w:rsidRPr="00D90275" w:rsidRDefault="00812649" w:rsidP="00AB7A3C">
                            <w:pPr>
                              <w:rPr>
                                <w:i/>
                                <w:sz w:val="20"/>
                                <w:szCs w:val="20"/>
                              </w:rPr>
                            </w:pPr>
                            <w:r w:rsidRPr="00D90275">
                              <w:rPr>
                                <w:i/>
                                <w:sz w:val="20"/>
                                <w:szCs w:val="20"/>
                              </w:rPr>
                              <w:t>Rys 2.4 Rozmieszczenie i udział jcwp jezior w Polsce (n=1044) w poszczególnych klasach</w:t>
                            </w:r>
                            <w:r>
                              <w:rPr>
                                <w:i/>
                                <w:sz w:val="20"/>
                                <w:szCs w:val="20"/>
                              </w:rPr>
                              <w:t xml:space="preserve"> stanu chemicznego, </w:t>
                            </w:r>
                            <w:r w:rsidRPr="00D90275">
                              <w:rPr>
                                <w:i/>
                                <w:sz w:val="20"/>
                                <w:szCs w:val="20"/>
                              </w:rPr>
                              <w:t>D</w:t>
                            </w:r>
                            <w:r>
                              <w:rPr>
                                <w:i/>
                                <w:sz w:val="20"/>
                                <w:szCs w:val="20"/>
                              </w:rPr>
                              <w:t xml:space="preserve"> -  dobry, Z – zły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D7EA33" id="Pole tekstowe 26" o:spid="_x0000_s1029" type="#_x0000_t202" style="position:absolute;left:0;text-align:left;margin-left:-.35pt;margin-top:223.9pt;width:357.75pt;height:41.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" fillcolor="white [3201]" stroked="f" strokeweight=".5pt">
                <v:textbox>
                  <w:txbxContent>
                    <w:p w:rsidR="00812649" w:rsidRPr="00D90275" w:rsidRDefault="00812649" w:rsidP="00AB7A3C">
                      <w:pPr>
                        <w:rPr>
                          <w:i/>
                          <w:sz w:val="20"/>
                          <w:szCs w:val="20"/>
                        </w:rPr>
                      </w:pPr>
                      <w:r w:rsidRPr="00D90275">
                        <w:rPr>
                          <w:i/>
                          <w:sz w:val="20"/>
                          <w:szCs w:val="20"/>
                        </w:rPr>
                        <w:t>Rys 2.4 Rozmieszczenie i udział jcwp jezior w Polsce (n=1044) w poszczególnych klasach</w:t>
                      </w:r>
                      <w:r>
                        <w:rPr>
                          <w:i/>
                          <w:sz w:val="20"/>
                          <w:szCs w:val="20"/>
                        </w:rPr>
                        <w:t xml:space="preserve"> stanu chemicznego, </w:t>
                      </w:r>
                      <w:r w:rsidRPr="00D90275">
                        <w:rPr>
                          <w:i/>
                          <w:sz w:val="20"/>
                          <w:szCs w:val="20"/>
                        </w:rPr>
                        <w:t>D</w:t>
                      </w:r>
                      <w:r>
                        <w:rPr>
                          <w:i/>
                          <w:sz w:val="20"/>
                          <w:szCs w:val="20"/>
                        </w:rPr>
                        <w:t xml:space="preserve"> -  dobry, Z – zły</w:t>
                      </w:r>
                    </w:p>
                  </w:txbxContent>
                </v:textbox>
              </v:shape>
            </w:pict>
          </mc:Fallback>
        </mc:AlternateContent>
      </w:r>
      <w:r w:rsidR="00BE39C6">
        <w:rPr>
          <w:noProof/>
          <w:lang w:eastAsia="pl-PL"/>
        </w:rPr>
        <w:drawing>
          <wp:inline distT="0" distB="0" distL="0" distR="0" wp14:anchorId="734EE56B" wp14:editId="34C4385A">
            <wp:extent cx="5115208" cy="3305873"/>
            <wp:effectExtent l="0" t="0" r="9525" b="889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7830" t="11156" r="25157" b="50866"/>
                    <a:stretch/>
                  </pic:blipFill>
                  <pic:spPr bwMode="auto">
                    <a:xfrm>
                      <a:off x="0" y="0"/>
                      <a:ext cx="5117623" cy="3307434"/>
                    </a:xfrm>
                    <a:prstGeom prst="rect">
                      <a:avLst/>
                    </a:prstGeom>
                    <a:ln>
                      <a:noFill/>
                    </a:ln>
                    <a:extLst>
                      <a:ext uri="{53640926-AAD7-44D8-BBD7-CCE9431645EC}">
                        <a14:shadowObscured xmlns:a14="http://schemas.microsoft.com/office/drawing/2010/main"/>
                      </a:ext>
                    </a:extLst>
                  </pic:spPr>
                </pic:pic>
              </a:graphicData>
            </a:graphic>
          </wp:inline>
        </w:drawing>
      </w:r>
    </w:p>
    <w:p w:rsidR="00AB7A3C" w:rsidRDefault="00AB7A3C" w:rsidP="00AB7A3C">
      <w:r>
        <w:rPr>
          <w:i/>
        </w:rPr>
        <w:t>(źródło: GIOŚ/PMŚ)</w:t>
      </w:r>
    </w:p>
    <w:p w:rsidR="00BE39C6" w:rsidRDefault="00BE39C6" w:rsidP="00BE39C6">
      <w:pPr>
        <w:jc w:val="both"/>
      </w:pPr>
      <w:r>
        <w:t xml:space="preserve">Istotnym źródłem problemu jest wciąż dostawa zanieczyszczeń zarówno z obszarów o nieuregulowanej gospodarce ściekowej, terenów rolniczych, ale także w wyniku intensywnej presji turystycznej i rekreacyjnej. Są to przede wszystkim zanieczyszczenia zawierające substancje biogenne, zwiększające trofię jezior. Oprócz dostawy zanieczyszczeń ze zlewni jeziora obserwuje się także pogarszanie się jakości wód w wyniku zasilania wewnętrznego. Odtlenienie wód jeziornych sprzyja m.in. resorpcji fosforu z osadów jeziornych, co istotnie komplikuje wprowadzanie działań naprawczych, powodując, że sama redukcja dopływu zanieczyszczeń do jeziora jest w znacznej liczbie przypadków niewystarczająca dla osiągnięcia dobrego stanu wód. </w:t>
      </w:r>
    </w:p>
    <w:p w:rsidR="00BE39C6" w:rsidRDefault="00BE39C6" w:rsidP="00BE39C6">
      <w:pPr>
        <w:jc w:val="both"/>
      </w:pPr>
      <w:r>
        <w:t>Obecnie nie identyfikuje się znaczącej liczby punktowych źródeł zanieczyszczeń chemicznych. Przekroczenia norm dla pestycydów związane były ze spływami powierzchniowymi, głównie z terenów rolniczych, ale także z terenów leśnych, na obszarze których opryski były prowadzone blisko 40 lat temu.</w:t>
      </w:r>
    </w:p>
    <w:p w:rsidR="00BE39C6" w:rsidRPr="003B1DFB" w:rsidRDefault="00BE39C6" w:rsidP="003B1DFB">
      <w:pPr>
        <w:pStyle w:val="Nagwek2"/>
      </w:pPr>
      <w:bookmarkStart w:id="12" w:name="_Ref482181234"/>
      <w:bookmarkStart w:id="13" w:name="_Toc482258684"/>
      <w:bookmarkStart w:id="14" w:name="_Toc505604911"/>
      <w:bookmarkStart w:id="15" w:name="_Toc505605304"/>
      <w:r w:rsidRPr="003B1DFB">
        <w:t>Trendy zmian stężeń wybranych zanieczyszczeń badanych w osadach rzek i jezior Polski</w:t>
      </w:r>
      <w:bookmarkEnd w:id="12"/>
      <w:bookmarkEnd w:id="13"/>
      <w:bookmarkEnd w:id="14"/>
      <w:bookmarkEnd w:id="15"/>
      <w:r w:rsidRPr="003B1DFB">
        <w:t xml:space="preserve">  </w:t>
      </w:r>
    </w:p>
    <w:p w:rsidR="00BE39C6" w:rsidRPr="006118B2" w:rsidRDefault="00BE39C6" w:rsidP="00BE39C6">
      <w:pPr>
        <w:jc w:val="both"/>
      </w:pPr>
      <w:r w:rsidRPr="006118B2">
        <w:t xml:space="preserve">Obecność w osadach wysokich stężeń metali ciężkich lub związków organicznych wpływa ujemnie na jakość ekosystemów wód powierzchniowych. Obecne w osadach zanieczyszczenia mogą posiadać właściwości </w:t>
      </w:r>
      <w:r>
        <w:t>toksyczne</w:t>
      </w:r>
      <w:r w:rsidRPr="006118B2">
        <w:t xml:space="preserve"> w stosunku do organizmów wodnych i mogą akumulować się </w:t>
      </w:r>
      <w:r>
        <w:br/>
      </w:r>
      <w:r w:rsidRPr="006118B2">
        <w:t>w łańcuchu troficznym do niebezpiecznych stężeń w tkankach (biomagnifikacja), zwłaszcza drapieżników bytujących w wodach, gdzie znajdują się zanieczyszczone osady.</w:t>
      </w:r>
    </w:p>
    <w:p w:rsidR="00AB7A3C" w:rsidRDefault="00BE39C6" w:rsidP="00BE39C6">
      <w:pPr>
        <w:jc w:val="both"/>
      </w:pPr>
      <w:r w:rsidRPr="006118B2">
        <w:t>W Polsce poziomy najważniejszych pierwiastków i najistotniejszych z punktu zanieczyszczenia środowiska wodnego substancji organicznych, w tym substancji priorytetowych, podlegają stałej obserwacji i ocenie w ramach Pań</w:t>
      </w:r>
      <w:r>
        <w:t>stwowego Monitoringu Środowiska</w:t>
      </w:r>
      <w:r w:rsidRPr="006118B2">
        <w:t>. Wśród pierwiastków badanych w osadach, kontrolowane są stężenia m.in. tych umieszczonych na liś</w:t>
      </w:r>
      <w:r>
        <w:t xml:space="preserve">cie substancji priorytetowych </w:t>
      </w:r>
      <w:r>
        <w:lastRenderedPageBreak/>
        <w:t>w </w:t>
      </w:r>
      <w:r w:rsidRPr="006118B2">
        <w:t xml:space="preserve">dziedzinie polityki wodnej (Cd, Pb, Hg, Ni). </w:t>
      </w:r>
      <w:r>
        <w:t xml:space="preserve">W próbkach </w:t>
      </w:r>
      <w:r w:rsidRPr="006118B2">
        <w:t xml:space="preserve">pobranych osadów </w:t>
      </w:r>
      <w:r>
        <w:t>rzek i </w:t>
      </w:r>
      <w:r w:rsidRPr="006118B2">
        <w:t xml:space="preserve">jezior </w:t>
      </w:r>
      <w:r>
        <w:t xml:space="preserve">oznaczane są groźne dla </w:t>
      </w:r>
      <w:r w:rsidRPr="006118B2">
        <w:t>środowiska związki organiczn</w:t>
      </w:r>
      <w:r>
        <w:t>e:</w:t>
      </w:r>
      <w:r w:rsidRPr="006118B2">
        <w:t xml:space="preserve"> pol</w:t>
      </w:r>
      <w:r>
        <w:t>ichlorowane bifenyle (PCB) oraz </w:t>
      </w:r>
      <w:r w:rsidRPr="006118B2">
        <w:t xml:space="preserve">wielopierścieniowe węglowodory aromatyczne (WWA) </w:t>
      </w:r>
      <w:r>
        <w:t>–</w:t>
      </w:r>
      <w:r w:rsidRPr="006118B2">
        <w:t xml:space="preserve"> m.in. benzo(a)piren, benzo(b)fluoranten, benzo(k)fluoranten, benzo(g,h,i)perylen i indeno(1,2,3-cd)piren. </w:t>
      </w:r>
    </w:p>
    <w:tbl>
      <w:tblPr>
        <w:tblW w:w="0" w:type="auto"/>
        <w:tblLook w:val="04A0" w:firstRow="1" w:lastRow="0" w:firstColumn="1" w:lastColumn="0" w:noHBand="0" w:noVBand="1"/>
      </w:tblPr>
      <w:tblGrid>
        <w:gridCol w:w="9212"/>
      </w:tblGrid>
      <w:tr w:rsidR="00BE39C6" w:rsidRPr="00D3502C" w:rsidTr="00AB7A3C">
        <w:tc>
          <w:tcPr>
            <w:tcW w:w="9212" w:type="dxa"/>
            <w:shd w:val="clear" w:color="auto" w:fill="auto"/>
          </w:tcPr>
          <w:p w:rsidR="00BE39C6" w:rsidRPr="00AB7A3C" w:rsidRDefault="00BE39C6" w:rsidP="00AB7A3C">
            <w:pPr>
              <w:ind w:left="993" w:hanging="993"/>
              <w:jc w:val="both"/>
              <w:rPr>
                <w:rFonts w:ascii="Times New Roman" w:eastAsia="Times New Roman" w:hAnsi="Times New Roman"/>
                <w:lang w:eastAsia="pl-PL"/>
              </w:rPr>
            </w:pPr>
            <w:r w:rsidRPr="00AB7A3C">
              <w:rPr>
                <w:i/>
                <w:lang w:eastAsia="pl-PL"/>
              </w:rPr>
              <w:t xml:space="preserve">Rys. </w:t>
            </w:r>
            <w:r w:rsidR="00AB7A3C" w:rsidRPr="00AB7A3C">
              <w:rPr>
                <w:i/>
                <w:lang w:eastAsia="pl-PL"/>
              </w:rPr>
              <w:t xml:space="preserve">2.5 </w:t>
            </w:r>
            <w:r w:rsidRPr="00AB7A3C">
              <w:rPr>
                <w:i/>
                <w:lang w:eastAsia="pl-PL"/>
              </w:rPr>
              <w:t xml:space="preserve"> Średnie stężenia wybranych metali ciężkich, sum polichlorowanych bifenyli i wielopierścieniowych węglowodorów aromatycznych (BaP, BbF, BkF, IndP, Bper) w osadach jezior reperowych Polski monitorowanych w latach 2009, 2011, 2013, 2015 (źródło: GIOŚ/PMŚ).</w:t>
            </w:r>
          </w:p>
        </w:tc>
      </w:tr>
    </w:tbl>
    <w:p w:rsidR="00BE39C6" w:rsidRDefault="00BE39C6" w:rsidP="00AB7A3C">
      <w:pPr>
        <w:jc w:val="center"/>
      </w:pPr>
      <w:r>
        <w:rPr>
          <w:noProof/>
          <w:lang w:eastAsia="pl-PL"/>
        </w:rPr>
        <w:drawing>
          <wp:inline distT="0" distB="0" distL="0" distR="0" wp14:anchorId="66B29F8C" wp14:editId="6D9FA94E">
            <wp:extent cx="4924425" cy="2400300"/>
            <wp:effectExtent l="0" t="0" r="0" b="0"/>
            <wp:docPr id="8" name="Wykres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bl>
      <w:tblPr>
        <w:tblW w:w="0" w:type="auto"/>
        <w:tblLook w:val="04A0" w:firstRow="1" w:lastRow="0" w:firstColumn="1" w:lastColumn="0" w:noHBand="0" w:noVBand="1"/>
      </w:tblPr>
      <w:tblGrid>
        <w:gridCol w:w="9212"/>
      </w:tblGrid>
      <w:tr w:rsidR="00BE39C6" w:rsidRPr="00D3502C" w:rsidTr="00AB7A3C">
        <w:tc>
          <w:tcPr>
            <w:tcW w:w="9212" w:type="dxa"/>
            <w:shd w:val="clear" w:color="auto" w:fill="auto"/>
          </w:tcPr>
          <w:p w:rsidR="00BE39C6" w:rsidRPr="00AB7A3C" w:rsidRDefault="00AB7A3C" w:rsidP="00AB7A3C">
            <w:pPr>
              <w:autoSpaceDE w:val="0"/>
              <w:autoSpaceDN w:val="0"/>
              <w:ind w:left="851" w:hanging="851"/>
              <w:jc w:val="both"/>
              <w:rPr>
                <w:i/>
                <w:lang w:eastAsia="pl-PL"/>
              </w:rPr>
            </w:pPr>
            <w:r w:rsidRPr="00AB7A3C">
              <w:rPr>
                <w:noProof/>
                <w:lang w:eastAsia="pl-PL"/>
              </w:rPr>
              <w:drawing>
                <wp:anchor distT="0" distB="0" distL="114300" distR="114300" simplePos="0" relativeHeight="251666432" behindDoc="0" locked="0" layoutInCell="1" allowOverlap="1" wp14:anchorId="212F014F" wp14:editId="235203CD">
                  <wp:simplePos x="0" y="0"/>
                  <wp:positionH relativeFrom="column">
                    <wp:posOffset>205105</wp:posOffset>
                  </wp:positionH>
                  <wp:positionV relativeFrom="paragraph">
                    <wp:posOffset>1016635</wp:posOffset>
                  </wp:positionV>
                  <wp:extent cx="4572000" cy="2905125"/>
                  <wp:effectExtent l="0" t="0" r="0" b="0"/>
                  <wp:wrapTopAndBottom/>
                  <wp:docPr id="9" name="Wykres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BE39C6" w:rsidRPr="00AB7A3C">
              <w:rPr>
                <w:i/>
                <w:lang w:eastAsia="pl-PL"/>
              </w:rPr>
              <w:t xml:space="preserve">Rys. </w:t>
            </w:r>
            <w:r>
              <w:rPr>
                <w:i/>
                <w:lang w:eastAsia="pl-PL"/>
              </w:rPr>
              <w:t>2.6</w:t>
            </w:r>
            <w:r w:rsidR="00BE39C6" w:rsidRPr="00AB7A3C">
              <w:rPr>
                <w:i/>
                <w:lang w:eastAsia="pl-PL"/>
              </w:rPr>
              <w:t xml:space="preserve"> Średnie stężenia wybranych metali ciężkich, sum polichlorowanych bifenyli i wielopierścieniowych węglowodorów aromatycznych (BaP, BbF, BkF, IndP, Bper) w osadach rzek Polski w punktach pomiarowo-kontrolnych badanych  w latach 2009–2015 (źródło: GIOŚ/PMŚ).</w:t>
            </w:r>
          </w:p>
        </w:tc>
      </w:tr>
    </w:tbl>
    <w:p w:rsidR="00BE39C6" w:rsidRDefault="00BE39C6" w:rsidP="00BE39C6"/>
    <w:p w:rsidR="00BE39C6" w:rsidRDefault="00BE39C6" w:rsidP="00BE39C6"/>
    <w:p w:rsidR="00BE39C6" w:rsidRPr="006118B2" w:rsidRDefault="00BE39C6" w:rsidP="00BE39C6">
      <w:pPr>
        <w:jc w:val="both"/>
      </w:pPr>
      <w:r w:rsidRPr="006118B2">
        <w:lastRenderedPageBreak/>
        <w:t>Analiza danych z serii pomiarowych</w:t>
      </w:r>
      <w:r>
        <w:t xml:space="preserve"> w ramach r</w:t>
      </w:r>
      <w:r w:rsidRPr="0091647B">
        <w:t>eperow</w:t>
      </w:r>
      <w:r>
        <w:t>ej sieci</w:t>
      </w:r>
      <w:r w:rsidRPr="0091647B">
        <w:t xml:space="preserve"> monitoringu</w:t>
      </w:r>
      <w:r>
        <w:rPr>
          <w:rStyle w:val="Odwoanieprzypisudolnego"/>
        </w:rPr>
        <w:footnoteReference w:id="2"/>
      </w:r>
      <w:r w:rsidRPr="006118B2">
        <w:t xml:space="preserve"> </w:t>
      </w:r>
      <w:r w:rsidRPr="005E5754">
        <w:t>osadów jezior,</w:t>
      </w:r>
      <w:r w:rsidRPr="006118B2">
        <w:t xml:space="preserve"> wykonywanych co dwa lata od roku 2009, </w:t>
      </w:r>
      <w:r>
        <w:t>po</w:t>
      </w:r>
      <w:r w:rsidRPr="006118B2">
        <w:t xml:space="preserve">kazuje, </w:t>
      </w:r>
      <w:r>
        <w:t>że</w:t>
      </w:r>
      <w:r w:rsidRPr="006118B2">
        <w:t xml:space="preserve"> największymi stężeniami wśród metali ciężkich z grupy zanieczyszczeń priorytetowych odznacza się ołów</w:t>
      </w:r>
      <w:r>
        <w:t>, a n</w:t>
      </w:r>
      <w:r w:rsidRPr="006118B2">
        <w:t xml:space="preserve">ajmniejszymi </w:t>
      </w:r>
      <w:r>
        <w:t>–</w:t>
      </w:r>
      <w:r w:rsidRPr="006118B2">
        <w:t xml:space="preserve"> rtęć. Średnie zawartości sum PCB w próbkach osadów jezior reperowych są o wiele </w:t>
      </w:r>
      <w:r>
        <w:t>niższe</w:t>
      </w:r>
      <w:r w:rsidRPr="006118B2">
        <w:t xml:space="preserve"> niż średnie zawartośc</w:t>
      </w:r>
      <w:r>
        <w:t>i sum WWA czy metali ciężkich i </w:t>
      </w:r>
      <w:r w:rsidRPr="006118B2">
        <w:t>utrzymują się na poziomie kilku µg/kg. Można stwierdzić, że średnie stężenia wybranych grup zanieczyszczeń osadów dennych od lat utrzymują się na bardzo zbliżonym poziomie. Jedynie w przypadku sum WWA można zauważyć jednoznacznie trend wzrostowy średnich stężeń sum WWA w osada</w:t>
      </w:r>
      <w:r>
        <w:t>ch jezior reperowych, o ok. 0,2 </w:t>
      </w:r>
      <w:r w:rsidRPr="006118B2">
        <w:t>mg/kg w skali dwóch lat</w:t>
      </w:r>
      <w:r>
        <w:t xml:space="preserve"> (2013-2015)</w:t>
      </w:r>
      <w:r w:rsidRPr="006118B2">
        <w:t xml:space="preserve">. </w:t>
      </w:r>
    </w:p>
    <w:p w:rsidR="00BE39C6" w:rsidRPr="006118B2" w:rsidRDefault="00BE39C6" w:rsidP="00BE39C6">
      <w:pPr>
        <w:jc w:val="both"/>
      </w:pPr>
      <w:r>
        <w:t xml:space="preserve">Analizując wyniki badań monitorowanych corocznie </w:t>
      </w:r>
      <w:r w:rsidRPr="005E5754">
        <w:t>osadów rzecznych</w:t>
      </w:r>
      <w:r w:rsidRPr="006118B2">
        <w:t xml:space="preserve"> </w:t>
      </w:r>
      <w:r>
        <w:t xml:space="preserve">w </w:t>
      </w:r>
      <w:r w:rsidRPr="006118B2">
        <w:t>dorzecz</w:t>
      </w:r>
      <w:r>
        <w:t>u</w:t>
      </w:r>
      <w:r w:rsidRPr="006118B2">
        <w:t xml:space="preserve"> Wisły i Odry, można zauważyć, </w:t>
      </w:r>
      <w:r>
        <w:t>że</w:t>
      </w:r>
      <w:r w:rsidRPr="006118B2">
        <w:t xml:space="preserve"> stężenia zanieczyszczeń chemicznych znajdujących się w nich</w:t>
      </w:r>
      <w:r>
        <w:t xml:space="preserve"> reagują na </w:t>
      </w:r>
      <w:r w:rsidRPr="006118B2">
        <w:t>zdarzenia powodziowe. Wyniki monitoringu z lat o wysokich stanach wody w</w:t>
      </w:r>
      <w:r>
        <w:t xml:space="preserve"> </w:t>
      </w:r>
      <w:r w:rsidRPr="006118B2">
        <w:t xml:space="preserve">korytach rzek </w:t>
      </w:r>
      <w:r>
        <w:br/>
      </w:r>
      <w:r w:rsidRPr="006118B2">
        <w:t>(lata 2010, 2013) charakteryzują się gwałtownymi spadkami średnich stężeń metali ciężkich i</w:t>
      </w:r>
      <w:r>
        <w:t> </w:t>
      </w:r>
      <w:r w:rsidRPr="006118B2">
        <w:t xml:space="preserve">zanieczyszczeń organicznych w osadach. Największy z nich odnotowano dla ołowiu – z 49,74 mg/kg w 2009 roku do 30,82 mg/kg w 2010 roku. Analizując dane pod kątem określenia trendu stężeń zanieczyszczeń, można stwierdzić, </w:t>
      </w:r>
      <w:r>
        <w:t>że</w:t>
      </w:r>
      <w:r w:rsidRPr="006118B2">
        <w:t xml:space="preserve"> zawartości poszczególny</w:t>
      </w:r>
      <w:r>
        <w:t>ch parametrów utrzymywały się w </w:t>
      </w:r>
      <w:r w:rsidRPr="006118B2">
        <w:t>okresie lat 2009</w:t>
      </w:r>
      <w:r>
        <w:t>–</w:t>
      </w:r>
      <w:r w:rsidRPr="006118B2">
        <w:t xml:space="preserve">2015 na zbliżonym poziomie. </w:t>
      </w:r>
    </w:p>
    <w:p w:rsidR="00BE39C6" w:rsidRPr="006118B2" w:rsidRDefault="00BE39C6" w:rsidP="00BE39C6">
      <w:pPr>
        <w:jc w:val="both"/>
      </w:pPr>
      <w:r>
        <w:t>G</w:t>
      </w:r>
      <w:r w:rsidRPr="006118B2">
        <w:t>eneralnie średnie zawartości metali ciężkich, sum WWA i PCB w</w:t>
      </w:r>
      <w:r>
        <w:t> osadach jezior są wyższe niż w </w:t>
      </w:r>
      <w:r w:rsidRPr="006118B2">
        <w:t xml:space="preserve">osadach rzek. Przede wszystkim jest to związane z różnicami w warunkach sedymentacji, zawartości substancji organicznej i innych elementów składających się na sedyment oraz możliwościach ponownego uruchomienia zanieczyszczeń z osadów do toni wodnej w wodach stojących i płynących (Zieliński T., 2014). </w:t>
      </w:r>
    </w:p>
    <w:p w:rsidR="00BE39C6" w:rsidRPr="003B1DFB" w:rsidRDefault="00BE39C6" w:rsidP="003B1DFB">
      <w:pPr>
        <w:pStyle w:val="Nagwek2"/>
      </w:pPr>
      <w:bookmarkStart w:id="16" w:name="_Toc505604912"/>
      <w:bookmarkStart w:id="17" w:name="_Toc505605305"/>
      <w:r w:rsidRPr="003B1DFB">
        <w:t>Wody przejściowe i przybrzeżne</w:t>
      </w:r>
      <w:r w:rsidR="00936AEC" w:rsidRPr="003B1DFB">
        <w:rPr>
          <w:vertAlign w:val="superscript"/>
        </w:rPr>
        <w:footnoteReference w:id="3"/>
      </w:r>
      <w:bookmarkEnd w:id="16"/>
      <w:bookmarkEnd w:id="17"/>
    </w:p>
    <w:p w:rsidR="00BE39C6" w:rsidRPr="005E5754" w:rsidRDefault="00BE39C6" w:rsidP="00BE39C6">
      <w:pPr>
        <w:pStyle w:val="Akapitzlist"/>
        <w:numPr>
          <w:ilvl w:val="0"/>
          <w:numId w:val="7"/>
        </w:numPr>
        <w:rPr>
          <w:bCs/>
          <w:u w:val="single"/>
        </w:rPr>
      </w:pPr>
      <w:r w:rsidRPr="005E5754">
        <w:rPr>
          <w:bCs/>
          <w:u w:val="single"/>
        </w:rPr>
        <w:t>stan/potencjał ekologiczny</w:t>
      </w:r>
    </w:p>
    <w:p w:rsidR="00BE39C6" w:rsidRDefault="00BE39C6" w:rsidP="00BE39C6">
      <w:pPr>
        <w:jc w:val="both"/>
      </w:pPr>
      <w:r>
        <w:t>W ramach Państwowego Monitoringu Środowiska w oparciu o dane z okresu 2010-2015 j</w:t>
      </w:r>
      <w:r w:rsidRPr="001569EC">
        <w:t xml:space="preserve">akość wód przejściowych i przybrzeżnych </w:t>
      </w:r>
      <w:r w:rsidRPr="0006589F">
        <w:t>realizowany jest w oparciu o wyznaczone tzw. jednolite części wód, które należy rozumieć jako oddzielne i znaczące elementy wód powierzchniowych, stanowiące podstawową jednostkę gospodarowania wodami. Lata 2013-2015 w zakresie badań i oceny stanu jednolitych części wód przejściowych i przybrzeżnych są drugą częścią sześcioletniego (od 2010 do 2015) cyklu gospodarowania wodami.</w:t>
      </w:r>
      <w:r>
        <w:t xml:space="preserve"> B</w:t>
      </w:r>
      <w:r w:rsidRPr="001569EC">
        <w:t xml:space="preserve">azując na ocenie przeprowadzonej w układzie jednolitych części wód. Ocena stanu/potencjału ekologicznego </w:t>
      </w:r>
      <w:r>
        <w:t>jcwp</w:t>
      </w:r>
      <w:r w:rsidRPr="001569EC">
        <w:t xml:space="preserve"> została </w:t>
      </w:r>
      <w:r>
        <w:t>przeprowadzona</w:t>
      </w:r>
      <w:r w:rsidRPr="001569EC">
        <w:t xml:space="preserve"> na podstawie uśrednionych wartości wyników badań fizykochemicznych prób wody oraz wskaźników biologicznych z poszczególnych stanowisk pomiarowych, zlokalizowanych </w:t>
      </w:r>
      <w:r>
        <w:t>w</w:t>
      </w:r>
      <w:r w:rsidRPr="001569EC">
        <w:t xml:space="preserve"> </w:t>
      </w:r>
      <w:r>
        <w:t>jcwp</w:t>
      </w:r>
      <w:r w:rsidRPr="001569EC">
        <w:t xml:space="preserve">. </w:t>
      </w:r>
      <w:r>
        <w:t>O</w:t>
      </w:r>
      <w:r w:rsidRPr="001569EC">
        <w:t xml:space="preserve">cena stanu i potencjału ekologicznego dla </w:t>
      </w:r>
      <w:r>
        <w:t>jcwp</w:t>
      </w:r>
      <w:r w:rsidRPr="001569EC">
        <w:t xml:space="preserve"> stanowi </w:t>
      </w:r>
      <w:r>
        <w:t>najsłabszy wynik z trzech:</w:t>
      </w:r>
      <w:r w:rsidRPr="001569EC">
        <w:t xml:space="preserve"> ocen cząstkowych wykonanych dla elementów biologicznych, hydromorfologicznych oraz fizykochemicznych. Biologicznymi wskaźnikami jakości wód, które powodowały klasyfikację stanu lub potencjału ekologicznego poniżej dobrego były chlorofil-a i biomasa fitoplanktonu oraz liczebność organizmów makrozoobentosowych. Na ocenę </w:t>
      </w:r>
      <w:r w:rsidRPr="001569EC">
        <w:lastRenderedPageBreak/>
        <w:t xml:space="preserve">elementów fizykochemicznych poniżej stanu lub potencjału dobrego wpłynęły przede wszystkim wyniki badań przeźroczystości wód (widzialność krążka Secchiego), wskaźników substancji organicznych (OWO), stwierdzone występowanie epizodów przesycenia wód tlenem oraz zbyt wysokie stężenia substancji biogennych, a w szczególności azotu ogólnego i rozpuszczalnych form azotu (azotu amonowego, azotanowego, mineralnego) oraz fosforu ogólnego </w:t>
      </w:r>
      <w:r w:rsidRPr="00936AEC">
        <w:t xml:space="preserve">(Rys. </w:t>
      </w:r>
      <w:r w:rsidR="00936AEC">
        <w:t>2.7</w:t>
      </w:r>
      <w:r w:rsidRPr="00936AEC">
        <w:t>).</w:t>
      </w:r>
    </w:p>
    <w:p w:rsidR="00BE39C6" w:rsidRPr="000C5F83" w:rsidRDefault="00BE39C6" w:rsidP="00BE39C6">
      <w:pPr>
        <w:jc w:val="both"/>
      </w:pPr>
      <w:r>
        <w:rPr>
          <w:noProof/>
          <w:lang w:eastAsia="pl-PL"/>
        </w:rPr>
        <w:drawing>
          <wp:inline distT="0" distB="0" distL="0" distR="0" wp14:anchorId="1C68899F" wp14:editId="71744A70">
            <wp:extent cx="5758004" cy="2507810"/>
            <wp:effectExtent l="0" t="0" r="0" b="6985"/>
            <wp:docPr id="10" name="Obraz 10" descr="Stan_potencjal_ekologiczn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n_potencjal_ekologiczny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222" b="32222"/>
                    <a:stretch/>
                  </pic:blipFill>
                  <pic:spPr bwMode="auto">
                    <a:xfrm>
                      <a:off x="0" y="0"/>
                      <a:ext cx="5758180" cy="2507887"/>
                    </a:xfrm>
                    <a:prstGeom prst="rect">
                      <a:avLst/>
                    </a:prstGeom>
                    <a:noFill/>
                    <a:ln>
                      <a:noFill/>
                    </a:ln>
                    <a:extLst>
                      <a:ext uri="{53640926-AAD7-44D8-BBD7-CCE9431645EC}">
                        <a14:shadowObscured xmlns:a14="http://schemas.microsoft.com/office/drawing/2010/main"/>
                      </a:ext>
                    </a:extLst>
                  </pic:spPr>
                </pic:pic>
              </a:graphicData>
            </a:graphic>
          </wp:inline>
        </w:drawing>
      </w:r>
    </w:p>
    <w:p w:rsidR="00BE39C6" w:rsidRPr="001569EC" w:rsidRDefault="00BE39C6" w:rsidP="00BE39C6">
      <w:pPr>
        <w:jc w:val="both"/>
        <w:rPr>
          <w:i/>
          <w:iCs/>
          <w:sz w:val="20"/>
          <w:szCs w:val="20"/>
        </w:rPr>
      </w:pPr>
      <w:r w:rsidRPr="00936AEC">
        <w:rPr>
          <w:i/>
          <w:iCs/>
        </w:rPr>
        <w:t xml:space="preserve">Rys. </w:t>
      </w:r>
      <w:r w:rsidR="00936AEC">
        <w:rPr>
          <w:i/>
          <w:iCs/>
        </w:rPr>
        <w:t>2.7</w:t>
      </w:r>
      <w:r w:rsidRPr="001569EC">
        <w:rPr>
          <w:i/>
          <w:iCs/>
        </w:rPr>
        <w:t xml:space="preserve"> Ocena stanu lub potencjału ekologicznego wód przejściowych i przybrzeżnych w latach 2010-201</w:t>
      </w:r>
      <w:r>
        <w:rPr>
          <w:i/>
          <w:iCs/>
        </w:rPr>
        <w:t>5</w:t>
      </w:r>
      <w:r w:rsidRPr="001569EC">
        <w:rPr>
          <w:i/>
          <w:iCs/>
        </w:rPr>
        <w:t xml:space="preserve"> (źródło: GIOŚ/PMŚ)</w:t>
      </w:r>
    </w:p>
    <w:p w:rsidR="00BE39C6" w:rsidRPr="005E5754" w:rsidRDefault="00BE39C6" w:rsidP="00BE39C6">
      <w:pPr>
        <w:pStyle w:val="Akapitzlist"/>
        <w:numPr>
          <w:ilvl w:val="0"/>
          <w:numId w:val="7"/>
        </w:numPr>
        <w:rPr>
          <w:u w:val="single"/>
        </w:rPr>
      </w:pPr>
      <w:r w:rsidRPr="005E5754">
        <w:rPr>
          <w:u w:val="single"/>
        </w:rPr>
        <w:t>stan chemiczny</w:t>
      </w:r>
    </w:p>
    <w:p w:rsidR="00BE39C6" w:rsidRDefault="00BE39C6" w:rsidP="00BE39C6">
      <w:pPr>
        <w:ind w:firstLine="709"/>
        <w:jc w:val="both"/>
      </w:pPr>
      <w:r w:rsidRPr="001569EC">
        <w:t xml:space="preserve">Ocena stanu chemicznego wód przejściowych i przybrzeżnych została wykonana na podstawie wyników </w:t>
      </w:r>
      <w:r>
        <w:t>badań 21 wybranych substancji priorytetowych z listy</w:t>
      </w:r>
      <w:r w:rsidRPr="001569EC">
        <w:t xml:space="preserve"> 33 substancji badanych przez wojewódzkie inspektoraty ochrony środowiska w ramach monitoringu diagnostycznego w latach 2010-201</w:t>
      </w:r>
      <w:r>
        <w:t>5</w:t>
      </w:r>
      <w:r w:rsidRPr="001569EC">
        <w:t xml:space="preserve"> oraz 8 innych substancji zanieczyszczających przewidzianych w rozporządzeniu </w:t>
      </w:r>
      <w:r w:rsidRPr="00D410AA">
        <w:t xml:space="preserve">Ministra Środowiska z dnia 21 lipca 2016 r. w sprawie sposobu klasyfikacji stanu jednolitych części wód powierzchniowych oraz środowiskowych norm jakości dla substancji priorytetowych </w:t>
      </w:r>
      <w:r w:rsidRPr="001569EC">
        <w:t xml:space="preserve">(Rys. </w:t>
      </w:r>
      <w:r w:rsidR="00936AEC">
        <w:t>2.8</w:t>
      </w:r>
      <w:r w:rsidRPr="001569EC">
        <w:t>).</w:t>
      </w:r>
      <w:r w:rsidRPr="001569EC">
        <w:rPr>
          <w:i/>
          <w:iCs/>
        </w:rPr>
        <w:t xml:space="preserve"> </w:t>
      </w:r>
      <w:r>
        <w:t>P</w:t>
      </w:r>
      <w:r w:rsidRPr="001569EC">
        <w:t xml:space="preserve">rzekroczeń środowiskowych norm jakości dla </w:t>
      </w:r>
      <w:r>
        <w:t>badanych</w:t>
      </w:r>
      <w:r w:rsidRPr="001569EC">
        <w:t xml:space="preserve"> substancji priorytetowych oraz 8 innych substancji zanieczyszczających</w:t>
      </w:r>
      <w:r w:rsidRPr="00833D59">
        <w:t xml:space="preserve"> </w:t>
      </w:r>
      <w:r>
        <w:t>n</w:t>
      </w:r>
      <w:r w:rsidRPr="001569EC">
        <w:t>ie stwierdzono</w:t>
      </w:r>
      <w:r>
        <w:t xml:space="preserve"> w województwie pomorskim i warmińsko-mazurskim gdzie</w:t>
      </w:r>
      <w:r w:rsidRPr="001569EC">
        <w:t xml:space="preserve"> na podstawie uzyskanych wyników stan chemiczny tych wód oceniono jako dobry.</w:t>
      </w:r>
      <w:r w:rsidRPr="000C5F83">
        <w:t xml:space="preserve"> </w:t>
      </w:r>
      <w:r>
        <w:t xml:space="preserve">Przekroczenia zanotowano w województwie zachodniopomorskim, gdzie stan chemiczny sklasyfikowano jako poniżej dobrego. </w:t>
      </w:r>
    </w:p>
    <w:p w:rsidR="00BE39C6" w:rsidRDefault="00BE39C6" w:rsidP="00BE39C6">
      <w:r>
        <w:rPr>
          <w:noProof/>
          <w:lang w:eastAsia="pl-PL"/>
        </w:rPr>
        <w:lastRenderedPageBreak/>
        <w:drawing>
          <wp:inline distT="0" distB="0" distL="0" distR="0" wp14:anchorId="155894F0" wp14:editId="02568466">
            <wp:extent cx="5758004" cy="2598344"/>
            <wp:effectExtent l="0" t="0" r="0" b="0"/>
            <wp:docPr id="11" name="Obraz 11" descr="Stan_chemi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_chemiczny"/>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5112" b="31109"/>
                    <a:stretch/>
                  </pic:blipFill>
                  <pic:spPr bwMode="auto">
                    <a:xfrm>
                      <a:off x="0" y="0"/>
                      <a:ext cx="5758180" cy="2598424"/>
                    </a:xfrm>
                    <a:prstGeom prst="rect">
                      <a:avLst/>
                    </a:prstGeom>
                    <a:noFill/>
                    <a:ln>
                      <a:noFill/>
                    </a:ln>
                    <a:extLst>
                      <a:ext uri="{53640926-AAD7-44D8-BBD7-CCE9431645EC}">
                        <a14:shadowObscured xmlns:a14="http://schemas.microsoft.com/office/drawing/2010/main"/>
                      </a:ext>
                    </a:extLst>
                  </pic:spPr>
                </pic:pic>
              </a:graphicData>
            </a:graphic>
          </wp:inline>
        </w:drawing>
      </w:r>
    </w:p>
    <w:p w:rsidR="00BE39C6" w:rsidRPr="00936AEC" w:rsidRDefault="00BE39C6" w:rsidP="00BE39C6">
      <w:pPr>
        <w:jc w:val="both"/>
        <w:rPr>
          <w:i/>
          <w:iCs/>
        </w:rPr>
      </w:pPr>
      <w:r w:rsidRPr="00936AEC">
        <w:rPr>
          <w:i/>
          <w:iCs/>
        </w:rPr>
        <w:t xml:space="preserve">Rys. </w:t>
      </w:r>
      <w:r w:rsidR="00936AEC" w:rsidRPr="00936AEC">
        <w:rPr>
          <w:i/>
          <w:iCs/>
        </w:rPr>
        <w:t xml:space="preserve">2.8 </w:t>
      </w:r>
      <w:r w:rsidRPr="00936AEC">
        <w:rPr>
          <w:i/>
          <w:iCs/>
        </w:rPr>
        <w:t xml:space="preserve"> Ocena stanu chemicznego wód przejściowych i przybrzeżnych, wykonana na podstawie 21 substancji</w:t>
      </w:r>
      <w:r w:rsidRPr="00936AEC">
        <w:rPr>
          <w:i/>
          <w:iCs/>
          <w:vertAlign w:val="superscript"/>
        </w:rPr>
        <w:t>12</w:t>
      </w:r>
      <w:r w:rsidRPr="00936AEC">
        <w:rPr>
          <w:i/>
          <w:iCs/>
        </w:rPr>
        <w:t>, w latach 2010-2015 (źródło: GIOŚ/PMŚ)</w:t>
      </w:r>
    </w:p>
    <w:p w:rsidR="00BE39C6" w:rsidRPr="003B1DFB" w:rsidRDefault="00BE39C6" w:rsidP="003B1DFB">
      <w:pPr>
        <w:pStyle w:val="Nagwek2"/>
      </w:pPr>
      <w:bookmarkStart w:id="18" w:name="_Toc505604913"/>
      <w:bookmarkStart w:id="19" w:name="_Toc505605306"/>
      <w:r w:rsidRPr="003B1DFB">
        <w:t>Morze Bałtyckie</w:t>
      </w:r>
      <w:bookmarkEnd w:id="18"/>
      <w:bookmarkEnd w:id="19"/>
    </w:p>
    <w:p w:rsidR="00BE39C6" w:rsidRPr="004E3972" w:rsidRDefault="00BE39C6" w:rsidP="00BE39C6">
      <w:pPr>
        <w:jc w:val="both"/>
      </w:pPr>
      <w:r w:rsidRPr="004E3972">
        <w:t>Stan środowiska polskiej strefy Bałtyku jest kontrolowany regularnie od 1979 r. (od 1991 r. w ramach P</w:t>
      </w:r>
      <w:r>
        <w:t xml:space="preserve">aństwowego </w:t>
      </w:r>
      <w:r w:rsidRPr="004E3972">
        <w:t>M</w:t>
      </w:r>
      <w:r>
        <w:t xml:space="preserve">onitoringu </w:t>
      </w:r>
      <w:r w:rsidRPr="004E3972">
        <w:t>Ś</w:t>
      </w:r>
      <w:r>
        <w:t>rodowiska</w:t>
      </w:r>
      <w:r w:rsidRPr="004E3972">
        <w:t xml:space="preserve">). Pomiary i obserwacje są wykonywane </w:t>
      </w:r>
      <w:r>
        <w:t xml:space="preserve">zgodnie z programem monitoringu wód morskich, przyjętym w 2014 roku przez Radę Ministrów. W ramach programu, badania są wykonywane </w:t>
      </w:r>
      <w:r w:rsidRPr="004E3972">
        <w:t xml:space="preserve">sześciokrotnie w ciągu roku na stacjach położonych </w:t>
      </w:r>
      <w:r>
        <w:br/>
      </w:r>
      <w:r w:rsidRPr="004E3972">
        <w:t xml:space="preserve">w strefie głębokowodnej i płytkowodnej oraz 12 razy w roku na jednej stacji wysokiej częstotliwości. Pomiary hydrologiczne, analizy chemiczne oraz pobór materiału biologicznego i osadów dennych wykonywane są podczas ekspedycji na pokładzie r/v „Baltica” zgodnie z procedurami zawartymi </w:t>
      </w:r>
      <w:r>
        <w:br/>
      </w:r>
      <w:r w:rsidRPr="004E3972">
        <w:t>w podręczniku HELCOM</w:t>
      </w:r>
      <w:r w:rsidRPr="004E3972">
        <w:rPr>
          <w:rStyle w:val="Odwoanieprzypisudolnego"/>
        </w:rPr>
        <w:footnoteReference w:id="4"/>
      </w:r>
      <w:r w:rsidRPr="004E3972">
        <w:t xml:space="preserve"> COMBINE.</w:t>
      </w:r>
    </w:p>
    <w:p w:rsidR="00BE39C6" w:rsidRPr="00E10685" w:rsidRDefault="00BE39C6" w:rsidP="00BE39C6">
      <w:pPr>
        <w:jc w:val="both"/>
      </w:pPr>
      <w:r w:rsidRPr="004844AE">
        <w:t>Na podstawie badań przeprowadzonych w 201</w:t>
      </w:r>
      <w:r>
        <w:t>6</w:t>
      </w:r>
      <w:r w:rsidRPr="004844AE">
        <w:t xml:space="preserve"> r. stan środowiska morskiego polskich obszarów morskich pod względem eutrofizacji należy uznać za </w:t>
      </w:r>
      <w:r>
        <w:t>niezadowalający (subGES)</w:t>
      </w:r>
      <w:r w:rsidRPr="004844AE">
        <w:t>. Za taki stan rzeczy odpowiedzialne są głównie stężenia fosforu całkowitego, azotu całkowitego, chlorofilu-a, przezroczystość wód oraz zawartość</w:t>
      </w:r>
      <w:r>
        <w:t xml:space="preserve"> tlenu rozpuszczonego przy dnie.</w:t>
      </w:r>
      <w:r w:rsidRPr="00E10685">
        <w:t xml:space="preserve"> </w:t>
      </w:r>
    </w:p>
    <w:p w:rsidR="00BE39C6" w:rsidRDefault="00BE39C6" w:rsidP="00BE39C6">
      <w:pPr>
        <w:jc w:val="both"/>
      </w:pPr>
    </w:p>
    <w:p w:rsidR="00936AEC" w:rsidRDefault="00BE39C6" w:rsidP="00936AEC">
      <w:pPr>
        <w:spacing w:after="0"/>
        <w:ind w:left="1134" w:hanging="1134"/>
        <w:jc w:val="both"/>
        <w:rPr>
          <w:i/>
          <w:sz w:val="20"/>
          <w:szCs w:val="20"/>
          <w:highlight w:val="yellow"/>
        </w:rPr>
      </w:pPr>
      <w:r>
        <w:rPr>
          <w:noProof/>
          <w:lang w:eastAsia="pl-PL"/>
        </w:rPr>
        <w:lastRenderedPageBreak/>
        <w:drawing>
          <wp:inline distT="0" distB="0" distL="0" distR="0" wp14:anchorId="4C21DBED" wp14:editId="49FEE6A5">
            <wp:extent cx="4535805" cy="3241040"/>
            <wp:effectExtent l="0" t="0" r="0" b="0"/>
            <wp:docPr id="12" name="Obraz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5805" cy="3241040"/>
                    </a:xfrm>
                    <a:prstGeom prst="rect">
                      <a:avLst/>
                    </a:prstGeom>
                    <a:noFill/>
                    <a:ln>
                      <a:noFill/>
                    </a:ln>
                  </pic:spPr>
                </pic:pic>
              </a:graphicData>
            </a:graphic>
          </wp:inline>
        </w:drawing>
      </w:r>
      <w:r w:rsidR="00936AEC" w:rsidRPr="00936AEC">
        <w:rPr>
          <w:i/>
          <w:sz w:val="20"/>
          <w:szCs w:val="20"/>
          <w:highlight w:val="yellow"/>
        </w:rPr>
        <w:t xml:space="preserve"> </w:t>
      </w:r>
    </w:p>
    <w:p w:rsidR="00936AEC" w:rsidRPr="00936AEC" w:rsidRDefault="00936AEC" w:rsidP="00936AEC">
      <w:pPr>
        <w:spacing w:after="0"/>
        <w:ind w:left="1134" w:hanging="1134"/>
        <w:jc w:val="both"/>
      </w:pPr>
      <w:r w:rsidRPr="00936AEC">
        <w:rPr>
          <w:i/>
        </w:rPr>
        <w:t xml:space="preserve">Rys. </w:t>
      </w:r>
      <w:r>
        <w:rPr>
          <w:i/>
        </w:rPr>
        <w:t>2</w:t>
      </w:r>
      <w:r w:rsidRPr="00936AEC">
        <w:rPr>
          <w:i/>
        </w:rPr>
        <w:t>.</w:t>
      </w:r>
      <w:r>
        <w:rPr>
          <w:i/>
        </w:rPr>
        <w:t>9</w:t>
      </w:r>
      <w:r w:rsidRPr="00936AEC">
        <w:rPr>
          <w:i/>
        </w:rPr>
        <w:t xml:space="preserve"> Ocena stanu środowiska morskiego w 2016 roku w zakresie eutrofizacji (źródło: GIOŚ/PMŚ).</w:t>
      </w:r>
    </w:p>
    <w:p w:rsidR="00BE39C6" w:rsidRDefault="00BE39C6" w:rsidP="00BE39C6">
      <w:pPr>
        <w:jc w:val="both"/>
      </w:pPr>
    </w:p>
    <w:p w:rsidR="00BE39C6" w:rsidRPr="00D83D0E" w:rsidRDefault="00BE39C6" w:rsidP="00BE39C6">
      <w:pPr>
        <w:jc w:val="both"/>
      </w:pPr>
      <w:r w:rsidRPr="00D83D0E">
        <w:t xml:space="preserve">Substancje biogenne są niezbędne do rozwoju fitoplanktonu w środowisku morskim. </w:t>
      </w:r>
      <w:r>
        <w:t>Jednak ich n</w:t>
      </w:r>
      <w:r w:rsidRPr="00D83D0E">
        <w:t xml:space="preserve">admiar prowadzi do </w:t>
      </w:r>
      <w:r>
        <w:t xml:space="preserve">nadmiernego rozwoju fitoplanktonu, </w:t>
      </w:r>
      <w:r w:rsidRPr="00D83D0E">
        <w:t xml:space="preserve">tzw. </w:t>
      </w:r>
      <w:r w:rsidRPr="000450F4">
        <w:rPr>
          <w:b/>
        </w:rPr>
        <w:t>zakwitu fitoplanktonu</w:t>
      </w:r>
      <w:r w:rsidRPr="00D83D0E">
        <w:t>.</w:t>
      </w:r>
      <w:r>
        <w:t xml:space="preserve"> Opadanie </w:t>
      </w:r>
      <w:r w:rsidRPr="00D83D0E">
        <w:t xml:space="preserve">na dno </w:t>
      </w:r>
      <w:r>
        <w:t>obumarłego fitoplanktonu</w:t>
      </w:r>
      <w:r w:rsidRPr="00D83D0E">
        <w:t>, któr</w:t>
      </w:r>
      <w:r>
        <w:t>y</w:t>
      </w:r>
      <w:r w:rsidRPr="00D83D0E">
        <w:t xml:space="preserve"> rozkładając się  zużywa tlen</w:t>
      </w:r>
      <w:r>
        <w:t xml:space="preserve"> może prowadzić </w:t>
      </w:r>
      <w:r w:rsidRPr="00D83D0E">
        <w:t>nawet w płytkich rejonach o głębokości 6</w:t>
      </w:r>
      <w:r>
        <w:t>–</w:t>
      </w:r>
      <w:r w:rsidRPr="00D83D0E">
        <w:t>10</w:t>
      </w:r>
      <w:r>
        <w:t xml:space="preserve"> </w:t>
      </w:r>
      <w:r w:rsidRPr="00D83D0E">
        <w:t xml:space="preserve">m, </w:t>
      </w:r>
      <w:r>
        <w:t xml:space="preserve">do </w:t>
      </w:r>
      <w:r w:rsidRPr="00D83D0E">
        <w:t>obniżeni</w:t>
      </w:r>
      <w:r>
        <w:t>a</w:t>
      </w:r>
      <w:r w:rsidRPr="00D83D0E">
        <w:t xml:space="preserve"> stężeni</w:t>
      </w:r>
      <w:r>
        <w:t>a</w:t>
      </w:r>
      <w:r w:rsidRPr="00D83D0E">
        <w:t xml:space="preserve"> tlenu przy dnie, a nawet powstawani</w:t>
      </w:r>
      <w:r>
        <w:t>a</w:t>
      </w:r>
      <w:r w:rsidRPr="00D83D0E">
        <w:t xml:space="preserve"> deficytu tlenowego. </w:t>
      </w:r>
    </w:p>
    <w:p w:rsidR="00BE39C6" w:rsidRPr="00770310" w:rsidRDefault="00BE39C6" w:rsidP="00BE39C6">
      <w:pPr>
        <w:jc w:val="both"/>
      </w:pPr>
      <w:r w:rsidRPr="00770310">
        <w:t>Trwałe zanieczyszczenia organiczne (TZO)</w:t>
      </w:r>
      <w:r>
        <w:t xml:space="preserve"> </w:t>
      </w:r>
      <w:r w:rsidRPr="00770310">
        <w:t xml:space="preserve">w środowisku </w:t>
      </w:r>
      <w:r w:rsidRPr="00144B60">
        <w:t>morskim są pochodzenia antropogenicznego. Główne źródła TZO to przemysł, gospodarka komunalna (spalanie odpadów</w:t>
      </w:r>
      <w:r w:rsidRPr="00770310">
        <w:t xml:space="preserve">) oraz chemizacja rolnictwa. Badania trwałych zanieczyszczeń organicznych w tkankach ryb są prowadzone od 1998 roku (7 kongenerów PCB: CB28, CB101, CB118, CB138, CB153, CB180 (wg IUPAC), HCH i jego izomery: </w:t>
      </w:r>
      <w:r w:rsidRPr="00770310">
        <w:rPr>
          <w:szCs w:val="24"/>
        </w:rPr>
        <w:t>α</w:t>
      </w:r>
      <w:r w:rsidRPr="00770310">
        <w:rPr>
          <w:szCs w:val="24"/>
          <w:lang w:val="pt-PT"/>
        </w:rPr>
        <w:t xml:space="preserve">-, </w:t>
      </w:r>
      <w:r w:rsidRPr="00770310">
        <w:rPr>
          <w:szCs w:val="24"/>
        </w:rPr>
        <w:t>β</w:t>
      </w:r>
      <w:r w:rsidRPr="00770310">
        <w:rPr>
          <w:szCs w:val="24"/>
          <w:lang w:val="pt-PT"/>
        </w:rPr>
        <w:t xml:space="preserve">-, </w:t>
      </w:r>
      <w:r w:rsidRPr="00770310">
        <w:rPr>
          <w:szCs w:val="24"/>
        </w:rPr>
        <w:t>γ</w:t>
      </w:r>
      <w:r w:rsidRPr="00770310">
        <w:rPr>
          <w:szCs w:val="24"/>
          <w:lang w:val="pt-PT"/>
        </w:rPr>
        <w:t>-HCH, HCB</w:t>
      </w:r>
      <w:r w:rsidRPr="00770310">
        <w:t xml:space="preserve">). Lista związków badanych w rybach została rozszerzona w latach 2012 (PBDE, HBCDD) oraz 2014 (PFOS, TBT i jej pochodne: DBT, MBT, TPhT). W Zalewach Szczecińskim i Wiślanym związki są badane w tkankach okonia, Basenie Gotlandzkim – śledzia, Basenie Bornholmskim – śledzia i storni, a w Basenie Gdańskim – storni. </w:t>
      </w:r>
    </w:p>
    <w:p w:rsidR="00BE39C6" w:rsidRPr="00770310" w:rsidRDefault="00BE39C6" w:rsidP="00BE39C6">
      <w:pPr>
        <w:jc w:val="both"/>
      </w:pPr>
      <w:r w:rsidRPr="00770310">
        <w:t>W porównaniu do ubiegłych lat badań w 2016 roku zaobserwowano spadek zawartości PBDE w tkankach mięśniowych ryb</w:t>
      </w:r>
      <w:r>
        <w:t>,</w:t>
      </w:r>
      <w:r w:rsidRPr="00770310">
        <w:t xml:space="preserve"> we wszystkich badanych akwenach. W 2016 nastąpiła także zmiana wartości progowej dopuszczalnego stężenia sumy 6-ciu kongenerów PBDE, konsekwencją której nastąpiła drastyczna zmiana stanu środowiska morskiego dla wszystkich analizowanych akwenów. W poprzednich latach na podstawie dostępnych danych określono stan środowiska jako dobry (GES), aktualnie w oparciu o nową wartość graniczną dla dobrego stanu (ang. threshold value – TV), wynoszącą 0,008 μg kg</w:t>
      </w:r>
      <w:r w:rsidRPr="00770310">
        <w:rPr>
          <w:vertAlign w:val="superscript"/>
        </w:rPr>
        <w:t>-1</w:t>
      </w:r>
      <w:r w:rsidRPr="00770310">
        <w:t xml:space="preserve">m.m.), stan środowiska morskiego należy uznać za </w:t>
      </w:r>
      <w:r w:rsidRPr="005E5754">
        <w:t>niezadowalający</w:t>
      </w:r>
      <w:r w:rsidRPr="00770310">
        <w:t xml:space="preserve"> (subGES) dla wszystkich badanych akwenów pod względem zanieczyszczenia polibromowanymi difenyloeterami.</w:t>
      </w:r>
    </w:p>
    <w:p w:rsidR="00BE39C6" w:rsidRDefault="00BE39C6" w:rsidP="00BE39C6">
      <w:pPr>
        <w:jc w:val="both"/>
      </w:pPr>
    </w:p>
    <w:p w:rsidR="00BE39C6" w:rsidRDefault="00BE39C6" w:rsidP="00BE39C6">
      <w:pPr>
        <w:jc w:val="both"/>
      </w:pPr>
      <w:r>
        <w:rPr>
          <w:noProof/>
          <w:lang w:eastAsia="pl-PL"/>
        </w:rPr>
        <w:lastRenderedPageBreak/>
        <w:drawing>
          <wp:inline distT="0" distB="0" distL="0" distR="0" wp14:anchorId="52E326BA" wp14:editId="6F517ECA">
            <wp:extent cx="4535805" cy="3241040"/>
            <wp:effectExtent l="0" t="0" r="0" b="0"/>
            <wp:docPr id="13" name="Obraz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5805" cy="3241040"/>
                    </a:xfrm>
                    <a:prstGeom prst="rect">
                      <a:avLst/>
                    </a:prstGeom>
                    <a:noFill/>
                    <a:ln>
                      <a:noFill/>
                    </a:ln>
                  </pic:spPr>
                </pic:pic>
              </a:graphicData>
            </a:graphic>
          </wp:inline>
        </w:drawing>
      </w:r>
    </w:p>
    <w:p w:rsidR="00BE39C6" w:rsidRPr="00936AEC" w:rsidRDefault="00BE39C6" w:rsidP="00BE39C6">
      <w:pPr>
        <w:jc w:val="both"/>
      </w:pPr>
      <w:r w:rsidRPr="00936AEC">
        <w:rPr>
          <w:i/>
        </w:rPr>
        <w:t xml:space="preserve">Rys. </w:t>
      </w:r>
      <w:r w:rsidR="00936AEC" w:rsidRPr="00936AEC">
        <w:rPr>
          <w:i/>
        </w:rPr>
        <w:t>2.10</w:t>
      </w:r>
      <w:r w:rsidRPr="00936AEC">
        <w:rPr>
          <w:i/>
        </w:rPr>
        <w:t>. Stan środowiska morskiego w 2016 roku w zakresie zanieczyszczenia TZO w rybach przeznaczonych do spożycia (źródło: GIOŚ/PMŚ).</w:t>
      </w:r>
    </w:p>
    <w:p w:rsidR="00BE39C6" w:rsidRPr="003B1DFB" w:rsidRDefault="00BE39C6" w:rsidP="003B1DFB">
      <w:pPr>
        <w:pStyle w:val="Nagwek2"/>
      </w:pPr>
      <w:bookmarkStart w:id="20" w:name="_Toc505604914"/>
      <w:bookmarkStart w:id="21" w:name="_Toc505605307"/>
      <w:r w:rsidRPr="003B1DFB">
        <w:t>Wody podziemne</w:t>
      </w:r>
      <w:bookmarkEnd w:id="20"/>
      <w:bookmarkEnd w:id="21"/>
      <w:r w:rsidRPr="003B1DFB">
        <w:t xml:space="preserve"> </w:t>
      </w:r>
    </w:p>
    <w:p w:rsidR="00BE39C6" w:rsidRPr="00A15851" w:rsidRDefault="00BE39C6" w:rsidP="00BE39C6">
      <w:pPr>
        <w:jc w:val="both"/>
      </w:pPr>
      <w:r>
        <w:t xml:space="preserve">W ramach Państwowego Monitoringu Środowiska </w:t>
      </w:r>
      <w:r w:rsidRPr="00A15851">
        <w:t>Oceny stanu chemicznego wód podziemnych dokonuje się w odniesieniu do punktów pomiarowych poprzez określenie klasy jakości (klasy I, II III oznaczają dobry stan chemiczny, a klasy IV, V – słaby stan chemiczny), a także w odniesieniu do jednolitych części wód podziemnych (</w:t>
      </w:r>
      <w:r>
        <w:t xml:space="preserve">jcwpd). </w:t>
      </w:r>
      <w:r w:rsidRPr="00144B60">
        <w:t>Przedmiotem monitoringu do roku 2015 było 161 jednolitych części wód podziemnych (</w:t>
      </w:r>
      <w:r>
        <w:t>jcwpd</w:t>
      </w:r>
      <w:r w:rsidRPr="00144B60">
        <w:t xml:space="preserve">), a od roku 2016 są 172 jednolite części wód podziemnych, ze szczególnym uwzględnieniem obszarów narażonych na zanieczyszczenia pochodzenia rolniczego (OSN), znajdujących się na terenie niektórych </w:t>
      </w:r>
      <w:r>
        <w:t>jcwp</w:t>
      </w:r>
      <w:r w:rsidRPr="00144B60">
        <w:t>d.</w:t>
      </w:r>
    </w:p>
    <w:p w:rsidR="00BE39C6" w:rsidRPr="00964EEF" w:rsidRDefault="00BE39C6" w:rsidP="00BE39C6">
      <w:pPr>
        <w:jc w:val="both"/>
      </w:pPr>
      <w:r w:rsidRPr="00A15851">
        <w:t xml:space="preserve">Od 2010 roku ocena stanu </w:t>
      </w:r>
      <w:r>
        <w:t>jcwp</w:t>
      </w:r>
      <w:r w:rsidRPr="00A15851">
        <w:t xml:space="preserve">d </w:t>
      </w:r>
      <w:r>
        <w:t xml:space="preserve">w ramach Państwowego Monitoringu Środowiska </w:t>
      </w:r>
      <w:r w:rsidRPr="00A15851">
        <w:t xml:space="preserve">wykonywana jest z zastosowaniem testów klasyfikacyjnych. Pozwala to określić stan tych wód uwzględniając nie tylko skład chemiczny i stopień wykorzystania zasobów wód podziemnych, lecz również wpływ na jakość wód pobieranych dla zaopatrzenia ludności w wodę do spożycia, na wody powierzchniowe pozostające w bezpośrednim kontakcie z wodami podziemnymi czy na chronione ekosystemy lądowe </w:t>
      </w:r>
      <w:r w:rsidRPr="00964EEF">
        <w:t>zależne od wód podziemnych.</w:t>
      </w:r>
    </w:p>
    <w:p w:rsidR="00BE39C6" w:rsidRPr="00964EEF" w:rsidRDefault="00BE39C6" w:rsidP="00BE39C6">
      <w:pPr>
        <w:jc w:val="both"/>
      </w:pPr>
      <w:r w:rsidRPr="00964EEF">
        <w:t xml:space="preserve">Wg raportu GIOŚ (Raport o stanie jednolitych części wód podziemnych  w dorzeczach – stan na rok 2016) w wyniku przeprowadzenia testów klasyfikacyjnych, zgodnie z przyjętą metodyką oceny stanu jednolitych części wód podziemnych, stan dobry stwierdzono w 150 JCWPd, natomiast stan słaby stwierdzono w 22 JCWPd. </w:t>
      </w:r>
    </w:p>
    <w:p w:rsidR="00BE39C6" w:rsidRPr="00964EEF" w:rsidRDefault="00BE39C6" w:rsidP="00BE39C6">
      <w:pPr>
        <w:jc w:val="both"/>
      </w:pPr>
      <w:r w:rsidRPr="00964EEF">
        <w:t>Dobry stan chemiczny stwierdzono w 158 JCWPd, słaby stan chemiczny odnotowano w 14 JCWPd, natomiast w przypadku stanu ilościowego, stan dobry stwierdzono w 160 JCWPd zaś słaby stan ilościowy odnotowano w 12 JCWPd.</w:t>
      </w:r>
    </w:p>
    <w:p w:rsidR="00BE39C6" w:rsidRPr="00802469" w:rsidRDefault="00BE39C6" w:rsidP="00BE39C6">
      <w:pPr>
        <w:jc w:val="both"/>
        <w:rPr>
          <w:highlight w:val="yellow"/>
        </w:rPr>
      </w:pPr>
    </w:p>
    <w:p w:rsidR="00BE39C6" w:rsidRPr="00964EEF" w:rsidRDefault="00BE39C6" w:rsidP="00936AEC">
      <w:pPr>
        <w:jc w:val="both"/>
      </w:pPr>
      <w:r w:rsidRPr="00964EEF">
        <w:lastRenderedPageBreak/>
        <w:t>Najwięcej punktów do oceny stanu chemicznego JCWPd (53,62% ogółu punktów) zlokalizowanych jest w dorzeczu Wisły. W dorzeczu Odry zlokalizowanych jest 41.67% punktów. W pozostałych dorzeczach zlokalizowanych jest niespełna 5% punktów badawczych sieci SOBWP.</w:t>
      </w:r>
    </w:p>
    <w:p w:rsidR="00BE39C6" w:rsidRDefault="00BE39C6" w:rsidP="00936AEC">
      <w:pPr>
        <w:jc w:val="both"/>
      </w:pPr>
      <w:r w:rsidRPr="00964EEF">
        <w:t xml:space="preserve">Stan dobry stwierdzono w 77,18% punktów, stan słaby – w 22,82% punktów. </w:t>
      </w:r>
      <w:r w:rsidRPr="005E5754">
        <w:t>Najwyższy odsetek punktów (41,23%) został skalsyfikowany jako wody II klasy jakości</w:t>
      </w:r>
      <w:r w:rsidRPr="00964EEF">
        <w:rPr>
          <w:b/>
        </w:rPr>
        <w:t xml:space="preserve"> </w:t>
      </w:r>
      <w:r w:rsidRPr="00964EEF">
        <w:t xml:space="preserve">(jakość zadowalająca), w których wartości elementów fizyczno-chemicznych są podwyższone w wyniku procesów naturalnych, a wartości elementów fizycznochemicznych nie wskazują na wpływ działalności człowieka lub jest to wpływ bardzo słaby. Drugie najczęściej przyznawane klasy to klasa III (33,05% – wody dobrej jakości) i klasa IV (15,66% – wody niezadowalającej jakości). Za nimi są wody klasy V – złej jakości (7,17%) i wody klasy I – bardzo dobrej jakości (2,90%). </w:t>
      </w:r>
    </w:p>
    <w:p w:rsidR="00BE39C6" w:rsidRDefault="00BE39C6" w:rsidP="00BE39C6">
      <w:pPr>
        <w:ind w:firstLine="720"/>
        <w:jc w:val="both"/>
      </w:pPr>
      <w:r>
        <w:rPr>
          <w:noProof/>
          <w:lang w:eastAsia="pl-PL"/>
        </w:rPr>
        <w:drawing>
          <wp:inline distT="0" distB="0" distL="0" distR="0" wp14:anchorId="247A07B1" wp14:editId="7885D1F6">
            <wp:extent cx="3838575" cy="1476375"/>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E39C6" w:rsidRPr="00936AEC" w:rsidRDefault="00936AEC" w:rsidP="00BE39C6">
      <w:pPr>
        <w:ind w:firstLine="720"/>
        <w:jc w:val="both"/>
        <w:rPr>
          <w:i/>
        </w:rPr>
      </w:pPr>
      <w:r w:rsidRPr="00936AEC">
        <w:rPr>
          <w:i/>
        </w:rPr>
        <w:t>Rys. 2.11 Stan</w:t>
      </w:r>
      <w:r w:rsidR="00BE39C6" w:rsidRPr="00936AEC">
        <w:rPr>
          <w:i/>
        </w:rPr>
        <w:t xml:space="preserve"> chemiczn</w:t>
      </w:r>
      <w:r w:rsidRPr="00936AEC">
        <w:rPr>
          <w:i/>
        </w:rPr>
        <w:t>y</w:t>
      </w:r>
      <w:r w:rsidR="00BE39C6" w:rsidRPr="00936AEC">
        <w:rPr>
          <w:i/>
        </w:rPr>
        <w:t xml:space="preserve"> JCWPd </w:t>
      </w:r>
    </w:p>
    <w:p w:rsidR="00BE39C6" w:rsidRDefault="00BE39C6" w:rsidP="00936AEC">
      <w:pPr>
        <w:jc w:val="both"/>
      </w:pPr>
      <w:r>
        <w:t>W podziale na 172 jednolite części wód podziemnych dobry stan chemiczny stwierdzono w 158 JCWPd, z czego 86 znajduje się w dorzeczu Wisły, a 61 w dorzeczu Odry</w:t>
      </w:r>
      <w:r>
        <w:rPr>
          <w:rFonts w:cs="Calibri"/>
          <w:sz w:val="24"/>
          <w:szCs w:val="24"/>
          <w:lang w:eastAsia="pl-PL"/>
        </w:rPr>
        <w:t xml:space="preserve">.  </w:t>
      </w:r>
      <w:r>
        <w:t>Stan słaby chemiczny stwierdzono w 14 jednolitych częściach wód podziemnych. W dorzeczu Wisły słaby stan chemiczny stwierdzono w 8 JCWPd a w  dorzeczu Odry słaby stan chemiczny stwierdzono w 5 JCWPd.</w:t>
      </w:r>
    </w:p>
    <w:p w:rsidR="00BE39C6" w:rsidRDefault="00BE39C6" w:rsidP="00BE39C6">
      <w:pPr>
        <w:ind w:firstLine="720"/>
        <w:jc w:val="both"/>
        <w:rPr>
          <w:noProof/>
          <w:lang w:eastAsia="pl-PL"/>
        </w:rPr>
      </w:pPr>
      <w:r>
        <w:rPr>
          <w:noProof/>
          <w:lang w:eastAsia="pl-PL"/>
        </w:rPr>
        <w:lastRenderedPageBreak/>
        <w:drawing>
          <wp:inline distT="0" distB="0" distL="0" distR="0" wp14:anchorId="40D4C134" wp14:editId="3D04C4E1">
            <wp:extent cx="5760720" cy="4071033"/>
            <wp:effectExtent l="0" t="0" r="0" b="571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071033"/>
                    </a:xfrm>
                    <a:prstGeom prst="rect">
                      <a:avLst/>
                    </a:prstGeom>
                    <a:noFill/>
                    <a:ln>
                      <a:noFill/>
                    </a:ln>
                  </pic:spPr>
                </pic:pic>
              </a:graphicData>
            </a:graphic>
          </wp:inline>
        </w:drawing>
      </w:r>
    </w:p>
    <w:p w:rsidR="00BE39C6" w:rsidRPr="00936AEC" w:rsidRDefault="00936AEC" w:rsidP="00936AEC">
      <w:pPr>
        <w:jc w:val="both"/>
        <w:rPr>
          <w:i/>
          <w:noProof/>
          <w:lang w:eastAsia="pl-PL"/>
        </w:rPr>
      </w:pPr>
      <w:r w:rsidRPr="00936AEC">
        <w:rPr>
          <w:i/>
          <w:noProof/>
          <w:lang w:eastAsia="pl-PL"/>
        </w:rPr>
        <w:t xml:space="preserve">Rys. 2.12 </w:t>
      </w:r>
      <w:r w:rsidR="00BE39C6" w:rsidRPr="00936AEC">
        <w:rPr>
          <w:i/>
          <w:noProof/>
          <w:lang w:eastAsia="pl-PL"/>
        </w:rPr>
        <w:t xml:space="preserve">Mapa Monitoring stanu chemicznego wód podziemnych </w:t>
      </w:r>
      <w:r w:rsidR="00BE39C6" w:rsidRPr="00936AEC">
        <w:rPr>
          <w:i/>
        </w:rPr>
        <w:t>(Raport o stanie jednolitych części wód podziemnych  w dorzeczach – stan na rok 2016)</w:t>
      </w:r>
    </w:p>
    <w:p w:rsidR="00BE39C6" w:rsidRDefault="00BE39C6" w:rsidP="00BE39C6">
      <w:pPr>
        <w:ind w:firstLine="720"/>
        <w:jc w:val="both"/>
      </w:pPr>
    </w:p>
    <w:p w:rsidR="00BE39C6" w:rsidRDefault="00BE39C6" w:rsidP="00936AEC">
      <w:pPr>
        <w:jc w:val="both"/>
      </w:pPr>
      <w:r>
        <w:t>W podziale na 172 jednolite części wód podziemnych dobry stan ilościowy stwierdzono w 160 JCWPd, z czego 89 znajduje się w dorzeczu Wisły a w 59 w dorzeczu Odry. W dorzeczu Wisły słaby stan ilościowy stwierdzono w 5 JCWPd, a w dorzeczu Odry słaby stan ilościowy stwierdzono w 7 JCWPd.</w:t>
      </w:r>
    </w:p>
    <w:p w:rsidR="00BE39C6" w:rsidRDefault="00BE39C6" w:rsidP="00BE39C6">
      <w:pPr>
        <w:ind w:firstLine="720"/>
        <w:jc w:val="both"/>
      </w:pPr>
      <w:r>
        <w:rPr>
          <w:noProof/>
          <w:lang w:eastAsia="pl-PL"/>
        </w:rPr>
        <w:drawing>
          <wp:inline distT="0" distB="0" distL="0" distR="0" wp14:anchorId="7B01AF2C" wp14:editId="0AAA171C">
            <wp:extent cx="3838575" cy="1476375"/>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E39C6" w:rsidRDefault="00BE39C6" w:rsidP="00BE39C6">
      <w:pPr>
        <w:ind w:firstLine="720"/>
        <w:jc w:val="both"/>
      </w:pPr>
    </w:p>
    <w:p w:rsidR="00BE39C6" w:rsidRPr="000E23F7" w:rsidRDefault="000E23F7" w:rsidP="000E23F7">
      <w:pPr>
        <w:jc w:val="both"/>
        <w:rPr>
          <w:i/>
        </w:rPr>
      </w:pPr>
      <w:r w:rsidRPr="000E23F7">
        <w:rPr>
          <w:i/>
        </w:rPr>
        <w:t xml:space="preserve">Rys. 2.13 </w:t>
      </w:r>
      <w:r w:rsidR="00BE39C6" w:rsidRPr="000E23F7">
        <w:rPr>
          <w:i/>
        </w:rPr>
        <w:t xml:space="preserve"> </w:t>
      </w:r>
      <w:r w:rsidRPr="000E23F7">
        <w:rPr>
          <w:i/>
        </w:rPr>
        <w:t>S</w:t>
      </w:r>
      <w:r w:rsidR="00BE39C6" w:rsidRPr="000E23F7">
        <w:rPr>
          <w:i/>
        </w:rPr>
        <w:t>tanu ilościowego JCWPd w podziale (Raport o stanie jednolitych części wód podziemnych  w dorzeczach – stan na rok 2016)</w:t>
      </w:r>
    </w:p>
    <w:p w:rsidR="00BE39C6" w:rsidRDefault="00BE39C6" w:rsidP="00BE39C6">
      <w:pPr>
        <w:ind w:firstLine="720"/>
        <w:jc w:val="both"/>
      </w:pPr>
    </w:p>
    <w:p w:rsidR="00BE39C6" w:rsidRDefault="00BE39C6" w:rsidP="00BE39C6">
      <w:pPr>
        <w:ind w:firstLine="720"/>
        <w:jc w:val="both"/>
      </w:pPr>
      <w:r>
        <w:rPr>
          <w:noProof/>
          <w:lang w:eastAsia="pl-PL"/>
        </w:rPr>
        <w:lastRenderedPageBreak/>
        <w:drawing>
          <wp:inline distT="0" distB="0" distL="0" distR="0" wp14:anchorId="3A4544D8" wp14:editId="0E6EEABD">
            <wp:extent cx="5760720" cy="4071033"/>
            <wp:effectExtent l="0" t="0" r="0" b="571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071033"/>
                    </a:xfrm>
                    <a:prstGeom prst="rect">
                      <a:avLst/>
                    </a:prstGeom>
                    <a:noFill/>
                    <a:ln>
                      <a:noFill/>
                    </a:ln>
                  </pic:spPr>
                </pic:pic>
              </a:graphicData>
            </a:graphic>
          </wp:inline>
        </w:drawing>
      </w:r>
    </w:p>
    <w:p w:rsidR="00BE39C6" w:rsidRPr="000E23F7" w:rsidRDefault="000E23F7" w:rsidP="000E23F7">
      <w:pPr>
        <w:jc w:val="both"/>
        <w:rPr>
          <w:i/>
          <w:noProof/>
          <w:lang w:eastAsia="pl-PL"/>
        </w:rPr>
      </w:pPr>
      <w:r w:rsidRPr="000E23F7">
        <w:rPr>
          <w:i/>
        </w:rPr>
        <w:t xml:space="preserve">Rys. 2.14. </w:t>
      </w:r>
      <w:r w:rsidR="00BE39C6" w:rsidRPr="000E23F7">
        <w:rPr>
          <w:i/>
        </w:rPr>
        <w:t xml:space="preserve">Mapa </w:t>
      </w:r>
      <w:r w:rsidR="00BE39C6" w:rsidRPr="000E23F7">
        <w:rPr>
          <w:i/>
          <w:noProof/>
          <w:lang w:eastAsia="pl-PL"/>
        </w:rPr>
        <w:t xml:space="preserve">Monitoring stanu ilościowego wód podziemnych </w:t>
      </w:r>
      <w:r w:rsidR="00BE39C6" w:rsidRPr="000E23F7">
        <w:rPr>
          <w:i/>
        </w:rPr>
        <w:t>(Raport o stanie jednolitych części wód podziemnych  w dorzeczach – stan na rok 2016)</w:t>
      </w:r>
    </w:p>
    <w:p w:rsidR="00BE39C6" w:rsidRDefault="00BE39C6" w:rsidP="000E23F7">
      <w:pPr>
        <w:jc w:val="both"/>
      </w:pPr>
      <w:r>
        <w:t>W wyniku porównania aktualnej oceny stanu JCWPd z wynikiem oceny stanu wód poziemnych według danych z 2012 r. stwierdzono, że w przypadku 151 JCWPd ocena ogólnego stanu wód podziemnych pozostała taka sama. Spośród 151 JCWPd bez zmiany wyniku oceny stanu pomiędzy latami 2012 i 2016, w 139 JCWPd ich stan pozostał dobry, a w przypadku pozostałych 12 - słaby.</w:t>
      </w:r>
    </w:p>
    <w:p w:rsidR="00BE39C6" w:rsidRDefault="00BE39C6" w:rsidP="003B1DFB">
      <w:pPr>
        <w:pStyle w:val="Nagwek2"/>
      </w:pPr>
    </w:p>
    <w:p w:rsidR="00BE39C6" w:rsidRPr="003B1DFB" w:rsidRDefault="00BE39C6" w:rsidP="003B1DFB">
      <w:pPr>
        <w:pStyle w:val="Nagwek2"/>
      </w:pPr>
      <w:bookmarkStart w:id="22" w:name="_Toc505604915"/>
      <w:bookmarkStart w:id="23" w:name="_Toc505605308"/>
      <w:r w:rsidRPr="003B1DFB">
        <w:t>Podsumowanie</w:t>
      </w:r>
      <w:bookmarkEnd w:id="22"/>
      <w:bookmarkEnd w:id="23"/>
    </w:p>
    <w:p w:rsidR="00BE39C6" w:rsidRPr="001B70E5" w:rsidRDefault="00BE39C6" w:rsidP="00BE39C6">
      <w:pPr>
        <w:jc w:val="both"/>
      </w:pPr>
      <w:r w:rsidRPr="001B70E5">
        <w:t xml:space="preserve">Najważniejszymi czynnikami powodującymi presje na wody powierzchniowe są: gospodarka komunalna, rolnictwo </w:t>
      </w:r>
      <w:r>
        <w:t>-</w:t>
      </w:r>
      <w:r w:rsidRPr="001B70E5">
        <w:t xml:space="preserve"> oraz przemysł (zwłaszcza przemysł wydobywczy, energetyczny, rolno-spożywczy). Stąd działania</w:t>
      </w:r>
      <w:r>
        <w:t xml:space="preserve"> ograniczające wpływ presji antropogenicznej na stan wód</w:t>
      </w:r>
      <w:r w:rsidRPr="001B70E5">
        <w:t xml:space="preserve"> koncentrują się także w tych sektorach i od czasu przystąpienia Polski do struktur UE są wyraźnie wzmocnione wymaganiami wspólnotowymi.</w:t>
      </w:r>
    </w:p>
    <w:p w:rsidR="00BE39C6" w:rsidRDefault="00BE39C6" w:rsidP="00BE39C6">
      <w:pPr>
        <w:jc w:val="both"/>
      </w:pPr>
      <w:r w:rsidRPr="00E87FA7">
        <w:t xml:space="preserve">Istotny wpływ na jakość wód w dorzeczu Wisły, Odry i pozostałych dorzeczach mają zmiany </w:t>
      </w:r>
      <w:r w:rsidRPr="00E87FA7">
        <w:br/>
        <w:t xml:space="preserve">w zakresie oczyszczania ścieków komunalnych w Polsce. Ilość ścieków odprowadzanych do wód lub do ziemi w </w:t>
      </w:r>
      <w:r>
        <w:t>2016</w:t>
      </w:r>
      <w:r w:rsidRPr="00E87FA7">
        <w:t xml:space="preserve"> roku w porównaniu z rokiem </w:t>
      </w:r>
      <w:r>
        <w:t>2010</w:t>
      </w:r>
      <w:r w:rsidRPr="00E87FA7">
        <w:t xml:space="preserve"> zmniejszyła się o </w:t>
      </w:r>
      <w:r>
        <w:t>3,5</w:t>
      </w:r>
      <w:r w:rsidRPr="00E87FA7">
        <w:t xml:space="preserve">% i wynosiła </w:t>
      </w:r>
      <w:r>
        <w:t>8895,2</w:t>
      </w:r>
      <w:r w:rsidRPr="00E87FA7">
        <w:t xml:space="preserve"> hm</w:t>
      </w:r>
      <w:r w:rsidRPr="00E87FA7">
        <w:rPr>
          <w:vertAlign w:val="superscript"/>
        </w:rPr>
        <w:t>3</w:t>
      </w:r>
      <w:r w:rsidRPr="00E87FA7">
        <w:t xml:space="preserve">/rok. </w:t>
      </w:r>
      <w:r>
        <w:t>Prawie</w:t>
      </w:r>
      <w:r w:rsidRPr="00E87FA7">
        <w:t xml:space="preserve"> 86% stanowią ścieki przemysłowe, z których jednakże </w:t>
      </w:r>
      <w:r>
        <w:t>88,5</w:t>
      </w:r>
      <w:r w:rsidRPr="00E87FA7">
        <w:t>% to tzw. „umownie czyste” wody chłodnicze niewymagające oczyszczania. Pozostałe ścieki przemysłowe oraz ścieki komunalne wymagają oczyszczenia i w 201</w:t>
      </w:r>
      <w:r>
        <w:t>6</w:t>
      </w:r>
      <w:r w:rsidRPr="00E87FA7">
        <w:t xml:space="preserve"> roku było ich </w:t>
      </w:r>
      <w:r>
        <w:t>2166,0</w:t>
      </w:r>
      <w:r w:rsidRPr="00E87FA7">
        <w:t xml:space="preserve"> hm</w:t>
      </w:r>
      <w:r w:rsidRPr="00E87FA7">
        <w:rPr>
          <w:vertAlign w:val="superscript"/>
        </w:rPr>
        <w:t>3</w:t>
      </w:r>
      <w:r w:rsidRPr="00E87FA7">
        <w:t xml:space="preserve">/rok. Z tej ilości oczyszczono </w:t>
      </w:r>
      <w:r>
        <w:t>95,2</w:t>
      </w:r>
      <w:r w:rsidRPr="00E87FA7">
        <w:t xml:space="preserve">% ścieków, spośród których </w:t>
      </w:r>
      <w:r>
        <w:t>54</w:t>
      </w:r>
      <w:r w:rsidRPr="00E87FA7">
        <w:t xml:space="preserve">% poddanych zostało oczyszczaniu z podwyższonym usuwaniem </w:t>
      </w:r>
      <w:r w:rsidRPr="00E87FA7">
        <w:lastRenderedPageBreak/>
        <w:t xml:space="preserve">biogenów. Na przestrzeni lat ilość oczyszczanych w ten sposób ścieków wzrosła dwukrotnie, co jest zjawiskiem optymistycznym, gdyż pozwala uzyskać właściwy poziom redukcji zanieczyszczeń. Pozostałe </w:t>
      </w:r>
      <w:r>
        <w:t>5</w:t>
      </w:r>
      <w:r w:rsidRPr="00E87FA7">
        <w:t xml:space="preserve">% były to ścieki nieoczyszczone odprowadzane głównie bezpośrednio z zakładów przemysłowych. Ważne jest jednak, że ilość ścieków nieoczyszczonych w </w:t>
      </w:r>
      <w:r>
        <w:t>2016</w:t>
      </w:r>
      <w:r w:rsidRPr="00E87FA7">
        <w:t xml:space="preserve"> roku w porównaniu z rokiem </w:t>
      </w:r>
      <w:r>
        <w:t>2010</w:t>
      </w:r>
      <w:r w:rsidRPr="00E87FA7">
        <w:t xml:space="preserve"> spadła z </w:t>
      </w:r>
      <w:r>
        <w:t>175,7</w:t>
      </w:r>
      <w:r w:rsidRPr="00E87FA7">
        <w:t xml:space="preserve"> hm</w:t>
      </w:r>
      <w:r w:rsidRPr="00E87FA7">
        <w:rPr>
          <w:vertAlign w:val="superscript"/>
        </w:rPr>
        <w:t>3</w:t>
      </w:r>
      <w:r w:rsidRPr="00E87FA7">
        <w:t xml:space="preserve">/rok do </w:t>
      </w:r>
      <w:r>
        <w:t>104,7</w:t>
      </w:r>
      <w:r w:rsidRPr="00E87FA7">
        <w:t xml:space="preserve"> hm</w:t>
      </w:r>
      <w:r w:rsidRPr="00E87FA7">
        <w:rPr>
          <w:vertAlign w:val="superscript"/>
        </w:rPr>
        <w:t>3</w:t>
      </w:r>
      <w:r w:rsidRPr="00E87FA7">
        <w:t>/rok.</w:t>
      </w:r>
    </w:p>
    <w:p w:rsidR="00BE39C6" w:rsidRPr="001B70E5" w:rsidRDefault="00BE39C6" w:rsidP="00BE39C6">
      <w:pPr>
        <w:jc w:val="both"/>
      </w:pPr>
      <w:r>
        <w:rPr>
          <w:noProof/>
          <w:lang w:eastAsia="pl-PL"/>
        </w:rPr>
        <w:drawing>
          <wp:inline distT="0" distB="0" distL="0" distR="0" wp14:anchorId="50300716" wp14:editId="5D8CBA32">
            <wp:extent cx="5486400" cy="320040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E39C6" w:rsidRDefault="00BE39C6" w:rsidP="00BE39C6">
      <w:pPr>
        <w:jc w:val="both"/>
      </w:pPr>
    </w:p>
    <w:p w:rsidR="00BE39C6" w:rsidRPr="000E23F7" w:rsidRDefault="00BE39C6" w:rsidP="00BE39C6">
      <w:pPr>
        <w:jc w:val="both"/>
        <w:rPr>
          <w:i/>
          <w:iCs/>
        </w:rPr>
      </w:pPr>
      <w:r w:rsidRPr="000E23F7">
        <w:rPr>
          <w:i/>
          <w:iCs/>
        </w:rPr>
        <w:t xml:space="preserve">Rys. </w:t>
      </w:r>
      <w:r w:rsidR="000E23F7" w:rsidRPr="000E23F7">
        <w:rPr>
          <w:i/>
          <w:iCs/>
        </w:rPr>
        <w:t>2.15</w:t>
      </w:r>
      <w:r w:rsidRPr="000E23F7">
        <w:rPr>
          <w:i/>
          <w:iCs/>
        </w:rPr>
        <w:t xml:space="preserve">. Ścieki przemysłowe i komunalne odprowadzane do wód i ziemi wymagające oczyszczenia (źródło: GUS) </w:t>
      </w:r>
    </w:p>
    <w:p w:rsidR="00BE39C6" w:rsidRPr="00060004" w:rsidRDefault="00BE39C6" w:rsidP="00BE39C6">
      <w:pPr>
        <w:jc w:val="both"/>
      </w:pPr>
      <w:r w:rsidRPr="00060004">
        <w:t xml:space="preserve">W okresie od 2010 r. do 2016 r. wydajność komunalnych oczyszczalni ścieków w Polsce wzrosła </w:t>
      </w:r>
      <w:r w:rsidRPr="00060004">
        <w:br/>
        <w:t>o ponad 35%</w:t>
      </w:r>
      <w:r>
        <w:t xml:space="preserve"> (dane na podstawie KPOŚK)</w:t>
      </w:r>
      <w:r w:rsidRPr="00060004">
        <w:t xml:space="preserve">. W tym samym okresie wg danych rocznika statystycznego GUS wzrósł też z 65% do 74% udział ludności obsługiwanej przez oczyszczalnie ścieków komunalnych (Rys. X), przyjmując w 2016 r. dla miast wartość 94,8%, a dla wsi 41,3%. </w:t>
      </w:r>
    </w:p>
    <w:p w:rsidR="00BE39C6" w:rsidRPr="001B70E5" w:rsidRDefault="00BE39C6" w:rsidP="00BE39C6">
      <w:pPr>
        <w:jc w:val="both"/>
      </w:pPr>
      <w:r w:rsidRPr="00060004">
        <w:t>Długość ogólnospławnej sieci kanalizacyjnej na wsiach osiągnęła w 2015 r. łączną długość 87 631,4 km; dzięki temu 39,6% ludności wiejskiej korzystało z sieci kanalizacyjnej (wobec 24,8% w roku 2010 i 11,5% w roku 2000) (RysX). W tym samym okresie wskaźnik procentowy ludności miast korzystającej z sieci kanalizacyjnej wzrósł z 86,1% w 2010 r. do 89,8% w 2015 r.</w:t>
      </w:r>
    </w:p>
    <w:p w:rsidR="00BE39C6" w:rsidRDefault="00BE39C6" w:rsidP="00BE39C6">
      <w:pPr>
        <w:tabs>
          <w:tab w:val="left" w:pos="992"/>
        </w:tabs>
        <w:jc w:val="both"/>
      </w:pPr>
      <w:r w:rsidRPr="000F209A">
        <w:t>Wzrost przepustowości komunalnych oczyszczalni ścieków jest skutkiem realizacji Krajowego Programu Oczyszczania Ścieków Komunalnych, przyjętego w grudniu 2003 r. przez Rząd Polski. Program ten przygotowany został w celu budowy, rozbudowy i modernizacji zbiorczych sieci kanalizacyjnych oraz oczyszczalni ścieków komunalnych. W lipcu 2017 roku Rada Ministrów zatwierdziła Piątą Aktualizację Krajowego Programu Oczyszczania Ścieków (AKPOŚK2017), której celem jest ustalenie realnych terminów zakończenia inwestycji w aglomeracjach, które ze względu na opóźnienia inwestycyjne nie zrealizują zaplanowanych do końca 2015 r. zadań.</w:t>
      </w:r>
      <w:r>
        <w:t xml:space="preserve"> </w:t>
      </w:r>
      <w:r w:rsidRPr="001B70E5">
        <w:t xml:space="preserve">Działania określone w Krajowym Programie Oczyszczania Ścieków Komunalnych przyczynią się także do podniesienia </w:t>
      </w:r>
      <w:r w:rsidRPr="001B70E5">
        <w:lastRenderedPageBreak/>
        <w:t xml:space="preserve">atrakcyjności inwestycyjnej Polski oraz jej regionów poprzez rozwój infrastruktury technicznej, przy równoczesnej ochronie i poprawie stanu środowiska, zdrowia i rozwijaniu spójności terytorialnej. </w:t>
      </w:r>
    </w:p>
    <w:p w:rsidR="00BE39C6" w:rsidRPr="00667A1B" w:rsidRDefault="00BE39C6" w:rsidP="00BE39C6">
      <w:pPr>
        <w:tabs>
          <w:tab w:val="left" w:pos="992"/>
        </w:tabs>
        <w:jc w:val="both"/>
      </w:pPr>
      <w:r w:rsidRPr="00B718D1">
        <w:t>Istotnym czynnikiem mającym wpływ na stan wód powierzchniowych i podziemnych jest także aspekt korzystania znaczącej części ludności na terenach wiejskich ze zbiorników bezodpływowych. W tym kontekście wskazać należy na problem opróżniania tych zbiorników z pominięciem oczyszczalni ścieków, pomimo możliwości technologicznych i użytkowych jakimi dysponują oczyszczalnie komunalne. Wydaje się, iż koniecznym jest podjęcie działań prowadzących do zwiększenia nadzoru zarówno nad użytkownikami takich zbiorników jak również podmiotów świadczących usługi ich opróżniania, aby ścieki z tych zbiorników traf</w:t>
      </w:r>
      <w:r>
        <w:t>iały wyłącznie do oczyszczalni.</w:t>
      </w:r>
    </w:p>
    <w:p w:rsidR="00BE39C6" w:rsidRPr="001B70E5" w:rsidRDefault="00BE39C6" w:rsidP="00BE39C6">
      <w:pPr>
        <w:tabs>
          <w:tab w:val="left" w:pos="992"/>
        </w:tabs>
        <w:jc w:val="both"/>
      </w:pPr>
      <w:r w:rsidRPr="001B70E5">
        <w:t>Oddziaływanie rolnictwa na środowisko wodne jest bezpośrednio związane z poziomem intensywności użytkowania gleb i stopniem koncentracji produkcji zwierzęcej.</w:t>
      </w:r>
      <w:r w:rsidRPr="00667A1B">
        <w:t xml:space="preserve"> </w:t>
      </w:r>
      <w:r>
        <w:t>W</w:t>
      </w:r>
      <w:r w:rsidRPr="001B70E5">
        <w:t xml:space="preserve"> Polsce w pierwszej połowie lat 90 </w:t>
      </w:r>
      <w:r>
        <w:t>nastąpił z</w:t>
      </w:r>
      <w:r w:rsidRPr="001B70E5">
        <w:t>naczny spadek zużycia nawozów fosforowych, związany między</w:t>
      </w:r>
      <w:r>
        <w:t xml:space="preserve"> innymi ze zmianami ustrojowymi</w:t>
      </w:r>
      <w:r w:rsidRPr="001B70E5">
        <w:t>. Od połowy pierwszej dekady XXI w. obserwowana jest stabilizacja (z pewnymi fluktuacjami w zależności od koniunktury gospodarczej) zużycia nawozów fosforowych.</w:t>
      </w:r>
      <w:r>
        <w:t xml:space="preserve"> </w:t>
      </w:r>
      <w:r w:rsidRPr="001B70E5">
        <w:t xml:space="preserve">Po znacznym spadku zużycia nawozów azotowych w latach 90. i pewnej stabilizacji do połowy pierwszej dekady XXI w. w ostatnich latach następuje wzrost ich zużycia. </w:t>
      </w:r>
    </w:p>
    <w:p w:rsidR="00BE39C6" w:rsidRPr="001B70E5" w:rsidRDefault="00BE39C6" w:rsidP="00BE39C6">
      <w:pPr>
        <w:tabs>
          <w:tab w:val="left" w:pos="992"/>
        </w:tabs>
        <w:jc w:val="both"/>
      </w:pPr>
      <w:r w:rsidRPr="00291292">
        <w:t>Wraz z wejściem w życie przepisów ustawy Prawo Wodne (Dz. U. z 2017 r. poz. 1566) zmieniło się w Polsce podejście do realizacji tzw. dyrektywy azotanowej (91/676/EWG). W miejsce cyklicznego określania wód wrażliwych na zanieczyszczenie związkami azotu ze źródeł rolniczych oraz obszarów szczególnie narażonych, z których odpływ azotu ze źródeł rolniczych do tych wód należy ograniczyć (OSN) oraz ustanawiania dla OSN programów działań mających na celu ograniczenie odpływu azotu ze źródeł rolniczych</w:t>
      </w:r>
      <w:r>
        <w:t>,</w:t>
      </w:r>
      <w:r w:rsidRPr="00291292">
        <w:t xml:space="preserve"> opracowuje się i wdraża na obszarze całego państwa Program działań. W celu zmniejszenia zanieczyszczenia wód azotanami pochodzącymi ze źródeł rolniczych oraz zapobiegania dalszemu zanieczyszczeniu Program działań zawiera środki oraz sposoby postępowania w zakresie praktyki rolniczej obejmujące m.in. ograniczenie rolniczego wykorzystania nawozów; wskazanie okresów, w których dozwolone jest rolnicze wykorzystanie nawozów, oraz dawek nawozów i sposobów nawożenia czy określenie warunków przechowywania odchodów zwierzęcych.</w:t>
      </w:r>
      <w:r>
        <w:t xml:space="preserve"> </w:t>
      </w:r>
      <w:r w:rsidRPr="001B70E5">
        <w:t xml:space="preserve">Duża koncentracja przemysłu (w tym wydobywczego), zwłaszcza </w:t>
      </w:r>
      <w:r>
        <w:t>w zlewniach górnych odcinków</w:t>
      </w:r>
      <w:r w:rsidRPr="001B70E5">
        <w:t xml:space="preserve"> Wisły i Odry, powoduje zmiany w stosunkach wodnych oraz konieczność odprowadzania ścieków do powierzchniowej sieci rzecznej prowadzącej niewielkie ilości wód. W związku z tym, w południowej części kraju niektóre </w:t>
      </w:r>
      <w:r>
        <w:t>jcwp</w:t>
      </w:r>
      <w:r w:rsidRPr="001B70E5">
        <w:t xml:space="preserve"> prowadzą wody złej jakości, o słabym i złym stanie ekologicznym. Dotrzymanie standardów dobrego stanu wód na tych obszarach jest tym bardziej trudne, że koncentracji przemysłu towarzyszy wysoka gęstość zaludnienia. Stan ten dotyczy w równej mierze </w:t>
      </w:r>
      <w:r>
        <w:t>d</w:t>
      </w:r>
      <w:r w:rsidRPr="001B70E5">
        <w:t xml:space="preserve">orzecza Wisły i </w:t>
      </w:r>
      <w:r>
        <w:t>d</w:t>
      </w:r>
      <w:r w:rsidRPr="001B70E5">
        <w:t>orzecza Odry.</w:t>
      </w:r>
    </w:p>
    <w:p w:rsidR="00BE39C6" w:rsidRPr="001B70E5" w:rsidRDefault="00BE39C6" w:rsidP="00BE39C6">
      <w:pPr>
        <w:tabs>
          <w:tab w:val="left" w:pos="992"/>
        </w:tabs>
        <w:jc w:val="both"/>
      </w:pPr>
      <w:r w:rsidRPr="001B70E5">
        <w:t>W przypadku wód podziemnych głównymi przyczynami ich słabego stanu ilościowego jest pobór wody przez duże ujęcia komunalne i przemysłowe oraz odw</w:t>
      </w:r>
      <w:r>
        <w:t>o</w:t>
      </w:r>
      <w:r w:rsidRPr="001B70E5">
        <w:t>dni</w:t>
      </w:r>
      <w:r>
        <w:t>e</w:t>
      </w:r>
      <w:r w:rsidRPr="001B70E5">
        <w:t>ni</w:t>
      </w:r>
      <w:r>
        <w:t>a</w:t>
      </w:r>
      <w:r w:rsidRPr="001B70E5">
        <w:t xml:space="preserve"> górnicze, co powodowało niekorzystne zmiany położenia zwierciadła wód podziemnych.</w:t>
      </w:r>
    </w:p>
    <w:p w:rsidR="00BE39C6" w:rsidRPr="001B70E5" w:rsidRDefault="00BE39C6" w:rsidP="000E23F7">
      <w:pPr>
        <w:tabs>
          <w:tab w:val="left" w:pos="992"/>
        </w:tabs>
        <w:jc w:val="both"/>
      </w:pPr>
      <w:r w:rsidRPr="001B70E5">
        <w:t xml:space="preserve">Bezpośredni wpływ na Morze Bałtyckie mają wyżej wymienione oddziaływania na lądzie (w postaci </w:t>
      </w:r>
      <w:r>
        <w:t xml:space="preserve">m.in. </w:t>
      </w:r>
      <w:r w:rsidRPr="001B70E5">
        <w:t xml:space="preserve">zrzutów ładunków zanieczyszczeń) oraz oddziaływania będące wynikiem szeroko rozumianej gospodarki morskiej. </w:t>
      </w:r>
      <w:r>
        <w:t xml:space="preserve">Gospodarka morska wg prawa morskiego ujmowana jest jako działalność podejmowana w środowisku morskim przez rozmaite kategorie podmiotów. Praktyka wskazuje, że podejście sektorowe stopniowo zastępowane jest podejściem zintegrowanym, traktującym jako </w:t>
      </w:r>
      <w:r>
        <w:lastRenderedPageBreak/>
        <w:t>całość części gospodarki morskiej: działalność portów morskich, rybołówstwo, przemysł stoczniowy, eksploatacja zasobów wszechoceanu, turystyka i rekreacja oraz administracja, szkolnictwo i ratownictwo morskie. Coraz większą uwagę zwraca się na zrównoważony rozwój regionów nadmorskich, który przyczynia się do podniesienia poziomu życia na tych terenach. Obok gospodarki morskiej również szereg nowych działań dotyczących zarówno presji z lądu jak i na morzu został zaprojektowany w Krajowym programie ochrony wód morskich (KPOWM). Są tam m.in. działania dot. ograniczenia ilości odpadów w środowisku morskim, jak również promowania Polskiego Kodeksu Promowania Rybołówstwa oraz rozwój infrastruktury portowej. Wszystkie działania w KPOWM mają przyczynić się do osiągnięcia dobrego stanu środowiska Morza Bałtyckiego.</w:t>
      </w:r>
    </w:p>
    <w:p w:rsidR="00BE39C6" w:rsidRDefault="000E23F7" w:rsidP="000E23F7">
      <w:pPr>
        <w:pStyle w:val="Nagwek1"/>
        <w:numPr>
          <w:ilvl w:val="0"/>
          <w:numId w:val="5"/>
        </w:numPr>
        <w:spacing w:after="240"/>
      </w:pPr>
      <w:bookmarkStart w:id="24" w:name="_Toc505604916"/>
      <w:bookmarkStart w:id="25" w:name="_Toc505605309"/>
      <w:r>
        <w:t>Powietrze</w:t>
      </w:r>
      <w:r>
        <w:rPr>
          <w:rStyle w:val="Odwoanieprzypisudolnego"/>
        </w:rPr>
        <w:footnoteReference w:id="5"/>
      </w:r>
      <w:bookmarkEnd w:id="24"/>
      <w:bookmarkEnd w:id="25"/>
    </w:p>
    <w:p w:rsidR="00845B49" w:rsidRPr="008F0D01" w:rsidRDefault="00845B49" w:rsidP="00845B49">
      <w:pPr>
        <w:suppressAutoHyphens/>
        <w:spacing w:after="0"/>
        <w:jc w:val="both"/>
      </w:pPr>
      <w:r>
        <w:t xml:space="preserve">Jakość powietrza ma duży wpływ na zdrowie i warunki życia człowieka, kondycję ekosystemów, jak również procesy związane ze zmianami </w:t>
      </w:r>
      <w:r w:rsidRPr="0084090E">
        <w:t>klimatu. Zawarte</w:t>
      </w:r>
      <w:r>
        <w:t xml:space="preserve"> w powietrzu zanieczyszczenia w istotny sposób oddziałują na zdrowie ludzi, powodując wiele dolegliwości układu oddechowego </w:t>
      </w:r>
      <w:r>
        <w:br/>
        <w:t>i krwionośnego, w tym</w:t>
      </w:r>
      <w:r w:rsidRPr="008F0D01">
        <w:t xml:space="preserve"> choroby układu krążenia, astm</w:t>
      </w:r>
      <w:r>
        <w:t>ę i obniżoną</w:t>
      </w:r>
      <w:r w:rsidRPr="008F0D01">
        <w:t xml:space="preserve"> wydajność płuc, rak</w:t>
      </w:r>
      <w:r>
        <w:t>a</w:t>
      </w:r>
      <w:r w:rsidRPr="008F0D01">
        <w:t xml:space="preserve"> płuc</w:t>
      </w:r>
      <w:r>
        <w:t xml:space="preserve"> czy też przewlekłą obturacyjną chorobę</w:t>
      </w:r>
      <w:r w:rsidRPr="008F0D01">
        <w:t xml:space="preserve"> płuc.</w:t>
      </w:r>
      <w:r>
        <w:t xml:space="preserve"> </w:t>
      </w:r>
      <w:r>
        <w:rPr>
          <w:color w:val="000000"/>
        </w:rPr>
        <w:t xml:space="preserve">Największy </w:t>
      </w:r>
      <w:r w:rsidRPr="000E3595">
        <w:rPr>
          <w:color w:val="000000"/>
        </w:rPr>
        <w:t xml:space="preserve">wpływ </w:t>
      </w:r>
      <w:r>
        <w:rPr>
          <w:color w:val="000000"/>
        </w:rPr>
        <w:t xml:space="preserve">zanieczyszczeń powietrza </w:t>
      </w:r>
      <w:r w:rsidRPr="000E3595">
        <w:rPr>
          <w:color w:val="000000"/>
        </w:rPr>
        <w:t xml:space="preserve">na zdrowie ludzi </w:t>
      </w:r>
      <w:r>
        <w:rPr>
          <w:color w:val="000000"/>
        </w:rPr>
        <w:br/>
      </w:r>
      <w:r w:rsidRPr="000E3595">
        <w:rPr>
          <w:color w:val="000000"/>
        </w:rPr>
        <w:t>i zwierząt</w:t>
      </w:r>
      <w:r>
        <w:rPr>
          <w:color w:val="000000"/>
        </w:rPr>
        <w:t xml:space="preserve"> obserwuje się </w:t>
      </w:r>
      <w:r w:rsidRPr="000E3595">
        <w:rPr>
          <w:color w:val="000000"/>
        </w:rPr>
        <w:t>w rejonach przemysłowych</w:t>
      </w:r>
      <w:r>
        <w:rPr>
          <w:color w:val="000000"/>
        </w:rPr>
        <w:t xml:space="preserve"> i zurbanizowanych</w:t>
      </w:r>
      <w:r w:rsidRPr="000E3595">
        <w:rPr>
          <w:color w:val="000000"/>
        </w:rPr>
        <w:t xml:space="preserve">. </w:t>
      </w:r>
      <w:r w:rsidRPr="0020500B">
        <w:rPr>
          <w:bCs/>
        </w:rPr>
        <w:t xml:space="preserve">Grupy najbardziej narażone </w:t>
      </w:r>
      <w:r>
        <w:rPr>
          <w:bCs/>
        </w:rPr>
        <w:t xml:space="preserve">na negatywne skutki zanieczyszczenia powietrza </w:t>
      </w:r>
      <w:r w:rsidRPr="0020500B">
        <w:rPr>
          <w:bCs/>
        </w:rPr>
        <w:t xml:space="preserve">to </w:t>
      </w:r>
      <w:r>
        <w:rPr>
          <w:bCs/>
        </w:rPr>
        <w:t xml:space="preserve">małe </w:t>
      </w:r>
      <w:r w:rsidRPr="0020500B">
        <w:rPr>
          <w:bCs/>
        </w:rPr>
        <w:t xml:space="preserve">dzieci, </w:t>
      </w:r>
      <w:r>
        <w:rPr>
          <w:bCs/>
        </w:rPr>
        <w:t xml:space="preserve">kobiety w ciąży i </w:t>
      </w:r>
      <w:r w:rsidRPr="0020500B">
        <w:rPr>
          <w:bCs/>
        </w:rPr>
        <w:t>osoby starsze</w:t>
      </w:r>
      <w:r>
        <w:rPr>
          <w:bCs/>
        </w:rPr>
        <w:t xml:space="preserve">, </w:t>
      </w:r>
      <w:r>
        <w:rPr>
          <w:bCs/>
        </w:rPr>
        <w:br/>
        <w:t>a także</w:t>
      </w:r>
      <w:r w:rsidRPr="0020500B">
        <w:rPr>
          <w:bCs/>
        </w:rPr>
        <w:t xml:space="preserve"> ludzi</w:t>
      </w:r>
      <w:r>
        <w:rPr>
          <w:bCs/>
        </w:rPr>
        <w:t>e z chorobami układu</w:t>
      </w:r>
      <w:r w:rsidRPr="0020500B">
        <w:rPr>
          <w:bCs/>
        </w:rPr>
        <w:t xml:space="preserve"> </w:t>
      </w:r>
      <w:r w:rsidRPr="009E1E31">
        <w:rPr>
          <w:bCs/>
        </w:rPr>
        <w:t>oddechow</w:t>
      </w:r>
      <w:r>
        <w:rPr>
          <w:bCs/>
        </w:rPr>
        <w:t>ego</w:t>
      </w:r>
      <w:r w:rsidRPr="009E1E31">
        <w:rPr>
          <w:bCs/>
        </w:rPr>
        <w:t xml:space="preserve"> </w:t>
      </w:r>
      <w:r w:rsidRPr="005E5754">
        <w:rPr>
          <w:rStyle w:val="Pogrubienie"/>
          <w:b w:val="0"/>
        </w:rPr>
        <w:t>lub krążenia</w:t>
      </w:r>
      <w:r w:rsidRPr="005E5754">
        <w:rPr>
          <w:b/>
          <w:bCs/>
        </w:rPr>
        <w:t>.</w:t>
      </w:r>
    </w:p>
    <w:p w:rsidR="00845B49" w:rsidRDefault="00845B49" w:rsidP="00845B49">
      <w:pPr>
        <w:suppressAutoHyphens/>
        <w:spacing w:after="0"/>
        <w:jc w:val="both"/>
      </w:pPr>
    </w:p>
    <w:p w:rsidR="00845B49" w:rsidRPr="006B7358" w:rsidRDefault="00845B49" w:rsidP="00845B49">
      <w:pPr>
        <w:suppressAutoHyphens/>
        <w:spacing w:after="0"/>
        <w:jc w:val="both"/>
      </w:pPr>
      <w:r w:rsidRPr="006B7358">
        <w:t>Ze względu na niekorzystne oddziaływania zanieczyszczeń powietrza na zdrowie ludzi i kondycję ekosystemów corocznie dokonywana jest ocena jakości powietrza ze względu na ochronę zdrowia ludzkiego i ochronę roślin. W ocenach prowadzonych pod kątem spełnienia kryteriów ustanowionych w celu ochrony zdrowia ludzi obecnie uwzględnia się: dwutlenek siarki (SO</w:t>
      </w:r>
      <w:r w:rsidRPr="005B5119">
        <w:rPr>
          <w:vertAlign w:val="subscript"/>
        </w:rPr>
        <w:t>2</w:t>
      </w:r>
      <w:r w:rsidRPr="006B7358">
        <w:t>), dwutlenek azotu (NO</w:t>
      </w:r>
      <w:r w:rsidRPr="005B5119">
        <w:rPr>
          <w:vertAlign w:val="subscript"/>
        </w:rPr>
        <w:t>2</w:t>
      </w:r>
      <w:r w:rsidRPr="006B7358">
        <w:t>), tlenek węgla (CO), benzen (C</w:t>
      </w:r>
      <w:r w:rsidRPr="00144117">
        <w:rPr>
          <w:vertAlign w:val="subscript"/>
        </w:rPr>
        <w:t>6</w:t>
      </w:r>
      <w:r w:rsidRPr="006B7358">
        <w:t>H</w:t>
      </w:r>
      <w:r w:rsidRPr="00144117">
        <w:rPr>
          <w:vertAlign w:val="subscript"/>
        </w:rPr>
        <w:t>6</w:t>
      </w:r>
      <w:r w:rsidRPr="006B7358">
        <w:t>), ozon (O</w:t>
      </w:r>
      <w:r w:rsidRPr="00144117">
        <w:rPr>
          <w:vertAlign w:val="subscript"/>
        </w:rPr>
        <w:t>3</w:t>
      </w:r>
      <w:r w:rsidRPr="006B7358">
        <w:t>), pył PM10</w:t>
      </w:r>
      <w:r w:rsidRPr="002B25D8">
        <w:rPr>
          <w:vertAlign w:val="superscript"/>
        </w:rPr>
        <w:footnoteReference w:id="6"/>
      </w:r>
      <w:r w:rsidRPr="006B7358">
        <w:t xml:space="preserve"> i PM2,5, metale ciężkie: ołów (Pb), arsen (As), kadm (Cd) i nikiel (Ni) w pyle PM10 oraz benzo(a)piren (B(a)P) w pyle PM10</w:t>
      </w:r>
      <w:r w:rsidRPr="00144117">
        <w:rPr>
          <w:vertAlign w:val="superscript"/>
        </w:rPr>
        <w:footnoteReference w:id="7"/>
      </w:r>
      <w:r w:rsidRPr="006B7358">
        <w:t>. Oceny dokonywane pod kątem spełnienia kryteriów odniesionych do ochrony roślin obejmują: dwutlenek siarki (SO</w:t>
      </w:r>
      <w:r w:rsidRPr="00144117">
        <w:rPr>
          <w:vertAlign w:val="subscript"/>
        </w:rPr>
        <w:t>2</w:t>
      </w:r>
      <w:r w:rsidRPr="006B7358">
        <w:t>), tlenki azotu (NO</w:t>
      </w:r>
      <w:r w:rsidRPr="00144117">
        <w:rPr>
          <w:vertAlign w:val="subscript"/>
        </w:rPr>
        <w:t>x</w:t>
      </w:r>
      <w:r w:rsidRPr="006B7358">
        <w:t>) i ozon (O</w:t>
      </w:r>
      <w:r w:rsidRPr="00144117">
        <w:rPr>
          <w:vertAlign w:val="subscript"/>
        </w:rPr>
        <w:t>3</w:t>
      </w:r>
      <w:r w:rsidRPr="006B7358">
        <w:t>).</w:t>
      </w:r>
    </w:p>
    <w:p w:rsidR="00845B49" w:rsidRDefault="00845B49" w:rsidP="00845B49">
      <w:pPr>
        <w:suppressAutoHyphens/>
        <w:spacing w:after="0"/>
        <w:jc w:val="both"/>
      </w:pPr>
    </w:p>
    <w:p w:rsidR="00845B49" w:rsidRPr="006B7358" w:rsidRDefault="00845B49" w:rsidP="00845B49">
      <w:pPr>
        <w:suppressAutoHyphens/>
        <w:spacing w:after="0"/>
        <w:jc w:val="both"/>
      </w:pPr>
      <w:r w:rsidRPr="006B7358">
        <w:t xml:space="preserve">System oceny i kontroli jakości powietrza oparty jest na pomiarach prowadzonych w ramach państwowej sieci monitoringu w 46 strefach: 12 aglomeracjach, 18 miastach powyżej 100 tys. mieszkańców, 16 obszarach województw niewchodzących w skład aglomeracji i miast powyżej 100 tys. mieszkańców. Ocena wykonywana jest zgodnie z obowiązującym prawem krajowym i europejskim. </w:t>
      </w:r>
    </w:p>
    <w:p w:rsidR="00845B49" w:rsidRDefault="00845B49" w:rsidP="00845B49">
      <w:pPr>
        <w:suppressAutoHyphens/>
        <w:spacing w:after="0"/>
        <w:jc w:val="both"/>
      </w:pPr>
    </w:p>
    <w:p w:rsidR="00845B49" w:rsidRPr="006B7358" w:rsidRDefault="00845B49" w:rsidP="00845B49">
      <w:pPr>
        <w:suppressAutoHyphens/>
        <w:spacing w:after="0"/>
        <w:jc w:val="both"/>
      </w:pPr>
      <w:r w:rsidRPr="006B7358">
        <w:t xml:space="preserve">Wyniki rocznych ocen jakości powietrza, przeprowadzanych przez Inspekcję Ochrony Środowiska </w:t>
      </w:r>
      <w:r w:rsidRPr="006B7358">
        <w:br/>
        <w:t xml:space="preserve">w ramach Państwowego Monitoringu Środowiska, jednoznacznie wskazują, że obecnie za nieodpowiedni stan jakości powietrza w Polsce odpowiada w pierwszej kolejności zjawisko tzw. </w:t>
      </w:r>
      <w:r w:rsidRPr="006B7358">
        <w:lastRenderedPageBreak/>
        <w:t>niskiej emisji, pochodzącej z sektora bytowo-komunalnego oraz z transportu. W Polsce istotnym problemem nadal pozostają: w sezonie zimowym – ponadnormatywne stężenia pyłu zawieszonego PM10 i PM2,5 oraz benzo(a)pirenu, a w sezonie letnim – zbyt wysokie stężenia ozonu troposferycznego. Ponadto obserwowane są pojedyncze przypadki występowania ponadnormatywnych stężeń dwutlenku azotu</w:t>
      </w:r>
      <w:r w:rsidRPr="00144117">
        <w:rPr>
          <w:vertAlign w:val="superscript"/>
        </w:rPr>
        <w:footnoteReference w:id="8"/>
      </w:r>
      <w:r w:rsidRPr="006B7358">
        <w:t xml:space="preserve">, których główną przyczyną jest oddziaływanie emisji związanej z intensywnym ruchem pojazdów w centrum miast oraz oddziaływanie emisji związanej </w:t>
      </w:r>
      <w:r w:rsidRPr="006B7358">
        <w:br/>
        <w:t xml:space="preserve">z ruchem pojazdów na głównych drogach leżących w pobliżu stacji pomiarowych. </w:t>
      </w:r>
    </w:p>
    <w:p w:rsidR="00845B49" w:rsidRPr="00137C1F" w:rsidRDefault="00845B49" w:rsidP="00845B49">
      <w:pPr>
        <w:suppressAutoHyphens/>
        <w:spacing w:after="0"/>
        <w:jc w:val="both"/>
      </w:pPr>
    </w:p>
    <w:p w:rsidR="00845B49" w:rsidRPr="006B7358" w:rsidRDefault="00845B49" w:rsidP="00845B49">
      <w:pPr>
        <w:suppressAutoHyphens/>
        <w:spacing w:after="0"/>
        <w:jc w:val="both"/>
      </w:pPr>
      <w:r w:rsidRPr="00137C1F">
        <w:t xml:space="preserve">Po znaczących redukcjach emisji wszystkich zanieczyszczeń do powietrza w Polsce w latach 90. XX wieku, po roku 2000 wyraźnie utrzymała się jedynie spadkowa tendencja emisji dwutlenku siarki. Emisje pozostałych głównych zanieczyszczeń: </w:t>
      </w:r>
      <w:r>
        <w:t>tlenki azotu (</w:t>
      </w:r>
      <w:r w:rsidRPr="00137C1F">
        <w:t>NO</w:t>
      </w:r>
      <w:r w:rsidRPr="00144117">
        <w:rPr>
          <w:vertAlign w:val="subscript"/>
        </w:rPr>
        <w:t>x</w:t>
      </w:r>
      <w:r>
        <w:t>)</w:t>
      </w:r>
      <w:r w:rsidRPr="00137C1F">
        <w:t xml:space="preserve">, </w:t>
      </w:r>
      <w:r>
        <w:t>amoniak (</w:t>
      </w:r>
      <w:r w:rsidRPr="00137C1F">
        <w:t>NH</w:t>
      </w:r>
      <w:r w:rsidRPr="00144117">
        <w:rPr>
          <w:vertAlign w:val="subscript"/>
        </w:rPr>
        <w:t>3</w:t>
      </w:r>
      <w:r>
        <w:t>)</w:t>
      </w:r>
      <w:r w:rsidRPr="00137C1F">
        <w:t xml:space="preserve"> oraz pyłu</w:t>
      </w:r>
      <w:r>
        <w:t xml:space="preserve"> zmniejszają się wolniej</w:t>
      </w:r>
      <w:r w:rsidRPr="00137C1F">
        <w:t>,</w:t>
      </w:r>
      <w:r>
        <w:t xml:space="preserve"> natomiast emisje </w:t>
      </w:r>
      <w:r w:rsidRPr="00137C1F">
        <w:t>niemetanowych lotnych związków organicznych (NMLZO) oraz pyłu pozostają na zbliżonym poziomie</w:t>
      </w:r>
      <w:bookmarkStart w:id="26" w:name="OLE_LINK1"/>
      <w:r>
        <w:t>.</w:t>
      </w:r>
    </w:p>
    <w:bookmarkEnd w:id="26"/>
    <w:p w:rsidR="00845B49" w:rsidRPr="006B7358" w:rsidRDefault="00845B49" w:rsidP="00845B49">
      <w:pPr>
        <w:suppressAutoHyphens/>
        <w:spacing w:after="0"/>
        <w:jc w:val="both"/>
      </w:pPr>
    </w:p>
    <w:p w:rsidR="00845B49" w:rsidRDefault="00845B49" w:rsidP="00845B49">
      <w:pPr>
        <w:suppressAutoHyphens/>
        <w:spacing w:after="0"/>
        <w:jc w:val="both"/>
      </w:pPr>
      <w:r w:rsidRPr="000F51BB">
        <w:t xml:space="preserve">Polska osiągnęła </w:t>
      </w:r>
      <w:r>
        <w:t>i dotrzymuje limitów emisji określonych</w:t>
      </w:r>
      <w:r w:rsidRPr="000F51BB">
        <w:t xml:space="preserve"> </w:t>
      </w:r>
      <w:r>
        <w:t>na 2010 r. w Traktacie o </w:t>
      </w:r>
      <w:r w:rsidRPr="000F51BB">
        <w:t>Przystąpieniu Rzeczypospolitej Polskiej do Unii Europejskiej</w:t>
      </w:r>
      <w:r>
        <w:t xml:space="preserve"> w zakresie dyrektywy Parlamentu Europejskiego i Rady 2001/81/WE z dnia 23 października 2001 r. w </w:t>
      </w:r>
      <w:r w:rsidRPr="000F51BB">
        <w:t>sprawie krajowych pułapów emisji dla niektórych zanieczyszczeń powietrza</w:t>
      </w:r>
      <w:r w:rsidRPr="006B7358">
        <w:footnoteReference w:id="9"/>
      </w:r>
      <w:r w:rsidRPr="006B7358">
        <w:t xml:space="preserve">. Jednocześnie w ramach Konwencji w sprawie transgranicznego zanieczyszczenia powietrza na dalekie odległości, mając na uwadze przeciwdziałanie zakwaszeniu, eutrofizacji i powstawaniu ozonu w warstwie przyziemnej, ustanowiono nowe cele w zakresie redukcji emisji dla zanieczyszczeń gazowych objętych ww. porozumieniami i dodatkowo, </w:t>
      </w:r>
      <w:r>
        <w:br/>
      </w:r>
      <w:r w:rsidRPr="006B7358">
        <w:t>w Dyrektywie Parlamentu Europejskiego i Rady (UE) 2016/2284 z dnia 14 grudnia 2016 r. w sprawie redukcji krajowych emisji niektórych rodzajów zanieczyszczeń atmosferycznych, zmiany dyrektywy 2003/35/WE oraz uchylenia dyrektywy 2001/81/WE określono cele redukcji dla pyłu PM2,5. Nowe pułapy emisji należy osiągnąć odpowiednio do roku 2020 i 2030.</w:t>
      </w:r>
      <w:r>
        <w:t xml:space="preserve"> </w:t>
      </w:r>
      <w:r w:rsidRPr="00845B49">
        <w:t>(Rys. </w:t>
      </w:r>
      <w:r>
        <w:t>3.1</w:t>
      </w:r>
      <w:r w:rsidRPr="00845B49">
        <w:t>).</w:t>
      </w: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Default="00845B49" w:rsidP="00845B49">
      <w:pPr>
        <w:suppressAutoHyphens/>
        <w:spacing w:after="0"/>
        <w:jc w:val="both"/>
      </w:pPr>
    </w:p>
    <w:p w:rsidR="00845B49" w:rsidRPr="00845B49" w:rsidRDefault="00845B49" w:rsidP="00845B49">
      <w:pPr>
        <w:pStyle w:val="NormalnyWeb"/>
        <w:spacing w:before="0" w:beforeAutospacing="0" w:after="0" w:afterAutospacing="0"/>
        <w:jc w:val="both"/>
        <w:rPr>
          <w:rFonts w:asciiTheme="minorHAnsi" w:eastAsia="Calibri" w:hAnsiTheme="minorHAnsi"/>
          <w:bCs/>
          <w:i/>
          <w:sz w:val="22"/>
          <w:szCs w:val="22"/>
          <w:lang w:eastAsia="en-US"/>
        </w:rPr>
      </w:pPr>
      <w:r w:rsidRPr="00845B49">
        <w:rPr>
          <w:rFonts w:asciiTheme="minorHAnsi" w:hAnsiTheme="minorHAnsi"/>
          <w:i/>
          <w:sz w:val="22"/>
          <w:szCs w:val="22"/>
        </w:rPr>
        <w:lastRenderedPageBreak/>
        <w:t xml:space="preserve">Rys. </w:t>
      </w:r>
      <w:r>
        <w:rPr>
          <w:rFonts w:asciiTheme="minorHAnsi" w:hAnsiTheme="minorHAnsi"/>
          <w:i/>
          <w:sz w:val="22"/>
          <w:szCs w:val="22"/>
        </w:rPr>
        <w:t>3.1</w:t>
      </w:r>
      <w:r w:rsidRPr="00845B49">
        <w:rPr>
          <w:rFonts w:asciiTheme="minorHAnsi" w:hAnsiTheme="minorHAnsi"/>
          <w:i/>
          <w:sz w:val="22"/>
          <w:szCs w:val="22"/>
        </w:rPr>
        <w:t>. Wielkość emisji SO</w:t>
      </w:r>
      <w:r w:rsidRPr="00845B49">
        <w:rPr>
          <w:rFonts w:asciiTheme="minorHAnsi" w:hAnsiTheme="minorHAnsi"/>
          <w:i/>
          <w:sz w:val="22"/>
          <w:szCs w:val="22"/>
          <w:vertAlign w:val="subscript"/>
        </w:rPr>
        <w:t>2</w:t>
      </w:r>
      <w:r w:rsidRPr="00845B49">
        <w:rPr>
          <w:rFonts w:asciiTheme="minorHAnsi" w:hAnsiTheme="minorHAnsi"/>
          <w:i/>
          <w:sz w:val="22"/>
          <w:szCs w:val="22"/>
        </w:rPr>
        <w:t>, NO</w:t>
      </w:r>
      <w:r w:rsidRPr="00845B49">
        <w:rPr>
          <w:rFonts w:asciiTheme="minorHAnsi" w:hAnsiTheme="minorHAnsi"/>
          <w:i/>
          <w:sz w:val="22"/>
          <w:szCs w:val="22"/>
          <w:vertAlign w:val="subscript"/>
        </w:rPr>
        <w:t>x</w:t>
      </w:r>
      <w:r w:rsidRPr="00845B49">
        <w:rPr>
          <w:rFonts w:asciiTheme="minorHAnsi" w:hAnsiTheme="minorHAnsi"/>
          <w:i/>
          <w:sz w:val="22"/>
          <w:szCs w:val="22"/>
        </w:rPr>
        <w:t>, NH</w:t>
      </w:r>
      <w:r w:rsidRPr="00845B49">
        <w:rPr>
          <w:rFonts w:asciiTheme="minorHAnsi" w:hAnsiTheme="minorHAnsi"/>
          <w:i/>
          <w:sz w:val="22"/>
          <w:szCs w:val="22"/>
          <w:vertAlign w:val="subscript"/>
        </w:rPr>
        <w:t>3</w:t>
      </w:r>
      <w:r w:rsidRPr="00845B49">
        <w:rPr>
          <w:rFonts w:asciiTheme="minorHAnsi" w:hAnsiTheme="minorHAnsi"/>
          <w:i/>
          <w:sz w:val="22"/>
          <w:szCs w:val="22"/>
        </w:rPr>
        <w:t xml:space="preserve">, NMLZO oraz pyłu PM2,5 na tle pułapów określonych w załączniku II do </w:t>
      </w:r>
      <w:r w:rsidRPr="00845B49">
        <w:rPr>
          <w:rFonts w:asciiTheme="minorHAnsi" w:hAnsiTheme="minorHAnsi"/>
          <w:bCs/>
          <w:i/>
          <w:sz w:val="22"/>
          <w:szCs w:val="22"/>
          <w:lang w:val="pl-PL"/>
        </w:rPr>
        <w:t>Protokołu z Göteborga</w:t>
      </w:r>
      <w:r w:rsidRPr="00845B49">
        <w:rPr>
          <w:rFonts w:asciiTheme="minorHAnsi" w:hAnsiTheme="minorHAnsi"/>
          <w:b/>
          <w:bCs/>
          <w:i/>
          <w:sz w:val="22"/>
          <w:szCs w:val="22"/>
          <w:lang w:val="pl-PL"/>
        </w:rPr>
        <w:t xml:space="preserve"> </w:t>
      </w:r>
      <w:r w:rsidRPr="00845B49">
        <w:rPr>
          <w:rFonts w:asciiTheme="minorHAnsi" w:hAnsiTheme="minorHAnsi"/>
          <w:i/>
          <w:sz w:val="22"/>
          <w:szCs w:val="22"/>
        </w:rPr>
        <w:t>(</w:t>
      </w:r>
      <w:r w:rsidRPr="00845B49">
        <w:rPr>
          <w:rFonts w:asciiTheme="minorHAnsi" w:eastAsia="Calibri" w:hAnsiTheme="minorHAnsi"/>
          <w:bCs/>
          <w:i/>
          <w:sz w:val="22"/>
          <w:szCs w:val="22"/>
          <w:lang w:eastAsia="en-US"/>
        </w:rPr>
        <w:t>źródło: MŚ, KOBiZE)</w:t>
      </w:r>
    </w:p>
    <w:p w:rsidR="00845B49" w:rsidRPr="001671F1" w:rsidRDefault="00845B49" w:rsidP="00845B49">
      <w:pPr>
        <w:spacing w:line="240" w:lineRule="auto"/>
        <w:jc w:val="both"/>
      </w:pPr>
      <w:r w:rsidRPr="00D02328">
        <w:rPr>
          <w:rFonts w:ascii="Times New Roman" w:eastAsia="Times New Roman" w:hAnsi="Times New Roman" w:cs="Times New Roman"/>
          <w:noProof/>
          <w:sz w:val="24"/>
          <w:szCs w:val="24"/>
          <w:lang w:eastAsia="pl-PL"/>
        </w:rPr>
        <w:drawing>
          <wp:inline distT="0" distB="0" distL="0" distR="0" wp14:anchorId="7ACFFCE2" wp14:editId="18255973">
            <wp:extent cx="5664200" cy="3395369"/>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8422" cy="3397900"/>
                    </a:xfrm>
                    <a:prstGeom prst="rect">
                      <a:avLst/>
                    </a:prstGeom>
                    <a:noFill/>
                    <a:ln>
                      <a:noFill/>
                    </a:ln>
                  </pic:spPr>
                </pic:pic>
              </a:graphicData>
            </a:graphic>
          </wp:inline>
        </w:drawing>
      </w:r>
    </w:p>
    <w:p w:rsidR="00845B49" w:rsidRPr="005B3F4F" w:rsidRDefault="00845B49" w:rsidP="00845B49">
      <w:pPr>
        <w:pStyle w:val="NormalnyWeb"/>
        <w:spacing w:before="0" w:beforeAutospacing="0" w:after="0" w:afterAutospacing="0"/>
        <w:jc w:val="both"/>
        <w:rPr>
          <w:rFonts w:asciiTheme="minorHAnsi" w:hAnsiTheme="minorHAnsi"/>
          <w:i/>
          <w:sz w:val="20"/>
          <w:szCs w:val="20"/>
        </w:rPr>
      </w:pPr>
    </w:p>
    <w:p w:rsidR="00845B49" w:rsidRPr="006B7358" w:rsidRDefault="00845B49" w:rsidP="00845B49">
      <w:pPr>
        <w:suppressAutoHyphens/>
        <w:spacing w:after="0"/>
        <w:jc w:val="both"/>
      </w:pPr>
      <w:r w:rsidRPr="006B7358">
        <w:t>Struktura emisji zanieczyszczeń w Polsce jest pochodną struktury zużycia i jakości paliw. Czynniki te decydują bowiem o wielkości emisji większości zanieczyszczeń powietrza. Duże znaczenie dla wielkości emisji mają również technologie produkcji w sektorze energetyki zawodowej oraz technologie spalania paliw wykorzystywane w sektorze bytowo - komunalnym (</w:t>
      </w:r>
      <w:r w:rsidRPr="00845B49">
        <w:t xml:space="preserve">Rys. </w:t>
      </w:r>
      <w:r>
        <w:t xml:space="preserve">3.2 </w:t>
      </w:r>
      <w:r w:rsidRPr="00845B49">
        <w:t xml:space="preserve">i Rys. </w:t>
      </w:r>
      <w:r>
        <w:t>3.3</w:t>
      </w:r>
      <w:r w:rsidRPr="00845B49">
        <w:t>).</w:t>
      </w:r>
    </w:p>
    <w:p w:rsidR="00845B49" w:rsidRPr="006B7358" w:rsidRDefault="00845B49" w:rsidP="00845B49">
      <w:pPr>
        <w:suppressAutoHyphens/>
        <w:spacing w:after="0"/>
        <w:jc w:val="both"/>
      </w:pPr>
      <w:bookmarkStart w:id="27" w:name="OLE_LINK4"/>
    </w:p>
    <w:p w:rsidR="00845B49" w:rsidRDefault="00845B49" w:rsidP="00845B49">
      <w:pPr>
        <w:spacing w:line="240" w:lineRule="auto"/>
        <w:rPr>
          <w:i/>
        </w:rPr>
      </w:pPr>
      <w:r w:rsidRPr="00A416DC">
        <w:rPr>
          <w:noProof/>
          <w:lang w:eastAsia="pl-PL"/>
        </w:rPr>
        <w:drawing>
          <wp:inline distT="0" distB="0" distL="0" distR="0" wp14:anchorId="6BE5411B" wp14:editId="54FF88B7">
            <wp:extent cx="5760720" cy="3305175"/>
            <wp:effectExtent l="0" t="0" r="0" b="952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305175"/>
                    </a:xfrm>
                    <a:prstGeom prst="rect">
                      <a:avLst/>
                    </a:prstGeom>
                    <a:noFill/>
                    <a:ln>
                      <a:noFill/>
                    </a:ln>
                  </pic:spPr>
                </pic:pic>
              </a:graphicData>
            </a:graphic>
          </wp:inline>
        </w:drawing>
      </w:r>
    </w:p>
    <w:p w:rsidR="00845B49" w:rsidRPr="00845B49" w:rsidRDefault="00845B49" w:rsidP="00845B49">
      <w:pPr>
        <w:pStyle w:val="NormalnyWeb"/>
        <w:spacing w:before="0" w:beforeAutospacing="0" w:after="0" w:afterAutospacing="0"/>
        <w:jc w:val="both"/>
        <w:rPr>
          <w:rFonts w:asciiTheme="minorHAnsi" w:hAnsiTheme="minorHAnsi"/>
          <w:i/>
          <w:sz w:val="22"/>
          <w:szCs w:val="22"/>
        </w:rPr>
      </w:pPr>
      <w:r w:rsidRPr="00845B49">
        <w:rPr>
          <w:rFonts w:asciiTheme="minorHAnsi" w:hAnsiTheme="minorHAnsi"/>
          <w:i/>
          <w:sz w:val="22"/>
          <w:szCs w:val="22"/>
        </w:rPr>
        <w:t xml:space="preserve">Rys. </w:t>
      </w:r>
      <w:r>
        <w:rPr>
          <w:rFonts w:asciiTheme="minorHAnsi" w:hAnsiTheme="minorHAnsi"/>
          <w:i/>
          <w:sz w:val="22"/>
          <w:szCs w:val="22"/>
        </w:rPr>
        <w:t xml:space="preserve">3.2 </w:t>
      </w:r>
      <w:r w:rsidRPr="00845B49">
        <w:rPr>
          <w:rFonts w:asciiTheme="minorHAnsi" w:hAnsiTheme="minorHAnsi"/>
          <w:i/>
          <w:sz w:val="22"/>
          <w:szCs w:val="22"/>
        </w:rPr>
        <w:t xml:space="preserve"> Struktura emisji głównych zanieczyszczeń w Polsce w roku 2015 w podziale na sektory gospodarki (źródło: KOBiZE)</w:t>
      </w:r>
    </w:p>
    <w:p w:rsidR="00845B49" w:rsidRPr="005B3F4F" w:rsidRDefault="00845B49" w:rsidP="00845B49">
      <w:pPr>
        <w:spacing w:line="240" w:lineRule="auto"/>
        <w:rPr>
          <w:bCs/>
          <w:i/>
          <w:sz w:val="20"/>
          <w:szCs w:val="20"/>
          <w:vertAlign w:val="superscript"/>
        </w:rPr>
      </w:pPr>
    </w:p>
    <w:bookmarkEnd w:id="27"/>
    <w:p w:rsidR="00845B49" w:rsidRDefault="00845B49" w:rsidP="00845B49">
      <w:pPr>
        <w:spacing w:line="240" w:lineRule="auto"/>
      </w:pPr>
      <w:r>
        <w:rPr>
          <w:noProof/>
          <w:lang w:eastAsia="pl-PL"/>
        </w:rPr>
        <w:drawing>
          <wp:inline distT="0" distB="0" distL="0" distR="0" wp14:anchorId="6A2CC180" wp14:editId="5208305A">
            <wp:extent cx="5760720" cy="3225165"/>
            <wp:effectExtent l="0" t="0" r="0" b="0"/>
            <wp:docPr id="29" name="Obraz 29"/>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225165"/>
                    </a:xfrm>
                    <a:prstGeom prst="rect">
                      <a:avLst/>
                    </a:prstGeom>
                    <a:noFill/>
                    <a:ln>
                      <a:noFill/>
                    </a:ln>
                  </pic:spPr>
                </pic:pic>
              </a:graphicData>
            </a:graphic>
          </wp:inline>
        </w:drawing>
      </w:r>
    </w:p>
    <w:p w:rsidR="00845B49" w:rsidRPr="00845B49" w:rsidRDefault="00845B49" w:rsidP="00845B49">
      <w:pPr>
        <w:spacing w:line="240" w:lineRule="auto"/>
        <w:jc w:val="both"/>
        <w:rPr>
          <w:bCs/>
          <w:i/>
          <w:vertAlign w:val="superscript"/>
        </w:rPr>
      </w:pPr>
      <w:bookmarkStart w:id="28" w:name="OLE_LINK7"/>
      <w:bookmarkStart w:id="29" w:name="OLE_LINK6"/>
      <w:r w:rsidRPr="00845B49">
        <w:rPr>
          <w:i/>
        </w:rPr>
        <w:t xml:space="preserve">Rys. </w:t>
      </w:r>
      <w:r>
        <w:rPr>
          <w:i/>
        </w:rPr>
        <w:t xml:space="preserve">3.3 </w:t>
      </w:r>
      <w:r w:rsidRPr="00845B49">
        <w:rPr>
          <w:i/>
        </w:rPr>
        <w:t xml:space="preserve">. Struktura emisji pyłu pierwotnego PM10 w Polsce w latach 2005-2015 w podziale na sektory gospodarki </w:t>
      </w:r>
      <w:bookmarkEnd w:id="28"/>
      <w:bookmarkEnd w:id="29"/>
      <w:r w:rsidRPr="00845B49">
        <w:rPr>
          <w:i/>
        </w:rPr>
        <w:t>(</w:t>
      </w:r>
      <w:r w:rsidRPr="00845B49">
        <w:rPr>
          <w:bCs/>
          <w:i/>
        </w:rPr>
        <w:t>źródło: KOBiZE)</w:t>
      </w:r>
    </w:p>
    <w:p w:rsidR="00845B49" w:rsidRPr="00137C1F" w:rsidRDefault="00845B49" w:rsidP="00845B49">
      <w:pPr>
        <w:suppressAutoHyphens/>
        <w:spacing w:after="0"/>
        <w:jc w:val="both"/>
      </w:pPr>
      <w:r>
        <w:t>Główną przyczyną braku istotnych zmian emisji gazów i pyłów do atmosfery jest to, iż struktura zużycia nośników energii w Polsce nie ulega znaczącym zmianom. Nadal p</w:t>
      </w:r>
      <w:r w:rsidRPr="000E3595">
        <w:t>odstawowym nośnikiem energii pierwotnej w gospodarce n</w:t>
      </w:r>
      <w:r>
        <w:t>arodowej jest węgiel kamienny</w:t>
      </w:r>
      <w:r w:rsidRPr="00854D14">
        <w:t>. Jego udział w strukturze zużycia nośników energii pierwotnej w Polsce wyniósł w 201</w:t>
      </w:r>
      <w:r>
        <w:t>6</w:t>
      </w:r>
      <w:r w:rsidRPr="00854D14">
        <w:t xml:space="preserve"> roku </w:t>
      </w:r>
      <w:r>
        <w:t>39,84</w:t>
      </w:r>
      <w:r w:rsidRPr="00854D14">
        <w:t>%</w:t>
      </w:r>
      <w:r w:rsidRPr="004D4F69">
        <w:t>.</w:t>
      </w:r>
      <w:r>
        <w:t xml:space="preserve"> </w:t>
      </w:r>
    </w:p>
    <w:p w:rsidR="00845B49" w:rsidRDefault="00845B49" w:rsidP="00845B49">
      <w:pPr>
        <w:suppressAutoHyphens/>
        <w:spacing w:after="0"/>
        <w:jc w:val="both"/>
      </w:pPr>
      <w:r w:rsidRPr="00250C31">
        <w:t xml:space="preserve">Pochodną struktury zużycia paliw w Polsce jest również duża emisja wielopierścieniowych węglowodorów aromatycznych (WWA), w tym emisja benzo(a)pirenu. Związki te są emitowane głównie w wyniku spalania paliw stałych w gospodarstwach domowych. </w:t>
      </w:r>
      <w:r w:rsidRPr="00854D14">
        <w:t xml:space="preserve">W 2015 roku, emisja WWA </w:t>
      </w:r>
      <w:r w:rsidRPr="00854D14">
        <w:br/>
        <w:t>z tego źródła, wyniosła p</w:t>
      </w:r>
      <w:r>
        <w:t>onad</w:t>
      </w:r>
      <w:r w:rsidRPr="00854D14">
        <w:t xml:space="preserve"> 87% ogółu emisji WWA do powietrza w Polsce. Istotnym źródłem emisji WWA są również procesy produkcyjne, w tym procesy związane z produkcją koksu czy aluminium</w:t>
      </w:r>
      <w:r w:rsidRPr="00690468">
        <w:t>.</w:t>
      </w:r>
    </w:p>
    <w:p w:rsidR="00845B49" w:rsidRDefault="00845B49" w:rsidP="00845B49">
      <w:pPr>
        <w:suppressAutoHyphens/>
        <w:spacing w:after="0"/>
        <w:jc w:val="both"/>
      </w:pPr>
    </w:p>
    <w:p w:rsidR="00845B49" w:rsidRPr="005B5119" w:rsidRDefault="00845B49" w:rsidP="00845B49">
      <w:pPr>
        <w:pStyle w:val="Akapitzpierwszliniwcit"/>
        <w:rPr>
          <w:lang w:val="pl-PL"/>
        </w:rPr>
      </w:pPr>
      <w:r>
        <w:rPr>
          <w:rFonts w:asciiTheme="minorHAnsi" w:hAnsiTheme="minorHAnsi" w:cstheme="minorHAnsi"/>
          <w:color w:val="333333"/>
          <w:shd w:val="clear" w:color="auto" w:fill="FFFFFF"/>
        </w:rPr>
        <w:t xml:space="preserve">Zanieczyszczenie powietrza wpływa również negatywnie na stan wód. </w:t>
      </w:r>
      <w:r w:rsidRPr="00844F60">
        <w:rPr>
          <w:lang w:val="pl-PL"/>
        </w:rPr>
        <w:t>Do mórz przedostają się z</w:t>
      </w:r>
      <w:r>
        <w:rPr>
          <w:lang w:val="pl-PL"/>
        </w:rPr>
        <w:t> </w:t>
      </w:r>
      <w:r w:rsidRPr="00844F60">
        <w:rPr>
          <w:lang w:val="pl-PL"/>
        </w:rPr>
        <w:t xml:space="preserve">powietrza różne związki chemiczne znajdujące się w gazach i pyłach emitowanych </w:t>
      </w:r>
      <w:r>
        <w:rPr>
          <w:lang w:val="pl-PL"/>
        </w:rPr>
        <w:t>ze źródeł lądowych oraz z transportu</w:t>
      </w:r>
      <w:r w:rsidRPr="00844F60">
        <w:rPr>
          <w:lang w:val="pl-PL"/>
        </w:rPr>
        <w:t xml:space="preserve"> morski</w:t>
      </w:r>
      <w:r>
        <w:rPr>
          <w:lang w:val="pl-PL"/>
        </w:rPr>
        <w:t>ego</w:t>
      </w:r>
      <w:r w:rsidRPr="00844F60">
        <w:rPr>
          <w:lang w:val="pl-PL"/>
        </w:rPr>
        <w:t>.</w:t>
      </w:r>
      <w:r>
        <w:rPr>
          <w:lang w:val="pl-PL"/>
        </w:rPr>
        <w:t xml:space="preserve"> </w:t>
      </w:r>
      <w:r w:rsidRPr="00844F60">
        <w:rPr>
          <w:lang w:val="pl-PL"/>
        </w:rPr>
        <w:t>W wyniku procesu spalania paliw węglowodorowych, do atmosfery przedostają się szkodliwe i toksyczne produkty w postaci: dwutlenku węgla – CO</w:t>
      </w:r>
      <w:r w:rsidRPr="00A539D1">
        <w:rPr>
          <w:vertAlign w:val="subscript"/>
          <w:lang w:val="pl-PL"/>
        </w:rPr>
        <w:t>2</w:t>
      </w:r>
      <w:r w:rsidRPr="00844F60">
        <w:rPr>
          <w:lang w:val="pl-PL"/>
        </w:rPr>
        <w:t>, tlenku węgla CO, tlenków siarki SO</w:t>
      </w:r>
      <w:r w:rsidRPr="00A539D1">
        <w:rPr>
          <w:vertAlign w:val="subscript"/>
          <w:lang w:val="pl-PL"/>
        </w:rPr>
        <w:t>x</w:t>
      </w:r>
      <w:r w:rsidRPr="00844F60">
        <w:rPr>
          <w:lang w:val="pl-PL"/>
        </w:rPr>
        <w:t>, tlenków azotu NO</w:t>
      </w:r>
      <w:r w:rsidRPr="00A539D1">
        <w:rPr>
          <w:vertAlign w:val="subscript"/>
          <w:lang w:val="pl-PL"/>
        </w:rPr>
        <w:t>x</w:t>
      </w:r>
      <w:r w:rsidRPr="00844F60">
        <w:rPr>
          <w:lang w:val="pl-PL"/>
        </w:rPr>
        <w:t>, węglowodorów HC, cząstek stałych PM oraz wielu innych toksycznych substancji mających wpływ zarówno na środowisko naturalne, jak i na zdrowie i życie człowieka. Znaczący udział w emisji tych zanieczyszczeń do atmosfery ma dynamiczny rozwój przemysłu, transportu i motoryzacji. Intensywny ruch statków w rejonach przybrzeżnych powoduje poważne zmiany w ekosystemie tych rejonów. Ocenia się, że gospodarka morska zużywa około 3% światowej produkcji paliw i to paliw najgorszych pod względem jakościowym, o wysokiej zawartości siarki. W</w:t>
      </w:r>
      <w:r>
        <w:rPr>
          <w:lang w:val="pl-PL"/>
        </w:rPr>
        <w:t> </w:t>
      </w:r>
      <w:r w:rsidRPr="00844F60">
        <w:rPr>
          <w:lang w:val="pl-PL"/>
        </w:rPr>
        <w:t>wyniku spalania tego rodzaju paliw, do atmosfery przedostaje się około 7% ogólnego zanieczyszczenia atmosfery tlenkami siarki ora</w:t>
      </w:r>
      <w:r>
        <w:rPr>
          <w:lang w:val="pl-PL"/>
        </w:rPr>
        <w:t>z około 11 - 13% tlenków azotu.</w:t>
      </w:r>
    </w:p>
    <w:p w:rsidR="00845B49" w:rsidRPr="006B7358" w:rsidRDefault="00845B49" w:rsidP="00845B49">
      <w:pPr>
        <w:suppressAutoHyphens/>
        <w:spacing w:after="0"/>
        <w:jc w:val="both"/>
      </w:pPr>
      <w:r w:rsidRPr="00137C1F">
        <w:lastRenderedPageBreak/>
        <w:t xml:space="preserve">Stan powietrza w Polsce zależy głównie od wielkości i przestrzennego rozkładu emisji ze źródeł stacjonarnych i mobilnych, jak również przepływów transgranicznych i przemian fizyko-chemicznych zachodzących w atmosferze. Procesy te mają wpływ zarówno na kształtowanie się tzw. tła zanieczyszczeń będącego wynikiem ustalania się stanu równowagi dynamicznej w dalszej odległości od źródeł emisji, jak również mają one wpływ na zasięg występowania podwyższonych stężeń </w:t>
      </w:r>
      <w:r>
        <w:br/>
      </w:r>
      <w:r w:rsidRPr="00137C1F">
        <w:t>w rejonie bezpośredniego oddziaływania  źródeł.</w:t>
      </w:r>
      <w:r w:rsidRPr="006B7358">
        <w:t xml:space="preserve"> Niekorzystne warunki meteorologiczne (stany bezwietrzne - cisze, niska temperatura, mgła, brak opadów, inwersja) mają znaczenie szczególnie w przypadku niskich źródeł emisji np. palenisk domowych, lokalnych kotłowni i komunikacji samochodowej. Ponadto, w przypadku niektórych miast polskich, istotny wpływ na poziom zanieczyszczenia powietrza mają warunki topograficzne, tj. usytuowanie źródeł emisji np. w dolinach górskich lub nieckach rzek, utrudniające rozpraszanie zanieczyszczeń – brak klinów napowietrzających oraz koncentracja przemysłu w aglomeracjach lub w ich bezpośrednim sąsiedztwie, jak to ma miejsce w Aglomeracji Krakowskiej oraz Górnośląskiej. Na te czynniki nakładają się błędy w planowaniu przestrzennym miast, a w szczególności  zabudowywanie klinów napowietrzających przez co utrudniane jest tzw. przewietrzanie miast. Przyczyn przekraczania norm jakości powietrza należy dopatrywać także w niedostatecznej świadomości społeczeństwa na temat skutków zdrowotnych spalania odpadów w paleniskach domowych.</w:t>
      </w:r>
    </w:p>
    <w:p w:rsidR="00845B49" w:rsidRPr="006B7358" w:rsidRDefault="00845B49" w:rsidP="00845B49">
      <w:pPr>
        <w:suppressAutoHyphens/>
        <w:spacing w:after="0"/>
        <w:jc w:val="both"/>
      </w:pPr>
      <w:r w:rsidRPr="006B7358">
        <w:t xml:space="preserve">Problem zanieczyszczenia powietrza dotyczy także obszarów wiejskich, zwłaszcza ze względu na wykorzystywanie przez gospodarstwa domowe indywidualnych systemów zaopatrzenia w ciepło </w:t>
      </w:r>
      <w:r w:rsidRPr="006B7358">
        <w:br/>
        <w:t>o niewystarczających parametrach emisji zanieczyszczeń.</w:t>
      </w:r>
    </w:p>
    <w:p w:rsidR="00845B49" w:rsidRPr="006B7358" w:rsidRDefault="00845B49" w:rsidP="00845B49">
      <w:pPr>
        <w:suppressAutoHyphens/>
        <w:spacing w:after="0"/>
        <w:jc w:val="both"/>
      </w:pPr>
    </w:p>
    <w:p w:rsidR="00845B49" w:rsidRPr="002271F5" w:rsidRDefault="00845B49" w:rsidP="00845B49">
      <w:pPr>
        <w:pStyle w:val="Tekstpodstawowy"/>
        <w:spacing w:after="0"/>
        <w:jc w:val="both"/>
        <w:rPr>
          <w:rFonts w:asciiTheme="minorHAnsi" w:hAnsiTheme="minorHAnsi"/>
          <w:color w:val="000000"/>
        </w:rPr>
      </w:pPr>
    </w:p>
    <w:p w:rsidR="00845B49" w:rsidRPr="003B1DFB" w:rsidRDefault="00845B49" w:rsidP="003B1DFB">
      <w:pPr>
        <w:pStyle w:val="Nagwek2"/>
      </w:pPr>
      <w:bookmarkStart w:id="30" w:name="_Toc505604917"/>
      <w:bookmarkStart w:id="31" w:name="_Toc505605310"/>
      <w:r w:rsidRPr="003B1DFB">
        <w:t>Pył zawieszony</w:t>
      </w:r>
      <w:bookmarkEnd w:id="30"/>
      <w:bookmarkEnd w:id="31"/>
    </w:p>
    <w:p w:rsidR="00845B49" w:rsidRDefault="00845B49" w:rsidP="00845B49">
      <w:pPr>
        <w:suppressAutoHyphens/>
        <w:spacing w:after="0"/>
        <w:jc w:val="both"/>
      </w:pPr>
      <w:r w:rsidRPr="00CE407F">
        <w:t>Pył zawieszony</w:t>
      </w:r>
      <w:r w:rsidRPr="000E3595">
        <w:t xml:space="preserve"> jest mieszaniną bardzo małych cząstek stałych i ciekłych złożoną zarówno ze związków organicznych</w:t>
      </w:r>
      <w:r>
        <w:t>,</w:t>
      </w:r>
      <w:r w:rsidRPr="000E3595">
        <w:t xml:space="preserve"> </w:t>
      </w:r>
      <w:r>
        <w:t xml:space="preserve">jak </w:t>
      </w:r>
      <w:r w:rsidRPr="000E3595">
        <w:t>i nieorganicznych</w:t>
      </w:r>
      <w:r>
        <w:t>. W</w:t>
      </w:r>
      <w:r w:rsidRPr="000E3595">
        <w:t xml:space="preserve"> skład </w:t>
      </w:r>
      <w:r>
        <w:t>pyłu zawieszonego</w:t>
      </w:r>
      <w:r w:rsidRPr="000E3595">
        <w:t xml:space="preserve"> mogą wchodzić węglowodory, </w:t>
      </w:r>
      <w:r>
        <w:t>węgiel elementarny, związki</w:t>
      </w:r>
      <w:r w:rsidRPr="000E3595">
        <w:t xml:space="preserve"> krzemu, aluminium</w:t>
      </w:r>
      <w:r>
        <w:t>,</w:t>
      </w:r>
      <w:r w:rsidRPr="000E3595">
        <w:t xml:space="preserve"> żelazo, metale śladowe, siarczany, azotany</w:t>
      </w:r>
      <w:r>
        <w:t>,</w:t>
      </w:r>
      <w:r w:rsidRPr="000E3595">
        <w:t xml:space="preserve"> </w:t>
      </w:r>
      <w:r>
        <w:t xml:space="preserve">chlorki </w:t>
      </w:r>
      <w:r w:rsidRPr="000E3595">
        <w:t xml:space="preserve">oraz związki amonowe. Przy czym skład pyłu zawieszonego zmienia się </w:t>
      </w:r>
      <w:r>
        <w:t>wraz z</w:t>
      </w:r>
      <w:r w:rsidRPr="000E3595">
        <w:t xml:space="preserve"> miejscem, porą roku </w:t>
      </w:r>
      <w:r>
        <w:br/>
      </w:r>
      <w:r w:rsidRPr="000E3595">
        <w:t>i warunkami pogodowymi. Cząstki pyłu drobnego i bardzo drobnego pochodzą z emisji bezpośredniej – głównie ze źródeł komunaln</w:t>
      </w:r>
      <w:r>
        <w:t>ych</w:t>
      </w:r>
      <w:r w:rsidRPr="000E3595">
        <w:t xml:space="preserve"> </w:t>
      </w:r>
      <w:r>
        <w:t xml:space="preserve">i transportu </w:t>
      </w:r>
      <w:r w:rsidRPr="000E3595">
        <w:t xml:space="preserve">– lub też powstają w atmosferze w wyniku reakcji </w:t>
      </w:r>
      <w:r>
        <w:t>między substancjami znajdującymi się w powietrzu</w:t>
      </w:r>
      <w:r w:rsidRPr="000E3595">
        <w:t xml:space="preserve">. Prekursorami tych </w:t>
      </w:r>
      <w:r>
        <w:t>ostatnich (</w:t>
      </w:r>
      <w:r w:rsidRPr="000E3595">
        <w:t>tzw. wtórnych aerozoli</w:t>
      </w:r>
      <w:r>
        <w:t>)</w:t>
      </w:r>
      <w:r w:rsidRPr="000E3595">
        <w:t xml:space="preserve"> są przede wszystkim: dwutlenek siarki (SO</w:t>
      </w:r>
      <w:r w:rsidRPr="002B25D8">
        <w:rPr>
          <w:vertAlign w:val="subscript"/>
        </w:rPr>
        <w:t>2</w:t>
      </w:r>
      <w:r w:rsidRPr="000E3595">
        <w:t>), tlenki azotu (NO</w:t>
      </w:r>
      <w:r w:rsidRPr="002B25D8">
        <w:rPr>
          <w:vertAlign w:val="subscript"/>
        </w:rPr>
        <w:t>x</w:t>
      </w:r>
      <w:r w:rsidRPr="000E3595">
        <w:t xml:space="preserve">), </w:t>
      </w:r>
      <w:r>
        <w:t>lotne związki organiczne (LZO</w:t>
      </w:r>
      <w:r w:rsidRPr="000E3595">
        <w:t>) i amoniak (NH</w:t>
      </w:r>
      <w:r w:rsidRPr="002B25D8">
        <w:rPr>
          <w:vertAlign w:val="subscript"/>
        </w:rPr>
        <w:t>3</w:t>
      </w:r>
      <w:r w:rsidRPr="000E3595">
        <w:t>).</w:t>
      </w:r>
    </w:p>
    <w:p w:rsidR="00845B49" w:rsidRPr="005B5119" w:rsidRDefault="00845B49" w:rsidP="00845B49">
      <w:pPr>
        <w:suppressAutoHyphens/>
        <w:spacing w:after="0"/>
        <w:jc w:val="both"/>
      </w:pPr>
      <w:r>
        <w:t xml:space="preserve">W pyle zawieszonym </w:t>
      </w:r>
      <w:r w:rsidRPr="000E3595">
        <w:t>wyróżnia się frakcję o ziarnach poniżej 10 μm (PM10)</w:t>
      </w:r>
      <w:r>
        <w:t>,</w:t>
      </w:r>
      <w:r w:rsidRPr="000E3595">
        <w:t xml:space="preserve"> w skład której</w:t>
      </w:r>
      <w:r>
        <w:t xml:space="preserve"> </w:t>
      </w:r>
      <w:r w:rsidRPr="000E3595">
        <w:t xml:space="preserve">wchodzi frakcja o </w:t>
      </w:r>
      <w:r>
        <w:t xml:space="preserve">średnicy poniżej 2,5 μm (PM2,5). Obydwie frakcje podlegają ocenie pod kątem ochrony zdrowia ludzi. </w:t>
      </w:r>
      <w:r w:rsidRPr="00144117">
        <w:t>Oddziaływanie cząstek drobnych (pył PM10) i</w:t>
      </w:r>
      <w:r w:rsidRPr="002B25D8">
        <w:t xml:space="preserve"> bardzo drobnych (pył PM2,5) na zdrowie zależy od liczby cząstek zatrzymanych w różnych miejscach układu oddechowego. Pył PM2,5 posiada zdolność przenikania do najgłębszych partii płuc, gdzie jest akumulowany lub rozpuszczany w płynach biologicznych. W wyniku tego może on być powodem nasilenia astmy, ostrych reakcji układu oddechowego, osłabienia czynności płuc, a w konsekwencji przewlekłej obturacyjnej choroby płuc </w:t>
      </w:r>
      <w:r>
        <w:t>itp.</w:t>
      </w:r>
    </w:p>
    <w:p w:rsidR="00E138E7" w:rsidRDefault="00E138E7" w:rsidP="00845B49">
      <w:pPr>
        <w:suppressAutoHyphens/>
        <w:spacing w:after="0"/>
        <w:jc w:val="both"/>
      </w:pPr>
    </w:p>
    <w:p w:rsidR="00845B49" w:rsidRPr="00A7286F" w:rsidRDefault="00845B49" w:rsidP="00724310">
      <w:pPr>
        <w:suppressAutoHyphens/>
        <w:spacing w:after="0"/>
        <w:jc w:val="both"/>
      </w:pPr>
      <w:r w:rsidRPr="00144117">
        <w:t xml:space="preserve">Pomimo obserwowanego zmniejszania emisji prekursorów pyłów (zwłaszcza dwutlenku siarki) oraz działań podejmowanych na rzecz redukcji stężeń pyłu zawieszonego w powietrzu, zwłaszcza najdrobniejszych jego frakcji, przekroczenia norm dla pyłu zawieszonego PM10 i PM2,5 pozostają </w:t>
      </w:r>
      <w:r w:rsidRPr="00144117">
        <w:lastRenderedPageBreak/>
        <w:t>najistotniejszym probleme</w:t>
      </w:r>
      <w:r w:rsidRPr="002B25D8">
        <w:t xml:space="preserve">m jakości powietrza w Polsce. Przekroczenia te mają miejsce zarówno </w:t>
      </w:r>
      <w:r w:rsidRPr="002B25D8">
        <w:br/>
      </w:r>
      <w:r w:rsidRPr="00A7286F">
        <w:t xml:space="preserve">w odniesieniu do standardu dobowego (pył PM10), jak i rocznego (pył PM10 i PM2,5). </w:t>
      </w:r>
    </w:p>
    <w:p w:rsidR="00845B49" w:rsidRPr="00A7286F" w:rsidRDefault="00845B49" w:rsidP="00724310">
      <w:pPr>
        <w:suppressAutoHyphens/>
        <w:spacing w:after="0"/>
        <w:jc w:val="both"/>
      </w:pPr>
      <w:r w:rsidRPr="00A7286F">
        <w:t xml:space="preserve">Przekroczenia dopuszczalnych wartości dobowych stężeń pyłu PM10 z reguły mają miejsce w okresie zimowym. We wszystkich województwach przekroczenia związane są najczęściej z emisją pyłu </w:t>
      </w:r>
      <w:r w:rsidRPr="00A7286F">
        <w:br/>
        <w:t>z indywidualnego ogrzewania budynków oraz z transportu. Jako kolejne przyczyny przekroczeń wymienić należy emisje z zakładów przemysłowych, ciepłowni, elektrowni oraz niekorzystne warunki meteorologiczne (w tym długotrwałe sytuacje inwersyjne, cisze wiatrowe).</w:t>
      </w:r>
    </w:p>
    <w:p w:rsidR="00845B49" w:rsidRPr="00144117" w:rsidRDefault="00845B49" w:rsidP="00724310">
      <w:pPr>
        <w:suppressAutoHyphens/>
        <w:spacing w:after="0"/>
        <w:jc w:val="both"/>
      </w:pPr>
      <w:r w:rsidRPr="002B25D8">
        <w:t>W wykonanej w ramach Pańśtowego Monitoringu Środowiska ocenie jakości powietrza za 2016 rok pod kątem pyłu PM10, spośród 46 stref podlegających ocenie w oparciu o stężenia 24-godzinne do klasy A zaliczono jedynie 11 stref, reszta, tj. 35 stref, została zaliczona do klasy C</w:t>
      </w:r>
      <w:r w:rsidRPr="002B25D8">
        <w:footnoteReference w:id="10"/>
      </w:r>
      <w:r w:rsidRPr="00144117">
        <w:t xml:space="preserve"> </w:t>
      </w:r>
      <w:r w:rsidRPr="00E138E7">
        <w:t xml:space="preserve">(Rys. </w:t>
      </w:r>
      <w:r w:rsidR="00E138E7">
        <w:t>3.4</w:t>
      </w:r>
      <w:r w:rsidRPr="00E138E7">
        <w:t>).</w:t>
      </w:r>
      <w:r w:rsidRPr="002B25D8">
        <w:t xml:space="preserve"> </w:t>
      </w:r>
    </w:p>
    <w:p w:rsidR="00845B49" w:rsidRDefault="00845B49" w:rsidP="00724310">
      <w:pPr>
        <w:ind w:firstLine="709"/>
        <w:jc w:val="both"/>
      </w:pPr>
    </w:p>
    <w:p w:rsidR="00E138E7" w:rsidRDefault="00E138E7" w:rsidP="00724310">
      <w:pPr>
        <w:ind w:firstLine="709"/>
        <w:jc w:val="both"/>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Default="00E138E7" w:rsidP="00845B49">
      <w:pPr>
        <w:spacing w:line="240" w:lineRule="auto"/>
        <w:ind w:firstLine="709"/>
        <w:jc w:val="center"/>
      </w:pPr>
    </w:p>
    <w:p w:rsidR="00E138E7" w:rsidRPr="00E138E7" w:rsidRDefault="00E138E7" w:rsidP="00E138E7">
      <w:pPr>
        <w:spacing w:line="240" w:lineRule="auto"/>
        <w:jc w:val="both"/>
        <w:rPr>
          <w:i/>
        </w:rPr>
      </w:pPr>
      <w:r w:rsidRPr="00E138E7">
        <w:rPr>
          <w:i/>
        </w:rPr>
        <w:lastRenderedPageBreak/>
        <w:t>Rys.</w:t>
      </w:r>
      <w:r>
        <w:rPr>
          <w:i/>
        </w:rPr>
        <w:t xml:space="preserve">3.4. </w:t>
      </w:r>
      <w:r w:rsidRPr="00E138E7">
        <w:rPr>
          <w:i/>
        </w:rPr>
        <w:t xml:space="preserve"> Klasy stref określone na podstawie 24-godzinnych stężeń pyłu PM10 w wyniku oceny jakości powietrza za rok 2016 (wg kryteriów dotyczących ochrony zdrowia), gdzie Klasa A – poziom stężeń pyłu PM10 nie przekracza poziomu dopuszczalnego, Klasa C - poziom stężeń pyłu PM10 przekracza poziom dopuszczalny (źródło: GIOŚ/PMŚ) </w:t>
      </w:r>
    </w:p>
    <w:p w:rsidR="00845B49" w:rsidRDefault="00845B49" w:rsidP="00845B49">
      <w:pPr>
        <w:spacing w:line="240" w:lineRule="auto"/>
        <w:ind w:firstLine="709"/>
        <w:jc w:val="center"/>
      </w:pPr>
    </w:p>
    <w:p w:rsidR="00845B49" w:rsidRDefault="00845B49" w:rsidP="00845B49">
      <w:pPr>
        <w:spacing w:line="240" w:lineRule="auto"/>
        <w:ind w:firstLine="709"/>
        <w:jc w:val="center"/>
      </w:pPr>
    </w:p>
    <w:p w:rsidR="00845B49" w:rsidRDefault="00845B49" w:rsidP="00845B49">
      <w:pPr>
        <w:spacing w:line="240" w:lineRule="auto"/>
        <w:ind w:firstLine="709"/>
        <w:jc w:val="center"/>
      </w:pPr>
    </w:p>
    <w:p w:rsidR="00845B49" w:rsidRDefault="00845B49" w:rsidP="00845B49">
      <w:pPr>
        <w:spacing w:line="240" w:lineRule="auto"/>
        <w:ind w:firstLine="709"/>
        <w:jc w:val="center"/>
      </w:pPr>
      <w:r>
        <w:rPr>
          <w:noProof/>
          <w:lang w:eastAsia="pl-PL"/>
        </w:rPr>
        <w:drawing>
          <wp:inline distT="0" distB="0" distL="0" distR="0" wp14:anchorId="1F33D945" wp14:editId="2322E71D">
            <wp:extent cx="3985228" cy="3800902"/>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5182" cy="3800858"/>
                    </a:xfrm>
                    <a:prstGeom prst="rect">
                      <a:avLst/>
                    </a:prstGeom>
                    <a:noFill/>
                    <a:ln>
                      <a:noFill/>
                    </a:ln>
                  </pic:spPr>
                </pic:pic>
              </a:graphicData>
            </a:graphic>
          </wp:inline>
        </w:drawing>
      </w:r>
    </w:p>
    <w:p w:rsidR="00845B49" w:rsidRDefault="00845B49" w:rsidP="00845B49">
      <w:pPr>
        <w:spacing w:line="240" w:lineRule="auto"/>
      </w:pPr>
    </w:p>
    <w:p w:rsidR="00845B49" w:rsidRPr="00CE203A" w:rsidRDefault="00845B49" w:rsidP="00845B49">
      <w:pPr>
        <w:spacing w:after="0"/>
        <w:jc w:val="center"/>
        <w:rPr>
          <w:rFonts w:ascii="Times New Roman" w:hAnsi="Times New Roman"/>
          <w:i/>
          <w:sz w:val="20"/>
          <w:szCs w:val="20"/>
        </w:rPr>
      </w:pPr>
    </w:p>
    <w:p w:rsidR="00845B49" w:rsidRPr="002B25D8" w:rsidRDefault="00845B49" w:rsidP="00E138E7">
      <w:pPr>
        <w:pStyle w:val="Akapitzlist"/>
        <w:ind w:left="0"/>
        <w:contextualSpacing w:val="0"/>
        <w:jc w:val="both"/>
      </w:pPr>
      <w:bookmarkStart w:id="32" w:name="OLE_LINK12"/>
      <w:r w:rsidRPr="002B25D8">
        <w:t xml:space="preserve">Przekroczenia dobowego poziomu dopuszczalnego pyłu PM10 występują zarówno na obszarach dużych miast i aglomeracji, jak i w mniejszych miastach i miasteczkach, a nawet na obszarach wiejskich, zwłaszcza w przypadku miejscowości położonych w dolinach czy nieckach, gdzie topografia terenu sprzyja kumulacji zanieczyszczeń. </w:t>
      </w:r>
    </w:p>
    <w:p w:rsidR="00845B49" w:rsidRPr="005B5119" w:rsidRDefault="00845B49" w:rsidP="00E138E7">
      <w:pPr>
        <w:pStyle w:val="Akapitzlist"/>
        <w:ind w:left="0"/>
        <w:contextualSpacing w:val="0"/>
        <w:jc w:val="both"/>
      </w:pPr>
      <w:r w:rsidRPr="002B25D8">
        <w:t>Ze względu na ukształtowanie terenu, dominujący sposób ogrzewania oraz gęstość zaludnienia przekroczenia poziomów dopuszczalnych dla pyłu zawieszonego najczęściej mają miejsce w miastach  i aglomeracjach położonych w południowej i środkowej Polsce (aglomeracja górnośląska, aglomeracja krakowska, aglomeracja rybnicko-jastrzębska, aglomeracja łódzka). Na przykład w roku 2016, w 9 z 12 polskich aglomeracji liczba dni, w których średnie dobowe stężenie pyłu PM10 przekroczyło wartość 50 µg/m</w:t>
      </w:r>
      <w:r w:rsidRPr="005B5119">
        <w:rPr>
          <w:vertAlign w:val="superscript"/>
        </w:rPr>
        <w:t>3</w:t>
      </w:r>
      <w:r w:rsidRPr="005B5119">
        <w:t xml:space="preserve">, była większa niż 35, co oznacza przekroczenie poziomu dopuszczalnego dla tego zanieczyszczenia W trzech aglomeracjach tj. szczecińskiej, trójmiejskiej i białostockiej norma ta nie została przekroczona liczba dni z przekroczeniami wyznaczona </w:t>
      </w:r>
      <w:r w:rsidRPr="005B5119">
        <w:lastRenderedPageBreak/>
        <w:t>na podstawie pomiarów na stacji o najwyższej liczbie dni z przekroczeniami wyniosła odpowiednio 20, 23 i 15.</w:t>
      </w:r>
    </w:p>
    <w:p w:rsidR="00845B49" w:rsidRPr="005B5119" w:rsidRDefault="00845B49" w:rsidP="00724310">
      <w:pPr>
        <w:pStyle w:val="Akapitzlist"/>
        <w:ind w:left="0"/>
        <w:contextualSpacing w:val="0"/>
        <w:jc w:val="both"/>
      </w:pPr>
      <w:r w:rsidRPr="005B5119">
        <w:t>Aglomeracje o najwyższej liczbie dni z przekroczeniami poziomu dopuszczalnego dla pyłu PM10 to aglomeracja krakowska, w której, w roku 2016 na stacjach pomiarowych odnotowano od 69 (liczba dni na stacji o najmniejszej liczbie dni z przekroczeniami – minimalna liczba dni z przekroczeniami) do 165 dni z przekroczeniami (liczba dni na stacji o największej liczbie dni z przekroczeniami – maksymalna liczba dni z przekroczeniami); aglomeracja rybnicko-jastrzębska, w której na stacjach pomiarowych zanotowano od 73–100 dni z przekroczeniami i aglomeracja górnośląska, w której w zależności od stacji wystąpiło od 59 do 104 dni z przekroczeniami. (Rys</w:t>
      </w:r>
      <w:r>
        <w:t xml:space="preserve"> </w:t>
      </w:r>
      <w:r w:rsidR="00724310">
        <w:t>3.5</w:t>
      </w:r>
      <w:r w:rsidRPr="005B5119">
        <w:t>.)</w:t>
      </w:r>
    </w:p>
    <w:p w:rsidR="00845B49" w:rsidRPr="005B5119" w:rsidRDefault="00845B49" w:rsidP="00845B49">
      <w:pPr>
        <w:pStyle w:val="NormalnyWeb"/>
        <w:spacing w:before="0" w:beforeAutospacing="0" w:after="0" w:afterAutospacing="0"/>
        <w:ind w:firstLine="709"/>
        <w:jc w:val="both"/>
        <w:rPr>
          <w:rFonts w:asciiTheme="minorHAnsi" w:eastAsiaTheme="minorHAnsi" w:hAnsiTheme="minorHAnsi" w:cstheme="minorBidi"/>
          <w:sz w:val="22"/>
          <w:szCs w:val="22"/>
          <w:lang w:val="pl-PL" w:eastAsia="en-US"/>
        </w:rPr>
      </w:pPr>
    </w:p>
    <w:p w:rsidR="00845B49" w:rsidRPr="00E138E7" w:rsidRDefault="00845B49" w:rsidP="00845B49">
      <w:pPr>
        <w:ind w:left="709" w:hanging="709"/>
        <w:jc w:val="both"/>
        <w:rPr>
          <w:rFonts w:cstheme="minorHAnsi"/>
          <w:i/>
          <w:shd w:val="clear" w:color="auto" w:fill="FFFFFF"/>
        </w:rPr>
      </w:pPr>
      <w:r w:rsidRPr="00E138E7">
        <w:rPr>
          <w:rFonts w:cstheme="minorHAnsi"/>
          <w:i/>
        </w:rPr>
        <w:t xml:space="preserve">Rys. </w:t>
      </w:r>
      <w:r w:rsidR="00E138E7">
        <w:rPr>
          <w:rFonts w:cstheme="minorHAnsi"/>
          <w:i/>
        </w:rPr>
        <w:t xml:space="preserve">3.5. </w:t>
      </w:r>
      <w:r w:rsidRPr="00E138E7">
        <w:rPr>
          <w:rFonts w:cstheme="minorHAnsi"/>
          <w:i/>
        </w:rPr>
        <w:t xml:space="preserve">Liczba dni z przekroczeniami 24-godzinnego poziomu dopuszczalnego dla pyłu PM10 w roku 2016 na stanowiskach pomiarowych zlokalizowanych w aglomeracjach, przy dopuszczalnej liczbie przekroczeń wynoszącej 35 dni (różowa). </w:t>
      </w:r>
    </w:p>
    <w:p w:rsidR="00845B49" w:rsidRDefault="00845B49" w:rsidP="00845B49">
      <w:pPr>
        <w:spacing w:line="240" w:lineRule="auto"/>
        <w:jc w:val="both"/>
      </w:pPr>
    </w:p>
    <w:p w:rsidR="00845B49" w:rsidRDefault="00845B49" w:rsidP="00845B49">
      <w:pPr>
        <w:pStyle w:val="Akapitzlist"/>
        <w:ind w:left="0"/>
      </w:pPr>
    </w:p>
    <w:p w:rsidR="00845B49" w:rsidRDefault="00845B49" w:rsidP="00845B49">
      <w:pPr>
        <w:pStyle w:val="Akapitzlist"/>
        <w:ind w:left="0"/>
      </w:pPr>
    </w:p>
    <w:p w:rsidR="00845B49" w:rsidRDefault="00845B49" w:rsidP="00845B49">
      <w:pPr>
        <w:pStyle w:val="Akapitzlist"/>
        <w:ind w:left="0"/>
      </w:pPr>
      <w:r>
        <w:rPr>
          <w:noProof/>
          <w:lang w:eastAsia="pl-PL"/>
        </w:rPr>
        <w:drawing>
          <wp:inline distT="0" distB="0" distL="0" distR="0" wp14:anchorId="0D08FC1C" wp14:editId="2CBC76F8">
            <wp:extent cx="5752465" cy="2613660"/>
            <wp:effectExtent l="0" t="0" r="63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2465" cy="2613660"/>
                    </a:xfrm>
                    <a:prstGeom prst="rect">
                      <a:avLst/>
                    </a:prstGeom>
                    <a:noFill/>
                    <a:ln>
                      <a:noFill/>
                    </a:ln>
                  </pic:spPr>
                </pic:pic>
              </a:graphicData>
            </a:graphic>
          </wp:inline>
        </w:drawing>
      </w:r>
    </w:p>
    <w:p w:rsidR="00845B49" w:rsidRDefault="00845B49" w:rsidP="00845B49">
      <w:pPr>
        <w:pStyle w:val="Akapitzlist"/>
        <w:ind w:left="0"/>
      </w:pPr>
    </w:p>
    <w:p w:rsidR="00845B49" w:rsidRDefault="00845B49" w:rsidP="00E138E7">
      <w:pPr>
        <w:pStyle w:val="Akapitzlist"/>
        <w:ind w:left="0"/>
        <w:jc w:val="both"/>
      </w:pPr>
      <w:r>
        <w:t>W ramach Państwowego Monitoringu Środowiska od 2010 roku na stacjach tła miejskiego zlokalizowanych w aglomeracjach i miastach powyżej 100 tys. mieszkańców prowadzone są pomiary pyłu PM2,5 w celu określania wskaźnika średniego narażenia ludzi napył PM2,5.</w:t>
      </w:r>
      <w:r w:rsidRPr="00E1433E">
        <w:t xml:space="preserve"> </w:t>
      </w:r>
      <w:r>
        <w:t>Pomiary te służą do obliczania krajowego wskaźnika średniego narażenia oraz wskaźników średniego narażenia dla poszczególnych miast powyżej 100 tys. mieszkańców i aglomeracji.</w:t>
      </w:r>
    </w:p>
    <w:p w:rsidR="00845B49" w:rsidRDefault="00845B49" w:rsidP="00E138E7">
      <w:pPr>
        <w:pStyle w:val="Default"/>
        <w:tabs>
          <w:tab w:val="num" w:pos="540"/>
        </w:tabs>
        <w:spacing w:after="120"/>
        <w:jc w:val="both"/>
        <w:rPr>
          <w:rFonts w:asciiTheme="minorHAnsi" w:eastAsiaTheme="minorHAnsi" w:hAnsiTheme="minorHAnsi" w:cstheme="minorBidi"/>
          <w:color w:val="auto"/>
          <w:sz w:val="22"/>
          <w:szCs w:val="22"/>
        </w:rPr>
      </w:pPr>
      <w:r w:rsidRPr="002B25D8">
        <w:rPr>
          <w:rFonts w:asciiTheme="minorHAnsi" w:eastAsiaTheme="minorHAnsi" w:hAnsiTheme="minorHAnsi" w:cstheme="minorBidi"/>
          <w:color w:val="auto"/>
          <w:sz w:val="22"/>
          <w:szCs w:val="22"/>
        </w:rPr>
        <w:t>Krajowy wskaźnik średniego narażenia na pył PM2,5 dla roku 2016 wyniósł 22 µg/m</w:t>
      </w:r>
      <w:r w:rsidRPr="005B5119">
        <w:rPr>
          <w:rFonts w:asciiTheme="minorHAnsi" w:eastAsiaTheme="minorHAnsi" w:hAnsiTheme="minorHAnsi" w:cstheme="minorBidi"/>
          <w:color w:val="auto"/>
          <w:sz w:val="22"/>
          <w:szCs w:val="22"/>
          <w:vertAlign w:val="superscript"/>
        </w:rPr>
        <w:t>3</w:t>
      </w:r>
      <w:r w:rsidRPr="002B25D8">
        <w:rPr>
          <w:rFonts w:asciiTheme="minorHAnsi" w:eastAsiaTheme="minorHAnsi" w:hAnsiTheme="minorHAnsi" w:cstheme="minorBidi"/>
          <w:color w:val="auto"/>
          <w:sz w:val="22"/>
          <w:szCs w:val="22"/>
        </w:rPr>
        <w:t xml:space="preserve"> i jego wartość była najniższa </w:t>
      </w:r>
      <w:r>
        <w:rPr>
          <w:rFonts w:asciiTheme="minorHAnsi" w:eastAsiaTheme="minorHAnsi" w:hAnsiTheme="minorHAnsi" w:cstheme="minorBidi"/>
          <w:color w:val="auto"/>
          <w:sz w:val="22"/>
          <w:szCs w:val="22"/>
        </w:rPr>
        <w:t>s</w:t>
      </w:r>
      <w:r w:rsidRPr="002B25D8">
        <w:rPr>
          <w:rFonts w:asciiTheme="minorHAnsi" w:eastAsiaTheme="minorHAnsi" w:hAnsiTheme="minorHAnsi" w:cstheme="minorBidi"/>
          <w:color w:val="auto"/>
          <w:sz w:val="22"/>
          <w:szCs w:val="22"/>
        </w:rPr>
        <w:t>pośród krajowych wskaźników obliczonych dla analizowanego okresu. Wartość wskaźnika dla roku 2016 znacząco jednak przekroczyła zarówno krajowy cel redukcji narażenia na pył PM2,5 jak i pułap stężenia ekspozycji (</w:t>
      </w:r>
      <w:r w:rsidRPr="00E138E7">
        <w:rPr>
          <w:rFonts w:asciiTheme="minorHAnsi" w:eastAsiaTheme="minorHAnsi" w:hAnsiTheme="minorHAnsi" w:cstheme="minorBidi"/>
          <w:color w:val="auto"/>
          <w:sz w:val="22"/>
          <w:szCs w:val="22"/>
        </w:rPr>
        <w:t xml:space="preserve">Rys. </w:t>
      </w:r>
      <w:r w:rsidR="00E138E7">
        <w:rPr>
          <w:rFonts w:asciiTheme="minorHAnsi" w:eastAsiaTheme="minorHAnsi" w:hAnsiTheme="minorHAnsi" w:cstheme="minorBidi"/>
          <w:color w:val="auto"/>
          <w:sz w:val="22"/>
          <w:szCs w:val="22"/>
        </w:rPr>
        <w:t>3.6</w:t>
      </w:r>
      <w:r w:rsidRPr="00E138E7">
        <w:rPr>
          <w:rFonts w:asciiTheme="minorHAnsi" w:eastAsiaTheme="minorHAnsi" w:hAnsiTheme="minorHAnsi" w:cstheme="minorBidi"/>
          <w:color w:val="auto"/>
          <w:sz w:val="22"/>
          <w:szCs w:val="22"/>
        </w:rPr>
        <w:t>.).</w:t>
      </w:r>
    </w:p>
    <w:p w:rsidR="00E138E7" w:rsidRDefault="00E138E7" w:rsidP="00E138E7">
      <w:pPr>
        <w:pStyle w:val="Default"/>
        <w:tabs>
          <w:tab w:val="num" w:pos="540"/>
        </w:tabs>
        <w:spacing w:after="120"/>
        <w:jc w:val="both"/>
        <w:rPr>
          <w:rFonts w:asciiTheme="minorHAnsi" w:eastAsiaTheme="minorHAnsi" w:hAnsiTheme="minorHAnsi" w:cstheme="minorBidi"/>
          <w:color w:val="auto"/>
          <w:sz w:val="22"/>
          <w:szCs w:val="22"/>
        </w:rPr>
      </w:pPr>
    </w:p>
    <w:p w:rsidR="00E138E7" w:rsidRPr="002B25D8" w:rsidRDefault="00E138E7" w:rsidP="00845B49">
      <w:pPr>
        <w:pStyle w:val="Default"/>
        <w:tabs>
          <w:tab w:val="num" w:pos="540"/>
        </w:tabs>
        <w:spacing w:after="120"/>
        <w:jc w:val="both"/>
        <w:rPr>
          <w:rFonts w:asciiTheme="minorHAnsi" w:eastAsiaTheme="minorHAnsi" w:hAnsiTheme="minorHAnsi" w:cstheme="minorBidi"/>
          <w:color w:val="auto"/>
          <w:sz w:val="22"/>
          <w:szCs w:val="2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45B49" w:rsidRPr="00E138E7" w:rsidTr="00E138E7">
        <w:tc>
          <w:tcPr>
            <w:tcW w:w="9062" w:type="dxa"/>
            <w:hideMark/>
          </w:tcPr>
          <w:p w:rsidR="00845B49" w:rsidRPr="00E138E7" w:rsidRDefault="00845B49" w:rsidP="00E138E7">
            <w:pPr>
              <w:ind w:left="709" w:hanging="709"/>
              <w:jc w:val="both"/>
              <w:rPr>
                <w:rFonts w:asciiTheme="minorHAnsi" w:eastAsiaTheme="minorHAnsi" w:hAnsiTheme="minorHAnsi" w:cstheme="minorHAnsi"/>
                <w:i/>
                <w:sz w:val="22"/>
                <w:szCs w:val="22"/>
                <w:lang w:eastAsia="en-US"/>
              </w:rPr>
            </w:pPr>
            <w:r w:rsidRPr="00E138E7">
              <w:rPr>
                <w:rFonts w:asciiTheme="minorHAnsi" w:eastAsiaTheme="minorHAnsi" w:hAnsiTheme="minorHAnsi" w:cstheme="minorHAnsi"/>
                <w:i/>
                <w:sz w:val="22"/>
                <w:szCs w:val="22"/>
                <w:lang w:eastAsia="en-US"/>
              </w:rPr>
              <w:lastRenderedPageBreak/>
              <w:t xml:space="preserve">Rys. </w:t>
            </w:r>
            <w:r w:rsidR="00E138E7">
              <w:rPr>
                <w:rFonts w:asciiTheme="minorHAnsi" w:eastAsiaTheme="minorHAnsi" w:hAnsiTheme="minorHAnsi" w:cstheme="minorHAnsi"/>
                <w:i/>
                <w:sz w:val="22"/>
                <w:szCs w:val="22"/>
                <w:lang w:eastAsia="en-US"/>
              </w:rPr>
              <w:t xml:space="preserve">3.6. </w:t>
            </w:r>
            <w:r w:rsidRPr="00E138E7">
              <w:rPr>
                <w:rFonts w:asciiTheme="minorHAnsi" w:eastAsiaTheme="minorHAnsi" w:hAnsiTheme="minorHAnsi" w:cstheme="minorHAnsi"/>
                <w:i/>
                <w:sz w:val="22"/>
                <w:szCs w:val="22"/>
                <w:lang w:eastAsia="en-US"/>
              </w:rPr>
              <w:t xml:space="preserve"> Krajowe wskaźniki średniego narażenia na pył PM2,5 w latach 2010–2016 w odniesieniu do: (a) krajowego celu redukcji narażenia (linia pomarańczowa); (b) pułapu stężenia ekspozycji (linia czerwona) (źródło: GIOŚ/PMŚ).</w:t>
            </w:r>
          </w:p>
        </w:tc>
      </w:tr>
    </w:tbl>
    <w:p w:rsidR="00845B49" w:rsidRDefault="00845B49" w:rsidP="00845B49">
      <w:pPr>
        <w:pStyle w:val="Akapitzlist"/>
        <w:ind w:left="0"/>
        <w:rPr>
          <w:shd w:val="clear" w:color="auto" w:fill="FFFFFF"/>
        </w:rPr>
      </w:pPr>
    </w:p>
    <w:p w:rsidR="00845B49" w:rsidRDefault="00845B49" w:rsidP="00845B49">
      <w:pPr>
        <w:pStyle w:val="Akapitzlist"/>
        <w:ind w:left="0"/>
        <w:rPr>
          <w:shd w:val="clear" w:color="auto" w:fill="FFFFFF"/>
        </w:rPr>
      </w:pPr>
    </w:p>
    <w:p w:rsidR="00845B49" w:rsidRDefault="00845B49" w:rsidP="00845B49">
      <w:pPr>
        <w:pStyle w:val="Akapitzlist"/>
        <w:ind w:left="0"/>
        <w:rPr>
          <w:shd w:val="clear" w:color="auto" w:fill="FFFFFF"/>
        </w:rPr>
      </w:pPr>
    </w:p>
    <w:p w:rsidR="00845B49" w:rsidRDefault="00845B49" w:rsidP="00845B49">
      <w:pPr>
        <w:pStyle w:val="Akapitzlist"/>
        <w:ind w:left="0"/>
        <w:rPr>
          <w:shd w:val="clear" w:color="auto" w:fill="FFFFFF"/>
        </w:rPr>
      </w:pPr>
      <w:r>
        <w:rPr>
          <w:noProof/>
          <w:shd w:val="clear" w:color="auto" w:fill="FFFFFF"/>
          <w:lang w:eastAsia="pl-PL"/>
        </w:rPr>
        <w:drawing>
          <wp:inline distT="0" distB="0" distL="0" distR="0" wp14:anchorId="552CD5CB" wp14:editId="3412B473">
            <wp:extent cx="5759450" cy="267525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2675255"/>
                    </a:xfrm>
                    <a:prstGeom prst="rect">
                      <a:avLst/>
                    </a:prstGeom>
                    <a:noFill/>
                    <a:ln>
                      <a:noFill/>
                    </a:ln>
                  </pic:spPr>
                </pic:pic>
              </a:graphicData>
            </a:graphic>
          </wp:inline>
        </w:drawing>
      </w:r>
    </w:p>
    <w:p w:rsidR="00845B49" w:rsidRPr="008A644D" w:rsidRDefault="00845B49" w:rsidP="00E138E7">
      <w:pPr>
        <w:pStyle w:val="Akapitzlist"/>
        <w:ind w:left="0"/>
        <w:jc w:val="both"/>
      </w:pPr>
      <w:r w:rsidRPr="008A644D">
        <w:t>W roku 2016 jedynie 4 miasta (Koszalin, Gorzów Wlkp., Olsztyn, Elbląg) i 3 aglomeracje (aglomeracja szczecińska, aglomeracja trójmiejska i aglomeracja bydgoska) osiągnęły krajowy cel redukcji narażenia na pył PM2,5 (18 µg/m</w:t>
      </w:r>
      <w:r w:rsidRPr="008A644D">
        <w:rPr>
          <w:vertAlign w:val="superscript"/>
        </w:rPr>
        <w:t>3</w:t>
      </w:r>
      <w:r w:rsidRPr="008A644D">
        <w:t>), a miasto Zielona Góra, Toruń i Włocławek oraz aglomeracja białostocka dotrzymały pułapu stężenia ekspozycji (20 µg/m</w:t>
      </w:r>
      <w:r w:rsidRPr="008A644D">
        <w:rPr>
          <w:vertAlign w:val="superscript"/>
        </w:rPr>
        <w:t>3</w:t>
      </w:r>
      <w:r w:rsidRPr="008A644D">
        <w:t xml:space="preserve">). </w:t>
      </w:r>
    </w:p>
    <w:p w:rsidR="00845B49" w:rsidRPr="008A644D" w:rsidRDefault="00845B49" w:rsidP="00E138E7">
      <w:pPr>
        <w:pStyle w:val="Akapitzlist"/>
        <w:ind w:left="0"/>
        <w:jc w:val="both"/>
      </w:pPr>
    </w:p>
    <w:p w:rsidR="00845B49" w:rsidRPr="008A644D" w:rsidRDefault="00845B49" w:rsidP="00E138E7">
      <w:pPr>
        <w:pStyle w:val="Akapitzlist"/>
        <w:ind w:left="0"/>
        <w:jc w:val="both"/>
      </w:pPr>
      <w:r w:rsidRPr="008A644D">
        <w:t>Pomimo spadku wartości większości wskaźników średniego narażenia dla roku 2016 w porównaniu z rokiem 2015 i 2014, na obszarach wszystkich dużych miast i aglomeracji środkowej i południowej Polski wskaźniki średniego narażenia na pył PM2,5 przekraczają pułap stężenia ekspozycji (20 μg/m</w:t>
      </w:r>
      <w:r w:rsidRPr="008A644D">
        <w:rPr>
          <w:vertAlign w:val="superscript"/>
        </w:rPr>
        <w:t>3</w:t>
      </w:r>
      <w:r w:rsidRPr="008A644D">
        <w:t>). W aglomeracjach: górnośląskiej, rybnicko-jastrzębskiej, krakowskiej oraz w trzech miastach powyżej 100 tys. mieszkańców: Bielsku-Białej, Częstochowie i Kaliszu na stanowiskach, na których prowadzone są pomiary pod kątem wskaźnika średniego narażenia na pył PM2,5 przekroczony został poziom dopuszczalny (25 μg/m</w:t>
      </w:r>
      <w:r w:rsidRPr="008A644D">
        <w:rPr>
          <w:vertAlign w:val="superscript"/>
        </w:rPr>
        <w:t>3</w:t>
      </w:r>
      <w:r w:rsidRPr="008A644D">
        <w:t xml:space="preserve">). Jedną z przyczyn przekroczeń tego kryterium w miastach są stosunkowo wysokie stężenia pyłu PM2,5 na poziomie tła regionalnego, na obszarach pozamiejskich, oddalonych od źródeł emisji. </w:t>
      </w:r>
      <w:r>
        <w:t>Z</w:t>
      </w:r>
      <w:r w:rsidRPr="008A644D">
        <w:t xml:space="preserve">jawisko to </w:t>
      </w:r>
      <w:r>
        <w:t>z</w:t>
      </w:r>
      <w:r w:rsidRPr="008A644D">
        <w:t>właszcza jest istotne na obszarze środkowej i południowej Polski. Wskazuje na to porównanie wskaźników średniego narażenia na pył PM2,5 obliczonych dla stanowisk tła regionalnego, w których prowadzone są pomiary pyłu PM2,5: Puszcza Borecka (województwo warmińsko-mazurskie); Osieczów (województwo dolnośląskie); Złoty Potok (województwo śląskie); Zielonka (województwo kujawsko-pomorskie) ze wskaźnikami średniego narażenia dla dużych miast i aglomeracji położonych w odległości do 150 km od stacji tła regionalnego, z których dane wykorzystano do obliczeń (z porównania tego wyłączono miasta dla których, wybrane stacje tła regionalnego nie były reprezentatywne np. znajdujących się nad morzem (Ko</w:t>
      </w:r>
      <w:r w:rsidR="00724310">
        <w:t>szalin, Aglomeracja Trójmiejska</w:t>
      </w:r>
      <w:r w:rsidRPr="008A644D">
        <w:t>).</w:t>
      </w:r>
    </w:p>
    <w:p w:rsidR="00845B49" w:rsidRPr="008A644D" w:rsidRDefault="00845B49" w:rsidP="00E138E7">
      <w:pPr>
        <w:pStyle w:val="Akapitzlist"/>
        <w:ind w:left="0"/>
        <w:jc w:val="both"/>
      </w:pPr>
    </w:p>
    <w:p w:rsidR="00845B49" w:rsidRPr="00E138E7" w:rsidRDefault="00845B49" w:rsidP="00E138E7">
      <w:pPr>
        <w:pStyle w:val="Akapitzlist"/>
        <w:ind w:left="0"/>
        <w:jc w:val="both"/>
      </w:pPr>
      <w:r w:rsidRPr="008A644D">
        <w:t>Wartości wskaźników średniego narażenia dla obszarów pozamiejskich południowej i południowo-zachodniej Polski są zbliżone do krajowego celu redukcji narażenia (18 μg/m</w:t>
      </w:r>
      <w:r w:rsidRPr="008A644D">
        <w:rPr>
          <w:vertAlign w:val="superscript"/>
        </w:rPr>
        <w:t>3</w:t>
      </w:r>
      <w:r w:rsidRPr="008A644D">
        <w:t>) - stacja „Osieczów” - 16 μg/m</w:t>
      </w:r>
      <w:r w:rsidRPr="008A644D">
        <w:rPr>
          <w:vertAlign w:val="superscript"/>
        </w:rPr>
        <w:t>3</w:t>
      </w:r>
      <w:r w:rsidRPr="008A644D">
        <w:t>; stacja „Złoty Potok” – 18 μg/m</w:t>
      </w:r>
      <w:r w:rsidRPr="008A644D">
        <w:rPr>
          <w:vertAlign w:val="superscript"/>
        </w:rPr>
        <w:t>3</w:t>
      </w:r>
      <w:r w:rsidRPr="008A644D">
        <w:t xml:space="preserve">. Z porównania obliczonych wskaźników średniego </w:t>
      </w:r>
      <w:r w:rsidRPr="008A644D">
        <w:lastRenderedPageBreak/>
        <w:t>narażenia wynika jedno</w:t>
      </w:r>
      <w:r>
        <w:t>znacznie</w:t>
      </w:r>
      <w:r w:rsidRPr="008A644D">
        <w:t>, iż największy potencjał do redukcji stężenia pyłu PM2,5 w powietrzu mają miasta i aglomeracje z województw: śląskiego, małopolskiego i dolnośląskiego co potwierdza istotny wpływ niskiej emisji na stężenia pyłu PM2,5.</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45B49" w:rsidRPr="00E138E7" w:rsidTr="00E138E7">
        <w:tc>
          <w:tcPr>
            <w:tcW w:w="9062" w:type="dxa"/>
            <w:hideMark/>
          </w:tcPr>
          <w:p w:rsidR="00845B49" w:rsidRPr="00E138E7" w:rsidRDefault="00845B49" w:rsidP="005270A2">
            <w:pPr>
              <w:rPr>
                <w:rFonts w:asciiTheme="minorHAnsi" w:hAnsiTheme="minorHAnsi"/>
                <w:bCs/>
                <w:i/>
              </w:rPr>
            </w:pPr>
            <w:r w:rsidRPr="00E138E7">
              <w:rPr>
                <w:rFonts w:asciiTheme="minorHAnsi" w:hAnsiTheme="minorHAnsi"/>
                <w:i/>
              </w:rPr>
              <w:t xml:space="preserve">Rys. </w:t>
            </w:r>
            <w:r w:rsidR="00E138E7">
              <w:rPr>
                <w:rFonts w:asciiTheme="minorHAnsi" w:hAnsiTheme="minorHAnsi"/>
                <w:i/>
              </w:rPr>
              <w:t>3.7.</w:t>
            </w:r>
            <w:r w:rsidRPr="00E138E7">
              <w:rPr>
                <w:rFonts w:asciiTheme="minorHAnsi" w:hAnsiTheme="minorHAnsi"/>
                <w:i/>
              </w:rPr>
              <w:t xml:space="preserve"> Wskaźniki średniego narażenia na pył PM2,5 dla lat 2010–2015 </w:t>
            </w:r>
            <w:r w:rsidRPr="00E138E7">
              <w:rPr>
                <w:rFonts w:asciiTheme="minorHAnsi" w:hAnsiTheme="minorHAnsi"/>
                <w:bCs/>
                <w:i/>
              </w:rPr>
              <w:t xml:space="preserve">w odniesieniu do: </w:t>
            </w:r>
          </w:p>
          <w:p w:rsidR="00845B49" w:rsidRPr="00E138E7" w:rsidRDefault="00845B49" w:rsidP="00845B49">
            <w:pPr>
              <w:numPr>
                <w:ilvl w:val="0"/>
                <w:numId w:val="10"/>
              </w:numPr>
              <w:ind w:left="851" w:hanging="851"/>
              <w:rPr>
                <w:rFonts w:asciiTheme="minorHAnsi" w:hAnsiTheme="minorHAnsi"/>
                <w:bCs/>
                <w:i/>
              </w:rPr>
            </w:pPr>
            <w:r w:rsidRPr="00E138E7">
              <w:rPr>
                <w:rFonts w:asciiTheme="minorHAnsi" w:hAnsiTheme="minorHAnsi"/>
                <w:bCs/>
                <w:i/>
              </w:rPr>
              <w:t>krajowego celu redukcji narażenia – cel na 2020 rok dla obszarów tła miejskiego dużych miast i aglomeracji (linia zielona);</w:t>
            </w:r>
          </w:p>
          <w:p w:rsidR="00845B49" w:rsidRPr="00E138E7" w:rsidRDefault="00845B49" w:rsidP="00845B49">
            <w:pPr>
              <w:numPr>
                <w:ilvl w:val="0"/>
                <w:numId w:val="10"/>
              </w:numPr>
              <w:ind w:left="851" w:hanging="851"/>
              <w:rPr>
                <w:rFonts w:asciiTheme="minorHAnsi" w:hAnsiTheme="minorHAnsi"/>
                <w:bCs/>
                <w:i/>
              </w:rPr>
            </w:pPr>
            <w:r w:rsidRPr="00E138E7">
              <w:rPr>
                <w:rFonts w:asciiTheme="minorHAnsi" w:hAnsiTheme="minorHAnsi"/>
                <w:bCs/>
                <w:i/>
              </w:rPr>
              <w:t>pułapu stężenia ekspozycji – cel na 2015 rok dla obszarów tła miejskiego dużych miast i aglomeracji (linia żółta);</w:t>
            </w:r>
          </w:p>
          <w:p w:rsidR="00845B49" w:rsidRPr="00E138E7" w:rsidRDefault="00845B49" w:rsidP="00845B49">
            <w:pPr>
              <w:pStyle w:val="Akapitzlist"/>
              <w:numPr>
                <w:ilvl w:val="0"/>
                <w:numId w:val="10"/>
              </w:numPr>
              <w:ind w:left="851" w:hanging="851"/>
              <w:rPr>
                <w:rFonts w:asciiTheme="minorHAnsi" w:hAnsiTheme="minorHAnsi"/>
                <w:shd w:val="clear" w:color="auto" w:fill="FFFFFF"/>
              </w:rPr>
            </w:pPr>
            <w:r w:rsidRPr="00E138E7">
              <w:rPr>
                <w:rFonts w:asciiTheme="minorHAnsi" w:hAnsiTheme="minorHAnsi"/>
                <w:bCs/>
                <w:i/>
              </w:rPr>
              <w:t>poziomu dopuszczalnego – cel na 2015 rok dla obszaru całego kraju (linia czerwona).</w:t>
            </w:r>
          </w:p>
          <w:p w:rsidR="00845B49" w:rsidRPr="00E138E7" w:rsidRDefault="00845B49" w:rsidP="005270A2">
            <w:pPr>
              <w:jc w:val="right"/>
              <w:rPr>
                <w:rFonts w:asciiTheme="minorHAnsi" w:hAnsiTheme="minorHAnsi"/>
                <w:shd w:val="clear" w:color="auto" w:fill="FFFFFF"/>
              </w:rPr>
            </w:pPr>
            <w:r w:rsidRPr="00E138E7">
              <w:rPr>
                <w:rFonts w:asciiTheme="minorHAnsi" w:hAnsiTheme="minorHAnsi"/>
                <w:bCs/>
                <w:i/>
              </w:rPr>
              <w:t>(źródło: GIOŚ/PMŚ).</w:t>
            </w:r>
          </w:p>
        </w:tc>
      </w:tr>
    </w:tbl>
    <w:p w:rsidR="00845B49" w:rsidRDefault="00845B49" w:rsidP="00845B49">
      <w:pPr>
        <w:pStyle w:val="NormalnyWeb"/>
        <w:spacing w:before="0" w:beforeAutospacing="0" w:after="0" w:afterAutospacing="0"/>
        <w:ind w:firstLine="709"/>
        <w:jc w:val="center"/>
        <w:rPr>
          <w:lang w:val="pl-PL"/>
        </w:rPr>
      </w:pPr>
      <w:r>
        <w:rPr>
          <w:noProof/>
          <w:lang w:val="pl-PL" w:eastAsia="pl-PL"/>
        </w:rPr>
        <w:drawing>
          <wp:inline distT="0" distB="0" distL="0" distR="0" wp14:anchorId="4CA1623D" wp14:editId="66429C6B">
            <wp:extent cx="5734050" cy="7077075"/>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45B49" w:rsidRDefault="00845B49" w:rsidP="00845B49">
      <w:pPr>
        <w:pStyle w:val="NormalnyWeb"/>
        <w:spacing w:before="0" w:beforeAutospacing="0" w:after="0" w:afterAutospacing="0"/>
        <w:ind w:firstLine="709"/>
        <w:jc w:val="center"/>
        <w:rPr>
          <w:lang w:val="pl-PL"/>
        </w:rPr>
      </w:pPr>
    </w:p>
    <w:p w:rsidR="00845B49" w:rsidRDefault="00845B49" w:rsidP="00845B49">
      <w:pPr>
        <w:pStyle w:val="Akapitzlist"/>
        <w:ind w:left="0"/>
        <w:rPr>
          <w:color w:val="000000" w:themeColor="text1"/>
          <w:szCs w:val="24"/>
          <w:shd w:val="clear" w:color="auto" w:fill="FFFFFF"/>
        </w:rPr>
      </w:pPr>
    </w:p>
    <w:p w:rsidR="00845B49" w:rsidRDefault="00845B49" w:rsidP="00845B49">
      <w:pPr>
        <w:pStyle w:val="Akapitzlist"/>
        <w:ind w:left="0"/>
        <w:rPr>
          <w:color w:val="000000" w:themeColor="text1"/>
          <w:szCs w:val="24"/>
          <w:shd w:val="clear" w:color="auto" w:fill="FFFFFF"/>
        </w:rPr>
      </w:pPr>
    </w:p>
    <w:p w:rsidR="00845B49" w:rsidRDefault="00845B49" w:rsidP="00845B49">
      <w:pPr>
        <w:pStyle w:val="Akapitzlist"/>
        <w:ind w:left="0"/>
        <w:rPr>
          <w:color w:val="000000" w:themeColor="text1"/>
          <w:szCs w:val="24"/>
          <w:shd w:val="clear" w:color="auto" w:fill="FFFFFF"/>
        </w:rPr>
      </w:pPr>
      <w:r w:rsidRPr="00976E69">
        <w:rPr>
          <w:rFonts w:ascii="Calibri" w:eastAsia="Calibri" w:hAnsi="Calibri" w:cs="Times New Roman"/>
          <w:noProof/>
          <w:lang w:eastAsia="pl-PL"/>
        </w:rPr>
        <w:drawing>
          <wp:inline distT="0" distB="0" distL="0" distR="0" wp14:anchorId="2477A20B" wp14:editId="1C904C6D">
            <wp:extent cx="5756910" cy="632904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6910" cy="6329045"/>
                    </a:xfrm>
                    <a:prstGeom prst="rect">
                      <a:avLst/>
                    </a:prstGeom>
                    <a:noFill/>
                    <a:ln>
                      <a:noFill/>
                    </a:ln>
                  </pic:spPr>
                </pic:pic>
              </a:graphicData>
            </a:graphic>
          </wp:inline>
        </w:drawing>
      </w:r>
    </w:p>
    <w:p w:rsidR="00845B49" w:rsidRDefault="00845B49" w:rsidP="00845B49">
      <w:pPr>
        <w:pStyle w:val="Akapitzlist"/>
        <w:ind w:left="0"/>
        <w:rPr>
          <w:color w:val="000000" w:themeColor="text1"/>
          <w:szCs w:val="24"/>
          <w:shd w:val="clear" w:color="auto" w:fill="FFFFFF"/>
        </w:rPr>
      </w:pPr>
    </w:p>
    <w:p w:rsidR="00845B49" w:rsidRPr="008A644D" w:rsidRDefault="00845B49" w:rsidP="00724310">
      <w:pPr>
        <w:pStyle w:val="Akapitzlist"/>
        <w:ind w:left="0"/>
        <w:jc w:val="both"/>
      </w:pPr>
      <w:r w:rsidRPr="008A644D">
        <w:t xml:space="preserve">Szacuje się, że zanieczyszczenie powietrza pyłem zawieszonym PM2,5 odpowiada za ponad 400 tys. przedwczesnych zgonów w krajach Unii Europejskiej, w tym za blisko 80% zgonów spowodowanych chorobami układu oddechowego i rakiem płuc (EEA, 2014). </w:t>
      </w:r>
    </w:p>
    <w:p w:rsidR="00845B49" w:rsidRPr="008A644D" w:rsidRDefault="00845B49" w:rsidP="00724310">
      <w:pPr>
        <w:jc w:val="both"/>
      </w:pPr>
      <w:r w:rsidRPr="008A644D">
        <w:t>Pyły mogą również oddziaływać na roślinność zarówno w sposób bezpośredni – poprzez depozycję na powierzchni liści, jak i pośredni – przez zmianę chemizmu gleby. Ich oddziaływanie zmniejsza odporność roślin na stresy biotyczne, jak choroby grzybowe, wirusowe, patogeny i szkodniki</w:t>
      </w:r>
      <w:r w:rsidRPr="005B5119">
        <w:rPr>
          <w:vertAlign w:val="superscript"/>
        </w:rPr>
        <w:footnoteReference w:id="11"/>
      </w:r>
      <w:r w:rsidRPr="005B5119">
        <w:rPr>
          <w:vertAlign w:val="superscript"/>
        </w:rPr>
        <w:t xml:space="preserve"> </w:t>
      </w:r>
    </w:p>
    <w:p w:rsidR="00845B49" w:rsidRPr="00A7286F" w:rsidRDefault="00845B49" w:rsidP="00724310">
      <w:pPr>
        <w:jc w:val="both"/>
      </w:pPr>
      <w:r w:rsidRPr="008A644D">
        <w:lastRenderedPageBreak/>
        <w:t>Ważnymi ze względu na skutki zdrowotne zanieczyszczeniami powietrza są również związki z grupy wielopierścieniowych węglowodorów aromatycznych (WWA). Związki te mają udowodnione właściwości kancerogenne i mutagenne</w:t>
      </w:r>
      <w:r w:rsidRPr="00A7286F">
        <w:t>. W ocenie jakości powietrza wskaźnikiem poziomu zanieczyszczenia powietrza WWA jest benzo(a)piren oznaczany w pyle zawieszonym PM10.</w:t>
      </w:r>
    </w:p>
    <w:p w:rsidR="00845B49" w:rsidRDefault="00845B49" w:rsidP="00724310">
      <w:pPr>
        <w:jc w:val="both"/>
      </w:pPr>
      <w:r w:rsidRPr="0004423B">
        <w:t>Wykonana w ramach Państwowego Monitoringu Środowiska ocena jakości powietrza za rok 2016 pod kątem benzo(a)pirenu wykazała, że spośród 46 stref podlegających ocenie, do klasy A zaliczono 3 strefy (</w:t>
      </w:r>
      <w:r>
        <w:t xml:space="preserve">strefa podlaska, Aglomeracja Białostocka i </w:t>
      </w:r>
      <w:r w:rsidRPr="0004423B">
        <w:t>miasto Olsztyn). Aż 43 strefy zaliczono do klasy C</w:t>
      </w:r>
      <w:r>
        <w:t xml:space="preserve"> </w:t>
      </w:r>
      <w:r w:rsidRPr="00724310">
        <w:t>(Rys. </w:t>
      </w:r>
      <w:r w:rsidR="00724310">
        <w:t>3.8</w:t>
      </w:r>
      <w:r w:rsidRPr="00724310">
        <w:t>).</w:t>
      </w:r>
      <w:r>
        <w:t xml:space="preserve"> Tak d</w:t>
      </w:r>
      <w:r w:rsidRPr="00D33A01">
        <w:t xml:space="preserve">uża liczba stref zaliczonych do klasy C </w:t>
      </w:r>
      <w:r>
        <w:t xml:space="preserve">wiąże się </w:t>
      </w:r>
      <w:r w:rsidRPr="00D33A01">
        <w:t xml:space="preserve">z </w:t>
      </w:r>
      <w:r>
        <w:t xml:space="preserve">bardzo niską i trudną do dotrzymania </w:t>
      </w:r>
      <w:r w:rsidRPr="00D33A01">
        <w:t xml:space="preserve">wartością </w:t>
      </w:r>
      <w:r>
        <w:t xml:space="preserve">progową </w:t>
      </w:r>
      <w:r w:rsidRPr="00D33A01">
        <w:t>określoną dla</w:t>
      </w:r>
      <w:r>
        <w:t xml:space="preserve"> benzo(a)pirenu</w:t>
      </w:r>
      <w:r>
        <w:rPr>
          <w:rStyle w:val="Odwoanieprzypisudolnego"/>
        </w:rPr>
        <w:footnoteReference w:id="12"/>
      </w:r>
      <w:r>
        <w:t xml:space="preserve"> oraz ze strukturą zużycia paliw w gospodarstwach domowych.</w:t>
      </w:r>
      <w:r w:rsidRPr="00D33A01">
        <w:t xml:space="preserve"> </w:t>
      </w:r>
      <w:r>
        <w:t>Źródłem zanieczyszczenia powietrza benzo(a)pirenem jest niepełne spalanie paliw. W związku z tym najwyższe stężenia benzo(a)pirenu i innych wielopierścieniowych węglowodorów aromatycznych występują w okresie jesienno-zimowym na gęsto zabudowanych obszarach, gdzie domy lub mieszkania są ogrzewane indywidualnie węglem lub drewnem.</w:t>
      </w:r>
    </w:p>
    <w:p w:rsidR="00724310" w:rsidRDefault="00724310" w:rsidP="00724310">
      <w:pPr>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Default="00724310" w:rsidP="00845B49">
      <w:pPr>
        <w:spacing w:line="240" w:lineRule="auto"/>
        <w:jc w:val="both"/>
      </w:pPr>
    </w:p>
    <w:p w:rsidR="00724310" w:rsidRPr="00724310" w:rsidRDefault="00724310" w:rsidP="00724310">
      <w:pPr>
        <w:keepLines/>
        <w:rPr>
          <w:bCs/>
          <w:i/>
        </w:rPr>
      </w:pPr>
      <w:r w:rsidRPr="00724310">
        <w:rPr>
          <w:i/>
        </w:rPr>
        <w:t xml:space="preserve">Rys. </w:t>
      </w:r>
      <w:r>
        <w:rPr>
          <w:i/>
        </w:rPr>
        <w:t xml:space="preserve">3.8. </w:t>
      </w:r>
      <w:r w:rsidRPr="00724310">
        <w:rPr>
          <w:i/>
        </w:rPr>
        <w:t>Klasyfikacja stref w Polsce dla benzo(a)pirenu na podstawie rocznej oceny jakości powietrza za rok 2016 (ochrona zdrowia)</w:t>
      </w:r>
      <w:r w:rsidRPr="00724310">
        <w:rPr>
          <w:bCs/>
          <w:i/>
        </w:rPr>
        <w:t xml:space="preserve"> (źródło: GIOŚ/PMŚ)</w:t>
      </w:r>
    </w:p>
    <w:p w:rsidR="00845B49" w:rsidRDefault="00845B49" w:rsidP="00845B49">
      <w:pPr>
        <w:spacing w:line="240" w:lineRule="auto"/>
        <w:jc w:val="center"/>
      </w:pPr>
    </w:p>
    <w:p w:rsidR="00845B49" w:rsidRDefault="00845B49" w:rsidP="00845B49">
      <w:pPr>
        <w:spacing w:line="240" w:lineRule="auto"/>
        <w:jc w:val="center"/>
      </w:pPr>
    </w:p>
    <w:p w:rsidR="00845B49" w:rsidRDefault="00845B49" w:rsidP="00845B49">
      <w:pPr>
        <w:spacing w:line="240" w:lineRule="auto"/>
        <w:jc w:val="center"/>
      </w:pPr>
    </w:p>
    <w:p w:rsidR="00845B49" w:rsidRDefault="00845B49" w:rsidP="00845B49">
      <w:pPr>
        <w:spacing w:line="240" w:lineRule="auto"/>
        <w:jc w:val="center"/>
      </w:pPr>
      <w:r>
        <w:rPr>
          <w:noProof/>
          <w:lang w:eastAsia="pl-PL"/>
        </w:rPr>
        <w:drawing>
          <wp:inline distT="0" distB="0" distL="0" distR="0" wp14:anchorId="66D0AF90" wp14:editId="6EEC0977">
            <wp:extent cx="4182546" cy="4094329"/>
            <wp:effectExtent l="0" t="0" r="8890" b="190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2423" cy="4094209"/>
                    </a:xfrm>
                    <a:prstGeom prst="rect">
                      <a:avLst/>
                    </a:prstGeom>
                    <a:noFill/>
                    <a:ln>
                      <a:noFill/>
                    </a:ln>
                  </pic:spPr>
                </pic:pic>
              </a:graphicData>
            </a:graphic>
          </wp:inline>
        </w:drawing>
      </w:r>
    </w:p>
    <w:p w:rsidR="00845B49" w:rsidRDefault="00845B49" w:rsidP="00845B49">
      <w:pPr>
        <w:spacing w:line="240" w:lineRule="auto"/>
        <w:ind w:firstLine="709"/>
      </w:pPr>
    </w:p>
    <w:p w:rsidR="00845B49" w:rsidRPr="003B1DFB" w:rsidRDefault="00845B49" w:rsidP="003B1DFB">
      <w:pPr>
        <w:pStyle w:val="Nagwek2"/>
      </w:pPr>
      <w:bookmarkStart w:id="33" w:name="_Toc505604918"/>
      <w:bookmarkStart w:id="34" w:name="_Toc505605311"/>
      <w:bookmarkEnd w:id="32"/>
      <w:r w:rsidRPr="003B1DFB">
        <w:t>Ozon</w:t>
      </w:r>
      <w:bookmarkEnd w:id="33"/>
      <w:bookmarkEnd w:id="34"/>
    </w:p>
    <w:p w:rsidR="00845B49" w:rsidRDefault="00845B49" w:rsidP="00724310">
      <w:pPr>
        <w:autoSpaceDE w:val="0"/>
        <w:autoSpaceDN w:val="0"/>
        <w:adjustRightInd w:val="0"/>
        <w:jc w:val="both"/>
      </w:pPr>
      <w:r w:rsidRPr="00CE407F">
        <w:t>Ozon</w:t>
      </w:r>
      <w:r w:rsidRPr="000E3595">
        <w:t xml:space="preserve"> jest silnym utleniaczem fotochemicznym, który </w:t>
      </w:r>
      <w:r>
        <w:t xml:space="preserve">może mieć istotny wpływ na zdrowie ludzi. </w:t>
      </w:r>
      <w:r w:rsidRPr="00253F5A">
        <w:t>Podwyższone</w:t>
      </w:r>
      <w:r>
        <w:t>,</w:t>
      </w:r>
      <w:r w:rsidRPr="00253F5A">
        <w:t xml:space="preserve"> przekraczające określone prawem normy stężenie ozonu w</w:t>
      </w:r>
      <w:r>
        <w:t> </w:t>
      </w:r>
      <w:r w:rsidRPr="00253F5A">
        <w:t>powietrzu może prowadzić do reakcji zapalnych oczu</w:t>
      </w:r>
      <w:r>
        <w:t xml:space="preserve"> czy</w:t>
      </w:r>
      <w:r w:rsidRPr="00253F5A">
        <w:t xml:space="preserve"> chorób dróg oddechowych, w</w:t>
      </w:r>
      <w:r>
        <w:t> </w:t>
      </w:r>
      <w:r w:rsidRPr="00253F5A">
        <w:t>tym nasilenia objawów astmy oraz zmniejszenia wydolności płuc</w:t>
      </w:r>
      <w:r>
        <w:t xml:space="preserve"> oraz mogą prowadzić również do nasilenia</w:t>
      </w:r>
      <w:r w:rsidRPr="00253F5A">
        <w:t xml:space="preserve"> chorób układu krążenia. Ozon może być powodem występowania objawów senności, bólu głowy i znużenia oraz spadku</w:t>
      </w:r>
      <w:r w:rsidR="00724310">
        <w:t xml:space="preserve"> ciśnienia tętniczego krwi</w:t>
      </w:r>
      <w:r w:rsidR="00724310">
        <w:rPr>
          <w:rStyle w:val="Odwoanieprzypisudolnego"/>
        </w:rPr>
        <w:footnoteReference w:id="13"/>
      </w:r>
      <w:r>
        <w:t xml:space="preserve">. </w:t>
      </w:r>
      <w:r w:rsidRPr="00253F5A">
        <w:t>Ponadto podwyższone stężenia ozon</w:t>
      </w:r>
      <w:r>
        <w:t>u</w:t>
      </w:r>
      <w:r w:rsidRPr="00253F5A">
        <w:t xml:space="preserve"> niszczą roślinność oraz powodują przyspieszoną korozję materiałów. </w:t>
      </w:r>
    </w:p>
    <w:p w:rsidR="00845B49" w:rsidRPr="000708D3" w:rsidRDefault="00845B49" w:rsidP="00724310">
      <w:pPr>
        <w:pStyle w:val="NormalnyWeb"/>
        <w:spacing w:before="0" w:beforeAutospacing="0" w:after="0" w:afterAutospacing="0" w:line="276" w:lineRule="auto"/>
        <w:jc w:val="both"/>
        <w:rPr>
          <w:rFonts w:asciiTheme="minorHAnsi" w:hAnsiTheme="minorHAnsi"/>
          <w:sz w:val="22"/>
          <w:szCs w:val="22"/>
          <w:lang w:val="pl-PL"/>
        </w:rPr>
      </w:pPr>
      <w:r w:rsidRPr="004B5981">
        <w:rPr>
          <w:rFonts w:asciiTheme="minorHAnsi" w:hAnsiTheme="minorHAnsi"/>
          <w:sz w:val="22"/>
          <w:szCs w:val="22"/>
          <w:lang w:val="pl-PL"/>
        </w:rPr>
        <w:t xml:space="preserve">Ozon troposferyczny jest zanieczyszczeniem wtórnym i powstaje w wyniku reakcji fotochemicznych tlenków azotu i lotnych związków organicznych. Na jego stężenie oprócz emisji prekursorów mają </w:t>
      </w:r>
      <w:r w:rsidRPr="004B5981">
        <w:rPr>
          <w:rFonts w:asciiTheme="minorHAnsi" w:hAnsiTheme="minorHAnsi"/>
          <w:sz w:val="22"/>
          <w:szCs w:val="22"/>
          <w:lang w:val="pl-PL"/>
        </w:rPr>
        <w:lastRenderedPageBreak/>
        <w:t>istotny wpływ również warunki meteorologiczne. Powstawaniu ozonu sprzyja słoneczna pogoda</w:t>
      </w:r>
      <w:r>
        <w:rPr>
          <w:rFonts w:asciiTheme="minorHAnsi" w:hAnsiTheme="minorHAnsi"/>
          <w:sz w:val="22"/>
          <w:szCs w:val="22"/>
          <w:lang w:val="pl-PL"/>
        </w:rPr>
        <w:t>,</w:t>
      </w:r>
      <w:r w:rsidRPr="004B5981">
        <w:rPr>
          <w:rFonts w:asciiTheme="minorHAnsi" w:hAnsiTheme="minorHAnsi"/>
          <w:sz w:val="22"/>
          <w:szCs w:val="22"/>
          <w:lang w:val="pl-PL"/>
        </w:rPr>
        <w:t xml:space="preserve"> wysoka temperatura powietrza</w:t>
      </w:r>
      <w:r>
        <w:rPr>
          <w:rFonts w:asciiTheme="minorHAnsi" w:hAnsiTheme="minorHAnsi"/>
          <w:sz w:val="22"/>
          <w:szCs w:val="22"/>
          <w:lang w:val="pl-PL"/>
        </w:rPr>
        <w:t xml:space="preserve"> i brak opadów</w:t>
      </w:r>
      <w:r w:rsidRPr="004B5981">
        <w:rPr>
          <w:rFonts w:asciiTheme="minorHAnsi" w:hAnsiTheme="minorHAnsi"/>
          <w:sz w:val="22"/>
          <w:szCs w:val="22"/>
          <w:lang w:val="pl-PL"/>
        </w:rPr>
        <w:t xml:space="preserve">. Ozon ma zdolność przenoszenia się na duże odległości, dlatego jego stężenia na obszarze Polski zależą w dużej mierze od jego stężenia w masach powietrza napływających nad teren Polski – głównie z południowej i południowo-zachodniej Europy. </w:t>
      </w:r>
    </w:p>
    <w:p w:rsidR="00845B49" w:rsidRDefault="00845B49" w:rsidP="00845B49">
      <w:pPr>
        <w:pStyle w:val="Nagwek"/>
        <w:widowControl w:val="0"/>
        <w:tabs>
          <w:tab w:val="left" w:pos="708"/>
        </w:tabs>
        <w:spacing w:after="120"/>
      </w:pPr>
    </w:p>
    <w:p w:rsidR="00845B49" w:rsidRPr="00CA430F" w:rsidRDefault="00845B49" w:rsidP="00CA430F">
      <w:pPr>
        <w:pStyle w:val="NormalnyWeb"/>
        <w:spacing w:before="0" w:beforeAutospacing="0" w:after="0" w:afterAutospacing="0" w:line="276" w:lineRule="auto"/>
        <w:jc w:val="both"/>
        <w:rPr>
          <w:rFonts w:asciiTheme="minorHAnsi" w:hAnsiTheme="minorHAnsi"/>
          <w:sz w:val="22"/>
          <w:szCs w:val="22"/>
          <w:lang w:val="pl-PL"/>
        </w:rPr>
      </w:pPr>
      <w:r w:rsidRPr="00CA430F">
        <w:rPr>
          <w:rFonts w:asciiTheme="minorHAnsi" w:hAnsiTheme="minorHAnsi"/>
          <w:sz w:val="22"/>
          <w:szCs w:val="22"/>
          <w:lang w:val="pl-PL"/>
        </w:rPr>
        <w:t>W wykonywanej corocznie w ramach Państwowego Monitoringu Środowiska ocenie jakości powietrza za rok 2016 dotyczącej ozonu, pod kątem dotrzymania poziomu docelowego określonego w celu ochrony zdrowia, podstawą klasyfikacji była liczba dni ze stężeniem 8</w:t>
      </w:r>
      <w:r w:rsidRPr="00CA430F">
        <w:rPr>
          <w:rFonts w:asciiTheme="minorHAnsi" w:hAnsiTheme="minorHAnsi"/>
          <w:sz w:val="22"/>
          <w:szCs w:val="22"/>
          <w:lang w:val="pl-PL"/>
        </w:rPr>
        <w:noBreakHyphen/>
        <w:t xml:space="preserve">godzinnym przewyższającym 120 µg/m3 uśredniona dla okresu 1–3 lat. W ocenie tej jedynie na obszarze 8 stref w kraju (na 46 stref ogółem) wystąpiły obszary, na których przekroczony został poziom docelowy pod kątem ochrony zdrowia (Rys. X.). Przy klasyfikacji stref dla ozonu w odniesieniu do poziomu docelowego uwzględnia się poziom stężeń z okresu od jednego do trzech lat (w zależności od dostępności wyników pomiarów), czyli stężenia z lat 2014, 2015 i 2016. Rok 2015 charakteryzował się stosunkowo częstym występowaniem niekorzystnych warunków meteorologicznych sprzyjających formowaniu się ozonu w powietrzu atmosferycznym. Stanowiło to, oprócz emisji prekursorów ozonu, główną przyczynę częstego przekraczania poziomu docelowego stężeń ozonu. W latach 2014 i 2016 częstość występowania i natężenie warunków meteorologicznych sprzyjających formowaniu się ozonu w powietrzu atmosferycznym były niższe niż w 2015 r. </w:t>
      </w:r>
    </w:p>
    <w:p w:rsidR="00845B49" w:rsidRPr="00CA430F" w:rsidRDefault="00845B49" w:rsidP="00CA430F">
      <w:pPr>
        <w:pStyle w:val="NormalnyWeb"/>
        <w:spacing w:before="0" w:beforeAutospacing="0" w:after="0" w:afterAutospacing="0" w:line="276" w:lineRule="auto"/>
        <w:jc w:val="both"/>
        <w:rPr>
          <w:rFonts w:asciiTheme="minorHAnsi" w:hAnsiTheme="minorHAnsi"/>
          <w:sz w:val="22"/>
          <w:szCs w:val="22"/>
          <w:lang w:val="pl-PL"/>
        </w:rPr>
      </w:pPr>
      <w:r w:rsidRPr="00CA430F">
        <w:rPr>
          <w:rFonts w:asciiTheme="minorHAnsi" w:hAnsiTheme="minorHAnsi"/>
          <w:sz w:val="22"/>
          <w:szCs w:val="22"/>
          <w:lang w:val="pl-PL"/>
        </w:rPr>
        <w:t xml:space="preserve">W przypadku przekroczeń poziomu celu długoterminowego, za główne przyczyny przekroczeń najczęściej uznawano oddziaływanie naturalnych źródeł emisji lub zjawisk naturalnych niezwiązanych z działalnością człowieka oraz występowanie warunków meteorologicznych sprzyjających formowaniu się ozonu w atmosferze. Ponadto jako powód występowania przekroczeń wartości kryterialnych wskazywano na: </w:t>
      </w:r>
    </w:p>
    <w:p w:rsidR="00845B49" w:rsidRPr="00CA430F" w:rsidRDefault="00845B49" w:rsidP="00CA430F">
      <w:pPr>
        <w:pStyle w:val="NormalnyWeb"/>
        <w:numPr>
          <w:ilvl w:val="0"/>
          <w:numId w:val="12"/>
        </w:numPr>
        <w:spacing w:before="0" w:beforeAutospacing="0" w:after="0" w:afterAutospacing="0" w:line="276" w:lineRule="auto"/>
        <w:jc w:val="both"/>
        <w:rPr>
          <w:rFonts w:asciiTheme="minorHAnsi" w:hAnsiTheme="minorHAnsi"/>
          <w:sz w:val="22"/>
          <w:szCs w:val="22"/>
          <w:lang w:val="pl-PL"/>
        </w:rPr>
      </w:pPr>
      <w:r w:rsidRPr="00CA430F">
        <w:rPr>
          <w:rFonts w:asciiTheme="minorHAnsi" w:hAnsiTheme="minorHAnsi"/>
          <w:sz w:val="22"/>
          <w:szCs w:val="22"/>
          <w:lang w:val="pl-PL"/>
        </w:rPr>
        <w:t xml:space="preserve">emisje prekursorów ozonu na obszarze miast, </w:t>
      </w:r>
    </w:p>
    <w:p w:rsidR="00845B49" w:rsidRPr="00CA430F" w:rsidRDefault="00845B49" w:rsidP="00CA430F">
      <w:pPr>
        <w:pStyle w:val="NormalnyWeb"/>
        <w:numPr>
          <w:ilvl w:val="0"/>
          <w:numId w:val="12"/>
        </w:numPr>
        <w:spacing w:before="0" w:beforeAutospacing="0" w:after="0" w:afterAutospacing="0" w:line="276" w:lineRule="auto"/>
        <w:jc w:val="both"/>
        <w:rPr>
          <w:rFonts w:asciiTheme="minorHAnsi" w:hAnsiTheme="minorHAnsi"/>
          <w:sz w:val="22"/>
          <w:szCs w:val="22"/>
          <w:lang w:val="pl-PL"/>
        </w:rPr>
      </w:pPr>
      <w:r w:rsidRPr="00CA430F">
        <w:rPr>
          <w:rFonts w:asciiTheme="minorHAnsi" w:hAnsiTheme="minorHAnsi"/>
          <w:sz w:val="22"/>
          <w:szCs w:val="22"/>
          <w:lang w:val="pl-PL"/>
        </w:rPr>
        <w:t xml:space="preserve">napływ zanieczyszczeń powietrza spoza granic kraju (transgraniczny charakter zanieczyszczenia). </w:t>
      </w:r>
    </w:p>
    <w:p w:rsidR="00845B49" w:rsidRPr="005B5119" w:rsidRDefault="00845B49" w:rsidP="00845B49">
      <w:pPr>
        <w:pStyle w:val="Nagwek"/>
        <w:widowControl w:val="0"/>
        <w:tabs>
          <w:tab w:val="left" w:pos="708"/>
        </w:tabs>
        <w:spacing w:after="120"/>
        <w:rPr>
          <w:color w:val="FF0000"/>
        </w:rPr>
      </w:pPr>
    </w:p>
    <w:p w:rsidR="00845B49" w:rsidRDefault="00845B49" w:rsidP="00845B49">
      <w:pPr>
        <w:pStyle w:val="NormalnyWeb"/>
        <w:spacing w:before="0" w:beforeAutospacing="0" w:after="120" w:afterAutospacing="0"/>
        <w:jc w:val="both"/>
        <w:rPr>
          <w:rFonts w:asciiTheme="minorHAnsi" w:hAnsiTheme="minorHAnsi"/>
          <w:sz w:val="22"/>
          <w:szCs w:val="22"/>
        </w:rPr>
      </w:pPr>
      <w:r w:rsidRPr="00CA430F">
        <w:rPr>
          <w:rFonts w:asciiTheme="minorHAnsi" w:hAnsiTheme="minorHAnsi"/>
          <w:sz w:val="22"/>
          <w:szCs w:val="22"/>
        </w:rPr>
        <w:t xml:space="preserve">W rocznej ocenie jakości powietrza w odniesieniu do poziomu celu długoterminowego określonego w celu ochrony zdrowia podstawę do oceny stanowi jeden parametr – stężenie maksymalne </w:t>
      </w:r>
      <w:r w:rsidRPr="00CA430F">
        <w:rPr>
          <w:rFonts w:asciiTheme="minorHAnsi" w:hAnsiTheme="minorHAnsi"/>
          <w:sz w:val="22"/>
          <w:szCs w:val="22"/>
        </w:rPr>
        <w:br/>
        <w:t>8-godzinne. Podobnie, jak w latach ubiegłych, we wszystkich strefach w Polsce został on przekroczony.</w:t>
      </w: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Default="00CA430F" w:rsidP="00845B49">
      <w:pPr>
        <w:pStyle w:val="NormalnyWeb"/>
        <w:spacing w:before="0" w:beforeAutospacing="0" w:after="120" w:afterAutospacing="0"/>
        <w:jc w:val="both"/>
        <w:rPr>
          <w:rFonts w:asciiTheme="minorHAnsi" w:hAnsiTheme="minorHAnsi"/>
          <w:sz w:val="22"/>
          <w:szCs w:val="22"/>
        </w:rPr>
      </w:pPr>
    </w:p>
    <w:p w:rsidR="00CA430F" w:rsidRPr="00CA430F" w:rsidRDefault="00CA430F" w:rsidP="00845B49">
      <w:pPr>
        <w:pStyle w:val="NormalnyWeb"/>
        <w:spacing w:before="0" w:beforeAutospacing="0" w:after="120" w:afterAutospacing="0"/>
        <w:jc w:val="both"/>
        <w:rPr>
          <w:rFonts w:asciiTheme="minorHAnsi" w:hAnsiTheme="minorHAnsi"/>
          <w:sz w:val="22"/>
          <w:szCs w:val="22"/>
        </w:rPr>
      </w:pPr>
    </w:p>
    <w:p w:rsidR="00845B49" w:rsidRPr="003413AE" w:rsidRDefault="00845B49" w:rsidP="00845B49">
      <w:pPr>
        <w:autoSpaceDE w:val="0"/>
        <w:autoSpaceDN w:val="0"/>
        <w:adjustRightInd w:val="0"/>
        <w:spacing w:line="240" w:lineRule="auto"/>
        <w:ind w:firstLine="709"/>
        <w:rPr>
          <w:lang w:val="nb-NO"/>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45B49" w:rsidRPr="00CA430F" w:rsidTr="00CA430F">
        <w:tc>
          <w:tcPr>
            <w:tcW w:w="9062" w:type="dxa"/>
            <w:hideMark/>
          </w:tcPr>
          <w:p w:rsidR="00845B49" w:rsidRPr="00CA430F" w:rsidRDefault="00845B49" w:rsidP="00CA430F">
            <w:pPr>
              <w:pStyle w:val="NormalnyWeb"/>
              <w:spacing w:before="0" w:beforeAutospacing="0" w:after="0" w:afterAutospacing="0"/>
              <w:ind w:left="851" w:hanging="851"/>
              <w:jc w:val="both"/>
              <w:rPr>
                <w:rFonts w:asciiTheme="minorHAnsi" w:hAnsiTheme="minorHAnsi" w:cstheme="minorHAnsi"/>
                <w:sz w:val="22"/>
                <w:szCs w:val="22"/>
              </w:rPr>
            </w:pPr>
            <w:bookmarkStart w:id="35" w:name="OLE_LINK9"/>
            <w:r w:rsidRPr="00CA430F">
              <w:rPr>
                <w:rFonts w:asciiTheme="minorHAnsi" w:hAnsiTheme="minorHAnsi" w:cstheme="minorHAnsi"/>
                <w:i/>
                <w:sz w:val="22"/>
                <w:szCs w:val="22"/>
              </w:rPr>
              <w:t xml:space="preserve">Rys. </w:t>
            </w:r>
            <w:r w:rsidR="00CA430F" w:rsidRPr="00CA430F">
              <w:rPr>
                <w:rFonts w:asciiTheme="minorHAnsi" w:hAnsiTheme="minorHAnsi" w:cstheme="minorHAnsi"/>
                <w:i/>
                <w:sz w:val="22"/>
                <w:szCs w:val="22"/>
              </w:rPr>
              <w:t>3.9</w:t>
            </w:r>
            <w:r w:rsidRPr="00CA430F">
              <w:rPr>
                <w:rFonts w:asciiTheme="minorHAnsi" w:hAnsiTheme="minorHAnsi" w:cstheme="minorHAnsi"/>
                <w:i/>
                <w:sz w:val="22"/>
                <w:szCs w:val="22"/>
              </w:rPr>
              <w:t xml:space="preserve"> Klasyfikacja stref w Polsce dla O</w:t>
            </w:r>
            <w:r w:rsidRPr="00CA430F">
              <w:rPr>
                <w:rFonts w:asciiTheme="minorHAnsi" w:hAnsiTheme="minorHAnsi" w:cstheme="minorHAnsi"/>
                <w:i/>
                <w:sz w:val="22"/>
                <w:szCs w:val="22"/>
                <w:vertAlign w:val="subscript"/>
              </w:rPr>
              <w:t>3</w:t>
            </w:r>
            <w:r w:rsidRPr="00CA430F">
              <w:rPr>
                <w:rFonts w:asciiTheme="minorHAnsi" w:hAnsiTheme="minorHAnsi" w:cstheme="minorHAnsi"/>
                <w:i/>
                <w:sz w:val="22"/>
                <w:szCs w:val="22"/>
              </w:rPr>
              <w:t xml:space="preserve"> na podstawie oceny jakości powietrza za rok 2016 (poziom docelowy, ochrona zdrowia). Oznaczenia A i C odnoszą się do klasyfikacji stref ze względu na ochronę zdrowia ludzi: strefa A – na obszarach której stężenia ozonu nie przekraczały poziomu docelowego; strefa C – na obszarach której poziom stężeń ozonu przekraczał poziom docelowy. Zaliczenie strefy do klasy C nie oznacza, że jakość powietrza nie spełnia określonych kryteriów na terenie całej strefy. Nie oznacza to także konieczności prowadzenia intensywnych działań na rzecz poprawy jakości powietrza na obszarze całej strefy. Oznacza natomiast potrzebę podjęcia odpowiednich działań w odniesieniu do wybranych obszarów w strefie (z reguły o ograniczonym zasięgu) (źródło: GIOŚ/PMŚ).</w:t>
            </w:r>
          </w:p>
        </w:tc>
      </w:tr>
    </w:tbl>
    <w:p w:rsidR="00845B49" w:rsidRPr="00197D49" w:rsidRDefault="00845B49" w:rsidP="00845B49">
      <w:pPr>
        <w:spacing w:line="240" w:lineRule="auto"/>
        <w:rPr>
          <w:b/>
        </w:rPr>
      </w:pPr>
    </w:p>
    <w:bookmarkEnd w:id="35"/>
    <w:p w:rsidR="00845B49" w:rsidRPr="006B79FA" w:rsidRDefault="00845B49" w:rsidP="00845B49">
      <w:pPr>
        <w:pStyle w:val="Default"/>
        <w:ind w:firstLine="709"/>
        <w:jc w:val="center"/>
        <w:rPr>
          <w:color w:val="auto"/>
        </w:rPr>
      </w:pPr>
    </w:p>
    <w:p w:rsidR="00845B49" w:rsidRDefault="00845B49" w:rsidP="00845B49">
      <w:pPr>
        <w:pStyle w:val="Default"/>
        <w:jc w:val="center"/>
        <w:rPr>
          <w:rFonts w:asciiTheme="minorHAnsi" w:hAnsiTheme="minorHAnsi" w:cs="Times New Roman"/>
          <w:sz w:val="22"/>
          <w:szCs w:val="22"/>
        </w:rPr>
      </w:pPr>
      <w:r>
        <w:rPr>
          <w:rFonts w:asciiTheme="minorHAnsi" w:hAnsiTheme="minorHAnsi" w:cs="Times New Roman"/>
          <w:noProof/>
          <w:sz w:val="22"/>
          <w:szCs w:val="22"/>
          <w:lang w:eastAsia="pl-PL"/>
        </w:rPr>
        <w:drawing>
          <wp:inline distT="0" distB="0" distL="0" distR="0" wp14:anchorId="7034187B" wp14:editId="199C2970">
            <wp:extent cx="4448175" cy="4238973"/>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0965" cy="4241632"/>
                    </a:xfrm>
                    <a:prstGeom prst="rect">
                      <a:avLst/>
                    </a:prstGeom>
                    <a:noFill/>
                    <a:ln>
                      <a:noFill/>
                    </a:ln>
                  </pic:spPr>
                </pic:pic>
              </a:graphicData>
            </a:graphic>
          </wp:inline>
        </w:drawing>
      </w: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CA430F" w:rsidRDefault="00CA430F" w:rsidP="00845B49">
      <w:pPr>
        <w:pStyle w:val="Default"/>
        <w:jc w:val="center"/>
        <w:rPr>
          <w:rFonts w:asciiTheme="minorHAnsi" w:hAnsiTheme="minorHAnsi" w:cs="Times New Roman"/>
          <w:sz w:val="22"/>
          <w:szCs w:val="22"/>
        </w:rPr>
      </w:pPr>
    </w:p>
    <w:p w:rsidR="00845B49" w:rsidRDefault="00845B49" w:rsidP="00845B49">
      <w:pPr>
        <w:pStyle w:val="Default"/>
        <w:jc w:val="center"/>
        <w:rPr>
          <w:rFonts w:asciiTheme="minorHAnsi" w:hAnsiTheme="minorHAnsi" w:cs="Times New Roman"/>
          <w:sz w:val="22"/>
          <w:szCs w:val="2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45B49" w:rsidTr="00CA430F">
        <w:tc>
          <w:tcPr>
            <w:tcW w:w="9062" w:type="dxa"/>
            <w:hideMark/>
          </w:tcPr>
          <w:p w:rsidR="00845B49" w:rsidRDefault="00845B49" w:rsidP="00CA430F">
            <w:pPr>
              <w:pStyle w:val="NormalnyWeb"/>
              <w:spacing w:before="0" w:beforeAutospacing="0" w:after="0" w:afterAutospacing="0"/>
              <w:ind w:left="851" w:hanging="851"/>
              <w:jc w:val="both"/>
              <w:rPr>
                <w:rFonts w:asciiTheme="minorHAnsi" w:hAnsiTheme="minorHAnsi" w:cstheme="minorHAnsi"/>
                <w:i/>
                <w:sz w:val="22"/>
                <w:szCs w:val="22"/>
              </w:rPr>
            </w:pPr>
            <w:r w:rsidRPr="00CA430F">
              <w:rPr>
                <w:rFonts w:asciiTheme="minorHAnsi" w:hAnsiTheme="minorHAnsi" w:cstheme="minorHAnsi"/>
                <w:i/>
                <w:sz w:val="22"/>
                <w:szCs w:val="22"/>
              </w:rPr>
              <w:t xml:space="preserve">Rys. </w:t>
            </w:r>
            <w:r w:rsidR="00CA430F">
              <w:rPr>
                <w:rFonts w:asciiTheme="minorHAnsi" w:hAnsiTheme="minorHAnsi" w:cstheme="minorHAnsi"/>
                <w:i/>
                <w:sz w:val="22"/>
                <w:szCs w:val="22"/>
              </w:rPr>
              <w:t>3.10</w:t>
            </w:r>
            <w:r w:rsidRPr="00CA430F">
              <w:rPr>
                <w:rFonts w:asciiTheme="minorHAnsi" w:hAnsiTheme="minorHAnsi" w:cstheme="minorHAnsi"/>
                <w:i/>
                <w:sz w:val="22"/>
                <w:szCs w:val="22"/>
              </w:rPr>
              <w:t xml:space="preserve"> Liczba dni, w których maksimum dobowe ze stężeń ozonu 8h średnich kroczących przekroczyło wartość 120 µg/m3 uśredniona dla lat 2014–2016 dla obszaru Polski (wyniki w siatce 5 km x 5km uzyskane metodą łączenia modelowania z wykorzystaniem modelu CAMx z wynikami pomiarów) (źródło: GIOŚ/PMŚ).</w:t>
            </w:r>
          </w:p>
          <w:p w:rsidR="00CA430F" w:rsidRDefault="00CA430F" w:rsidP="00CA430F">
            <w:pPr>
              <w:pStyle w:val="NormalnyWeb"/>
              <w:spacing w:before="0" w:beforeAutospacing="0" w:after="0" w:afterAutospacing="0"/>
              <w:ind w:left="851" w:hanging="851"/>
              <w:jc w:val="both"/>
              <w:rPr>
                <w:rFonts w:asciiTheme="minorHAnsi" w:hAnsiTheme="minorHAnsi" w:cstheme="minorHAnsi"/>
                <w:i/>
                <w:sz w:val="22"/>
                <w:szCs w:val="22"/>
              </w:rPr>
            </w:pPr>
          </w:p>
          <w:p w:rsidR="00CA430F" w:rsidRDefault="00CA430F" w:rsidP="00CA430F">
            <w:pPr>
              <w:pStyle w:val="NormalnyWeb"/>
              <w:spacing w:before="0" w:beforeAutospacing="0" w:after="0" w:afterAutospacing="0"/>
              <w:ind w:left="851" w:hanging="851"/>
              <w:jc w:val="both"/>
              <w:rPr>
                <w:i/>
              </w:rPr>
            </w:pPr>
          </w:p>
        </w:tc>
      </w:tr>
    </w:tbl>
    <w:p w:rsidR="00845B49" w:rsidRDefault="00845B49" w:rsidP="00845B49">
      <w:pPr>
        <w:pStyle w:val="Default"/>
        <w:jc w:val="center"/>
        <w:rPr>
          <w:rFonts w:asciiTheme="minorHAnsi" w:hAnsiTheme="minorHAnsi" w:cs="Times New Roman"/>
          <w:sz w:val="22"/>
          <w:szCs w:val="22"/>
        </w:rPr>
      </w:pPr>
      <w:r>
        <w:rPr>
          <w:rFonts w:asciiTheme="minorHAnsi" w:hAnsiTheme="minorHAnsi" w:cs="Times New Roman"/>
          <w:noProof/>
          <w:sz w:val="22"/>
          <w:szCs w:val="22"/>
          <w:lang w:eastAsia="pl-PL"/>
        </w:rPr>
        <w:drawing>
          <wp:inline distT="0" distB="0" distL="0" distR="0" wp14:anchorId="16EE5FD1" wp14:editId="51DE9C42">
            <wp:extent cx="5410858" cy="417195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6443" cy="4176256"/>
                    </a:xfrm>
                    <a:prstGeom prst="rect">
                      <a:avLst/>
                    </a:prstGeom>
                    <a:noFill/>
                    <a:ln>
                      <a:noFill/>
                    </a:ln>
                  </pic:spPr>
                </pic:pic>
              </a:graphicData>
            </a:graphic>
          </wp:inline>
        </w:drawing>
      </w:r>
    </w:p>
    <w:p w:rsidR="00845B49" w:rsidRDefault="00845B49" w:rsidP="00845B49">
      <w:pPr>
        <w:pStyle w:val="NormalnyWeb"/>
        <w:spacing w:before="0" w:beforeAutospacing="0" w:after="0" w:afterAutospacing="0" w:line="276" w:lineRule="auto"/>
        <w:jc w:val="both"/>
        <w:rPr>
          <w:rFonts w:asciiTheme="minorHAnsi" w:hAnsiTheme="minorHAnsi"/>
          <w:sz w:val="22"/>
          <w:szCs w:val="22"/>
          <w:lang w:val="pl-PL"/>
        </w:rPr>
      </w:pPr>
    </w:p>
    <w:p w:rsidR="00CA430F" w:rsidRDefault="00CA430F" w:rsidP="00845B49">
      <w:pPr>
        <w:pStyle w:val="NormalnyWeb"/>
        <w:spacing w:before="0" w:beforeAutospacing="0" w:after="0" w:afterAutospacing="0" w:line="276" w:lineRule="auto"/>
        <w:jc w:val="both"/>
        <w:rPr>
          <w:rFonts w:asciiTheme="minorHAnsi" w:hAnsiTheme="minorHAnsi"/>
          <w:sz w:val="22"/>
          <w:szCs w:val="22"/>
          <w:lang w:val="pl-PL"/>
        </w:rPr>
      </w:pPr>
    </w:p>
    <w:p w:rsidR="00CA430F" w:rsidRDefault="00CA430F" w:rsidP="00845B49">
      <w:pPr>
        <w:pStyle w:val="NormalnyWeb"/>
        <w:spacing w:before="0" w:beforeAutospacing="0" w:after="0" w:afterAutospacing="0" w:line="276" w:lineRule="auto"/>
        <w:jc w:val="both"/>
        <w:rPr>
          <w:rFonts w:asciiTheme="minorHAnsi" w:hAnsiTheme="minorHAnsi"/>
          <w:sz w:val="22"/>
          <w:szCs w:val="22"/>
          <w:lang w:val="pl-PL"/>
        </w:rPr>
      </w:pPr>
    </w:p>
    <w:p w:rsidR="00CA430F" w:rsidRDefault="00CA430F" w:rsidP="00845B49">
      <w:pPr>
        <w:pStyle w:val="NormalnyWeb"/>
        <w:spacing w:before="0" w:beforeAutospacing="0" w:after="0" w:afterAutospacing="0" w:line="276" w:lineRule="auto"/>
        <w:jc w:val="both"/>
        <w:rPr>
          <w:rFonts w:asciiTheme="minorHAnsi" w:hAnsiTheme="minorHAnsi"/>
          <w:sz w:val="22"/>
          <w:szCs w:val="22"/>
          <w:lang w:val="pl-PL"/>
        </w:rPr>
      </w:pPr>
    </w:p>
    <w:p w:rsidR="00845B49" w:rsidRDefault="00845B49" w:rsidP="00A0064B">
      <w:pPr>
        <w:pStyle w:val="NormalnyWeb"/>
        <w:spacing w:before="0" w:beforeAutospacing="0" w:after="0" w:afterAutospacing="0" w:line="276" w:lineRule="auto"/>
        <w:jc w:val="both"/>
        <w:rPr>
          <w:rFonts w:ascii="Calibri" w:hAnsi="Calibri" w:cstheme="minorHAnsi"/>
          <w:sz w:val="22"/>
          <w:szCs w:val="22"/>
        </w:rPr>
      </w:pPr>
      <w:r w:rsidRPr="005B5119">
        <w:rPr>
          <w:rFonts w:ascii="Calibri" w:hAnsi="Calibri"/>
          <w:sz w:val="22"/>
          <w:szCs w:val="22"/>
          <w:lang w:val="pl-PL"/>
        </w:rPr>
        <w:t xml:space="preserve">W celu ochrony zdrowia ludności oraz ochrony środowiska naturalnego w Polsce ustanowionych zostało szereg instrumentów redukcji emisji zanieczyszczeń do powietrza, mających pomóc </w:t>
      </w:r>
      <w:r w:rsidRPr="005B5119">
        <w:rPr>
          <w:rFonts w:ascii="Calibri" w:hAnsi="Calibri"/>
          <w:sz w:val="22"/>
          <w:szCs w:val="22"/>
          <w:lang w:val="pl-PL"/>
        </w:rPr>
        <w:br/>
        <w:t xml:space="preserve">w osiągnięciu dobrej jakości powietrza. Najistotniejsze z nich to pozwolenia na wprowadzanie gazów i pyłów do powietrza, pozwolenia zintegrowane, standardy emisji z instalacji, standardy jakości paliw oraz programy ochrony powietrza na obszarach, na których normy jakości powietrza zostały przekroczone. Ponadto, stopniowo zmniejszana jest energochłonność polskiej gospodarki. 9 września 2015 r. został przyjęty Krajowy Program Ochrony Powietrza, którego realizacja ma pozwolić na osiągnięcie w możliwie krótkim czasie dopuszczalnych poziomów pyłu zawieszonego i innych </w:t>
      </w:r>
      <w:r w:rsidRPr="005B5119">
        <w:rPr>
          <w:rFonts w:ascii="Calibri" w:hAnsi="Calibri"/>
          <w:sz w:val="22"/>
          <w:szCs w:val="22"/>
          <w:lang w:val="pl-PL"/>
        </w:rPr>
        <w:lastRenderedPageBreak/>
        <w:t xml:space="preserve">szkodliwych substancji w powietrzu wynikających z obowiązujących przepisów prawa. </w:t>
      </w:r>
      <w:r w:rsidRPr="005B5119">
        <w:rPr>
          <w:rFonts w:ascii="Calibri" w:eastAsia="Calibri" w:hAnsi="Calibri"/>
          <w:sz w:val="22"/>
          <w:szCs w:val="22"/>
        </w:rPr>
        <w:t>Ponadto warto podkreślić, że aby wzmocnić skuteczność działań wynikających z programów ochrony powietrza i planów działań krótkoterm</w:t>
      </w:r>
      <w:r>
        <w:rPr>
          <w:rFonts w:ascii="Calibri" w:eastAsia="Calibri" w:hAnsi="Calibri"/>
          <w:sz w:val="22"/>
          <w:szCs w:val="22"/>
        </w:rPr>
        <w:t>i</w:t>
      </w:r>
      <w:r w:rsidRPr="005B5119">
        <w:rPr>
          <w:rFonts w:ascii="Calibri" w:eastAsia="Calibri" w:hAnsi="Calibri"/>
          <w:sz w:val="22"/>
          <w:szCs w:val="22"/>
        </w:rPr>
        <w:t xml:space="preserve">nowych samorządy otrzymały dodatkowe narzędzie w </w:t>
      </w:r>
      <w:r w:rsidRPr="005B5119">
        <w:rPr>
          <w:rFonts w:ascii="Calibri" w:eastAsia="Calibri" w:hAnsi="Calibri"/>
          <w:sz w:val="22"/>
          <w:szCs w:val="22"/>
          <w:lang w:eastAsia="ar-SA"/>
        </w:rPr>
        <w:t xml:space="preserve">ramach nowelizacji ustawy – Prawo ochrony środowiska (tzw. ustawa antysmogowa) z dnia 10 września 2015 r. (Dz. U. z 2015 r., poz. 1593). Zgodnie z art. 96 ustawy z dnia 27 kwietnia 2001 r. Prawo ochrony środowiska (Dz. U. z 2017r., poz. 519, z późn. zm.) sejmik województwa </w:t>
      </w:r>
      <w:r w:rsidRPr="005B5119">
        <w:rPr>
          <w:rFonts w:ascii="Calibri" w:eastAsia="Calibri" w:hAnsi="Calibri"/>
          <w:sz w:val="22"/>
          <w:szCs w:val="22"/>
        </w:rPr>
        <w:t>może, w drodze uchwały, w celu zapobieżenia negatywnemu oddziaływaniu na zdrowie ludzi lub na środowisko, wprowadzić ograniczenia lub zakazy w zakresie eksploatacji instalacji, w których następuje spalanie paliw. Jednocześnie w uchwale tej określa się rodzaje lub jakość paliw dopuszczonych do stosowania lub których stosowanie jest zakazane. Ze względu na niezadawalający stan jakości powietrza w Polsce na polecenie Prezes Rady Ministrów Pani Beaty Szydło Komitet Ekonomiczny Rady Ministrów w dniu 25 kwietnia 2017 r. przedstawił rekomendacje dla Rady Ministrów - Program „Czyste - Powietrze”. Podkre</w:t>
      </w:r>
      <w:r>
        <w:rPr>
          <w:rFonts w:ascii="Calibri" w:eastAsia="Calibri" w:hAnsi="Calibri"/>
          <w:sz w:val="22"/>
          <w:szCs w:val="22"/>
        </w:rPr>
        <w:t>ś</w:t>
      </w:r>
      <w:r w:rsidRPr="005B5119">
        <w:rPr>
          <w:rFonts w:ascii="Calibri" w:eastAsia="Calibri" w:hAnsi="Calibri"/>
          <w:sz w:val="22"/>
          <w:szCs w:val="22"/>
        </w:rPr>
        <w:t xml:space="preserve">lenia wymaga, że działania na rzecz poprawy jakości powietrza uwzględnione zostały także w </w:t>
      </w:r>
      <w:r>
        <w:rPr>
          <w:rFonts w:ascii="Calibri" w:eastAsia="Calibri" w:hAnsi="Calibri"/>
          <w:sz w:val="22"/>
          <w:szCs w:val="22"/>
        </w:rPr>
        <w:t xml:space="preserve">innych </w:t>
      </w:r>
      <w:r w:rsidRPr="005B5119">
        <w:rPr>
          <w:rFonts w:ascii="Calibri" w:eastAsia="Calibri" w:hAnsi="Calibri"/>
          <w:sz w:val="22"/>
          <w:szCs w:val="22"/>
        </w:rPr>
        <w:t>kluczowych dla rozwoju Polski dokumentach, w tym Strategii na rzecz odpowiedzialnego rozwoju - projekt Czyste Powietrze, a także Planie Rozwoju Elektromobilności „Energia dla Przyszłości”.</w:t>
      </w:r>
      <w:r w:rsidRPr="005B5119">
        <w:rPr>
          <w:rFonts w:ascii="Calibri" w:hAnsi="Calibri"/>
          <w:sz w:val="22"/>
          <w:szCs w:val="22"/>
          <w:lang w:eastAsia="pl-PL"/>
        </w:rPr>
        <w:t xml:space="preserve"> </w:t>
      </w:r>
      <w:r w:rsidRPr="005B5119">
        <w:rPr>
          <w:rFonts w:ascii="Calibri" w:hAnsi="Calibri"/>
          <w:sz w:val="22"/>
          <w:szCs w:val="22"/>
          <w:lang w:val="pl-PL"/>
        </w:rPr>
        <w:t xml:space="preserve">Istotnym krokiem w tym procesie jest publikacja </w:t>
      </w:r>
      <w:r w:rsidRPr="005B5119">
        <w:rPr>
          <w:rFonts w:ascii="Calibri" w:hAnsi="Calibri" w:cstheme="minorHAnsi"/>
          <w:sz w:val="22"/>
          <w:szCs w:val="22"/>
          <w:lang w:val="pl-PL"/>
        </w:rPr>
        <w:t xml:space="preserve">rozporządzenia Ministra Rozwoju i Finansów z dnia 1 sierpnia 2017 r. w sprawie wymagań dla kotłów na paliwo stałe (Dz. U. poz. 1690). </w:t>
      </w:r>
      <w:r w:rsidRPr="005B5119">
        <w:rPr>
          <w:rFonts w:ascii="Calibri" w:hAnsi="Calibri" w:cstheme="minorHAnsi"/>
          <w:sz w:val="22"/>
          <w:szCs w:val="22"/>
        </w:rPr>
        <w:t>Regulacja nakłada na wprowadzających do obrotu kotły na paliwo stałe o znamionowej mocy cieplnej nie większej niż 500 kW stosowanie wymagań konstrukcyjnych zapewniających osiągnięcie określonych w tym rozporządzeniu  granicznych poziomów emisji tlenku węgla, organicznych związków gazowych oraz pyłu. Dodatkowo wprowadza  zakaz stosowania w konstrukcji kotł</w:t>
      </w:r>
      <w:r>
        <w:rPr>
          <w:rFonts w:ascii="Calibri" w:hAnsi="Calibri" w:cstheme="minorHAnsi"/>
          <w:sz w:val="22"/>
          <w:szCs w:val="22"/>
        </w:rPr>
        <w:t>ó</w:t>
      </w:r>
      <w:r w:rsidRPr="005B5119">
        <w:rPr>
          <w:rFonts w:ascii="Calibri" w:hAnsi="Calibri" w:cstheme="minorHAnsi"/>
          <w:sz w:val="22"/>
          <w:szCs w:val="22"/>
        </w:rPr>
        <w:t>w rusztu awaryjnego.</w:t>
      </w:r>
    </w:p>
    <w:p w:rsidR="004538EE" w:rsidRDefault="004538EE" w:rsidP="00A0064B">
      <w:pPr>
        <w:pStyle w:val="NormalnyWeb"/>
        <w:spacing w:before="0" w:beforeAutospacing="0" w:after="0" w:afterAutospacing="0" w:line="276" w:lineRule="auto"/>
        <w:jc w:val="both"/>
        <w:rPr>
          <w:rFonts w:ascii="Calibri" w:hAnsi="Calibri" w:cstheme="minorHAnsi"/>
          <w:sz w:val="22"/>
          <w:szCs w:val="22"/>
        </w:rPr>
      </w:pPr>
    </w:p>
    <w:p w:rsidR="004538EE" w:rsidRPr="004538EE" w:rsidRDefault="004538EE" w:rsidP="004538EE">
      <w:pPr>
        <w:pStyle w:val="Nagwek1"/>
        <w:numPr>
          <w:ilvl w:val="0"/>
          <w:numId w:val="5"/>
        </w:numPr>
        <w:spacing w:after="240"/>
      </w:pPr>
      <w:bookmarkStart w:id="36" w:name="_Toc505604919"/>
      <w:bookmarkStart w:id="37" w:name="_Toc505605312"/>
      <w:r w:rsidRPr="004538EE">
        <w:t>Przeciwdziałanie skutkom zmian klimatu – działania mitygacyjne i adaptacyjne</w:t>
      </w:r>
      <w:r>
        <w:rPr>
          <w:rStyle w:val="Odwoanieprzypisudolnego"/>
        </w:rPr>
        <w:footnoteReference w:id="14"/>
      </w:r>
      <w:bookmarkEnd w:id="36"/>
      <w:bookmarkEnd w:id="37"/>
      <w:r w:rsidRPr="004538EE">
        <w:t xml:space="preserve"> </w:t>
      </w:r>
    </w:p>
    <w:p w:rsidR="004538EE" w:rsidRPr="003947B8" w:rsidRDefault="004538EE" w:rsidP="004538EE">
      <w:pPr>
        <w:pStyle w:val="Akapitzlist"/>
        <w:spacing w:after="0" w:line="240" w:lineRule="auto"/>
        <w:ind w:left="1065"/>
        <w:jc w:val="both"/>
        <w:rPr>
          <w:color w:val="000000"/>
        </w:rPr>
      </w:pPr>
    </w:p>
    <w:p w:rsidR="004538EE" w:rsidRPr="001763F2" w:rsidRDefault="004538EE" w:rsidP="004538EE">
      <w:pPr>
        <w:spacing w:after="0"/>
        <w:jc w:val="both"/>
        <w:rPr>
          <w:color w:val="000000"/>
        </w:rPr>
      </w:pPr>
      <w:r w:rsidRPr="003947B8">
        <w:rPr>
          <w:color w:val="000000"/>
        </w:rPr>
        <w:t xml:space="preserve">Widoczne w skali globalnej zmiany klimatu są jednym z największych zagrożeń środowiskowych, społecznych i ekonomicznych. Obserwowany zwłaszcza od ostatniej dekady XX wieku wzrost średniej temperatury </w:t>
      </w:r>
      <w:r w:rsidRPr="003947B8">
        <w:rPr>
          <w:color w:val="000000" w:themeColor="text1"/>
        </w:rPr>
        <w:t>powietrza</w:t>
      </w:r>
      <w:r w:rsidRPr="003947B8">
        <w:rPr>
          <w:color w:val="000000"/>
        </w:rPr>
        <w:t xml:space="preserve"> na Ziemi sprzyja zwiększeniu intensywności i częstotliwości wielu zjawisk klimatycznych i zjawisk pochodnych, które mają znaczenie dla rozwoju gospodarczego i społecznego. Należą do nich ekstremalne zjawiska naturalne, takie jak np. trąby powietrzne, gradobicia, fale upałów i mrozów, ulewne deszcze, sztormy burze i długotrwałe susze, a także m.in. powodzie i podtopienia, zmniejszenie zasobów wodnych, erozja gleb i erozja wybrzeży morskich. Oczekuje się, że wraz z postępującym ociepleniem skutki zmian klimatu w przyszłości będą jeszcze dotkliwiej odczuwalne.</w:t>
      </w:r>
      <w:r>
        <w:rPr>
          <w:rStyle w:val="Odwoanieprzypisudolnego"/>
          <w:color w:val="000000"/>
        </w:rPr>
        <w:footnoteReference w:id="15"/>
      </w:r>
    </w:p>
    <w:p w:rsidR="004538EE" w:rsidRDefault="004538EE" w:rsidP="004538EE">
      <w:pPr>
        <w:jc w:val="both"/>
      </w:pPr>
    </w:p>
    <w:p w:rsidR="004538EE" w:rsidRPr="00BE5CC8" w:rsidRDefault="004538EE" w:rsidP="004538EE">
      <w:pPr>
        <w:jc w:val="both"/>
      </w:pPr>
      <w:r w:rsidRPr="00BE5CC8">
        <w:lastRenderedPageBreak/>
        <w:t>Wobec braku możliwości uniknięcia wszystkich konsekwencji zmian klimatu nawet przy skutecznej realizacji ambitnej polityki ograniczenia globalnego wzrostu emisji gazów cieplarnianych, za konieczne uznano podejmowanie przez wspólnotę międzynarodową działań na rzecz adaptacji do nieuchronnych zmian klimatu. Równoważne traktowanie mitygacji i adaptacji na forum międzynarodowym znalazło odzwierciedlenie w zapisach przyjętego przez strony Konwencji Klimatycznej w grudniu 2015 roku w Paryżu globalnego porozumienia, zwanego Porozumieniem paryskim.</w:t>
      </w:r>
    </w:p>
    <w:p w:rsidR="004538EE" w:rsidRPr="003B1DFB" w:rsidRDefault="004538EE" w:rsidP="003B1DFB">
      <w:pPr>
        <w:pStyle w:val="Nagwek2"/>
      </w:pPr>
      <w:bookmarkStart w:id="38" w:name="_Toc505604920"/>
      <w:bookmarkStart w:id="39" w:name="_Toc505605313"/>
      <w:r w:rsidRPr="003B1DFB">
        <w:t>Działania mitygacyjne</w:t>
      </w:r>
      <w:bookmarkEnd w:id="38"/>
      <w:bookmarkEnd w:id="39"/>
    </w:p>
    <w:p w:rsidR="004538EE" w:rsidRPr="00536D5A" w:rsidRDefault="004538EE" w:rsidP="004538EE">
      <w:pPr>
        <w:spacing w:after="0" w:line="240" w:lineRule="auto"/>
        <w:rPr>
          <w:rFonts w:ascii="Times New Roman" w:hAnsi="Times New Roman"/>
          <w:b/>
          <w:i/>
          <w:sz w:val="24"/>
          <w:szCs w:val="24"/>
        </w:rPr>
      </w:pPr>
    </w:p>
    <w:p w:rsidR="004538EE" w:rsidRDefault="004538EE" w:rsidP="004538EE">
      <w:pPr>
        <w:jc w:val="both"/>
        <w:rPr>
          <w:color w:val="000000"/>
        </w:rPr>
      </w:pPr>
      <w:r w:rsidRPr="0078526D">
        <w:t xml:space="preserve">Według ostatnich raportów Międzyrządowego Zespołu ds. Zmian Klimatu (IPCC – </w:t>
      </w:r>
      <w:r w:rsidRPr="0078526D">
        <w:rPr>
          <w:i/>
        </w:rPr>
        <w:t>Intergovernmental Panel on Climate Change</w:t>
      </w:r>
      <w:r w:rsidRPr="0078526D">
        <w:t>)</w:t>
      </w:r>
      <w:r>
        <w:t>,</w:t>
      </w:r>
      <w:r w:rsidRPr="0078526D">
        <w:t xml:space="preserve"> </w:t>
      </w:r>
      <w:r w:rsidRPr="00BB03D8">
        <w:t xml:space="preserve">z prawdopodobieństwem bliskim pewności </w:t>
      </w:r>
      <w:r w:rsidRPr="0078526D">
        <w:t xml:space="preserve">można stwierdzić, że powodem obserwowanego ocieplenia </w:t>
      </w:r>
      <w:r>
        <w:t xml:space="preserve">klimatu </w:t>
      </w:r>
      <w:r w:rsidRPr="0078526D">
        <w:t xml:space="preserve">jest głównie działalność ludzka prowadzona od połowy XVIII wieku. </w:t>
      </w:r>
      <w:r w:rsidRPr="00BB03D8">
        <w:t xml:space="preserve">Efektem antropogenicznego wpływu na środowisko jest z jednej strony zwiększenie </w:t>
      </w:r>
      <w:r>
        <w:t>stężenia</w:t>
      </w:r>
      <w:r w:rsidRPr="00BB03D8">
        <w:t xml:space="preserve"> gazów cieplarnianych w atmosferze, które prowadzi do ocieplenia powierzchni Ziemi, a z drugiej strony – ograniczenie potencjału biosfery do absorpcji gazów cieplarnianych z atmosfery.</w:t>
      </w:r>
      <w:r w:rsidRPr="00BB03D8">
        <w:rPr>
          <w:color w:val="000000"/>
        </w:rPr>
        <w:t xml:space="preserve"> </w:t>
      </w:r>
      <w:r>
        <w:rPr>
          <w:color w:val="000000"/>
        </w:rPr>
        <w:t xml:space="preserve">Zmiany stężenia atmosferycznego </w:t>
      </w:r>
      <w:r w:rsidRPr="00BB03D8">
        <w:rPr>
          <w:color w:val="000000"/>
        </w:rPr>
        <w:t>gazów cieplarnianych i aerozoli, pokrywy roślinnej lądów i promieniowania słonecznego mają wpływ na bilans energetyczny całego systemu klimatycznego. Stężenie głównych gazów cieplarnianych w atmosferze osiągnęło poziomy nieodnotowywane w ostatnich 800 tysiącach lat. Stężenia dwutlenku węgla (CO</w:t>
      </w:r>
      <w:r w:rsidRPr="00BB03D8">
        <w:rPr>
          <w:color w:val="000000"/>
          <w:vertAlign w:val="subscript"/>
        </w:rPr>
        <w:t>2</w:t>
      </w:r>
      <w:r w:rsidRPr="00BB03D8">
        <w:rPr>
          <w:color w:val="000000"/>
        </w:rPr>
        <w:t>), metanu (CH</w:t>
      </w:r>
      <w:r w:rsidRPr="00BB03D8">
        <w:rPr>
          <w:color w:val="000000"/>
          <w:vertAlign w:val="subscript"/>
        </w:rPr>
        <w:t>4</w:t>
      </w:r>
      <w:r w:rsidRPr="00BB03D8">
        <w:rPr>
          <w:color w:val="000000"/>
        </w:rPr>
        <w:t>) oraz podtlenku azotu (N</w:t>
      </w:r>
      <w:r w:rsidRPr="00BB03D8">
        <w:rPr>
          <w:color w:val="000000"/>
          <w:vertAlign w:val="subscript"/>
        </w:rPr>
        <w:t>2</w:t>
      </w:r>
      <w:r w:rsidRPr="00BB03D8">
        <w:rPr>
          <w:color w:val="000000"/>
        </w:rPr>
        <w:t>O) przewyższają naturalny zakres wartości stężenia tych gazów w</w:t>
      </w:r>
      <w:r>
        <w:rPr>
          <w:color w:val="000000"/>
        </w:rPr>
        <w:t xml:space="preserve"> </w:t>
      </w:r>
      <w:r w:rsidRPr="00BB03D8">
        <w:rPr>
          <w:color w:val="000000"/>
        </w:rPr>
        <w:t>atmosferze występujących przed erą przemysłową odpowiednio o 40%, 150% i 20%.</w:t>
      </w:r>
      <w:r w:rsidRPr="00BB03D8">
        <w:rPr>
          <w:color w:val="000000"/>
          <w:sz w:val="24"/>
          <w:szCs w:val="24"/>
        </w:rPr>
        <w:t xml:space="preserve"> </w:t>
      </w:r>
      <w:r w:rsidRPr="00BB03D8">
        <w:rPr>
          <w:color w:val="000000"/>
        </w:rPr>
        <w:t>Głównymi źródłami emisji gazów cieplarnianych są: spalanie paliw kopalnych (CO</w:t>
      </w:r>
      <w:r w:rsidRPr="00BB03D8">
        <w:rPr>
          <w:color w:val="000000"/>
          <w:vertAlign w:val="subscript"/>
        </w:rPr>
        <w:t>2</w:t>
      </w:r>
      <w:r w:rsidRPr="00BB03D8">
        <w:rPr>
          <w:color w:val="000000"/>
        </w:rPr>
        <w:t>, CH</w:t>
      </w:r>
      <w:r w:rsidRPr="00BB03D8">
        <w:rPr>
          <w:color w:val="000000"/>
          <w:vertAlign w:val="subscript"/>
        </w:rPr>
        <w:t>4</w:t>
      </w:r>
      <w:r w:rsidRPr="00BB03D8">
        <w:rPr>
          <w:color w:val="000000"/>
        </w:rPr>
        <w:t>), zmiany formy użytkowania gruntów (CO</w:t>
      </w:r>
      <w:r w:rsidRPr="00BB03D8">
        <w:rPr>
          <w:color w:val="000000"/>
          <w:vertAlign w:val="subscript"/>
        </w:rPr>
        <w:t>2</w:t>
      </w:r>
      <w:r w:rsidRPr="00BB03D8">
        <w:rPr>
          <w:color w:val="000000"/>
        </w:rPr>
        <w:t>) oraz działalność rolnicza (CH</w:t>
      </w:r>
      <w:r w:rsidRPr="00BB03D8">
        <w:rPr>
          <w:color w:val="000000"/>
          <w:vertAlign w:val="subscript"/>
        </w:rPr>
        <w:t xml:space="preserve">4, </w:t>
      </w:r>
      <w:r w:rsidRPr="00BB03D8">
        <w:rPr>
          <w:color w:val="000000"/>
        </w:rPr>
        <w:t>N</w:t>
      </w:r>
      <w:r w:rsidRPr="00BB03D8">
        <w:rPr>
          <w:color w:val="000000"/>
          <w:vertAlign w:val="subscript"/>
        </w:rPr>
        <w:t>2</w:t>
      </w:r>
      <w:r w:rsidRPr="00BB03D8">
        <w:rPr>
          <w:color w:val="000000"/>
        </w:rPr>
        <w:t>O)</w:t>
      </w:r>
      <w:r>
        <w:rPr>
          <w:rStyle w:val="Odwoanieprzypisudolnego"/>
          <w:color w:val="000000"/>
        </w:rPr>
        <w:footnoteReference w:id="16"/>
      </w:r>
      <w:r>
        <w:rPr>
          <w:color w:val="000000"/>
        </w:rPr>
        <w:t xml:space="preserve"> </w:t>
      </w:r>
    </w:p>
    <w:p w:rsidR="004538EE" w:rsidRPr="00C219C7" w:rsidRDefault="004538EE" w:rsidP="004538EE">
      <w:pPr>
        <w:jc w:val="both"/>
        <w:rPr>
          <w:color w:val="000000"/>
        </w:rPr>
      </w:pPr>
      <w:r w:rsidRPr="00C219C7">
        <w:t>Głównym gazem cieplarnianym emitowanym w Polsce jest CO</w:t>
      </w:r>
      <w:r w:rsidRPr="00C219C7">
        <w:rPr>
          <w:vertAlign w:val="subscript"/>
        </w:rPr>
        <w:t>2</w:t>
      </w:r>
      <w:r w:rsidRPr="00C219C7">
        <w:t xml:space="preserve"> (ponad 80% emisji). Za większość emisji tego gazu odpowiada spalanie paliw (</w:t>
      </w:r>
      <w:r>
        <w:t xml:space="preserve">blisko </w:t>
      </w:r>
      <w:r w:rsidRPr="00C219C7">
        <w:t>93%), zarówno w źródłach stacjonarnych (np. elektrownie, elektrociepłownie)</w:t>
      </w:r>
      <w:r>
        <w:t>,</w:t>
      </w:r>
      <w:r w:rsidRPr="00C219C7">
        <w:t xml:space="preserve"> jak i mobilnych (transport), pozostała ilość, </w:t>
      </w:r>
      <w:r>
        <w:t>ok.</w:t>
      </w:r>
      <w:r w:rsidRPr="00C219C7">
        <w:t xml:space="preserve"> 6%, związana jest z procesami przemysłowymi </w:t>
      </w:r>
      <w:r w:rsidRPr="004538EE">
        <w:rPr>
          <w:rStyle w:val="Odwoanieprzypisudolnego"/>
        </w:rPr>
        <w:footnoteReference w:id="17"/>
      </w: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Default="004538EE" w:rsidP="004538EE">
      <w:pPr>
        <w:spacing w:after="0" w:line="240" w:lineRule="auto"/>
      </w:pPr>
    </w:p>
    <w:p w:rsidR="004538EE" w:rsidRPr="004538EE" w:rsidRDefault="004538EE" w:rsidP="004538EE">
      <w:pPr>
        <w:spacing w:after="0" w:line="240" w:lineRule="auto"/>
        <w:jc w:val="both"/>
        <w:rPr>
          <w:i/>
          <w:noProof/>
          <w:color w:val="365F91"/>
          <w:lang w:eastAsia="pl-PL"/>
        </w:rPr>
      </w:pPr>
      <w:r w:rsidRPr="004538EE">
        <w:rPr>
          <w:i/>
        </w:rPr>
        <w:t xml:space="preserve">Rys. </w:t>
      </w:r>
      <w:r>
        <w:rPr>
          <w:i/>
        </w:rPr>
        <w:t>4.1.</w:t>
      </w:r>
      <w:r w:rsidRPr="004538EE">
        <w:rPr>
          <w:i/>
        </w:rPr>
        <w:t>. Struktura emisji CO</w:t>
      </w:r>
      <w:r w:rsidRPr="004538EE">
        <w:rPr>
          <w:i/>
          <w:vertAlign w:val="subscript"/>
        </w:rPr>
        <w:t>2</w:t>
      </w:r>
      <w:r w:rsidRPr="004538EE">
        <w:rPr>
          <w:i/>
        </w:rPr>
        <w:t xml:space="preserve"> w Polsce w 2015 r. w podziale na sektory (wg klasyfikacji IPCC) (źródło: IOŚ-PIB - KOBiZE)</w:t>
      </w:r>
    </w:p>
    <w:p w:rsidR="004538EE" w:rsidRPr="00AD7B91" w:rsidRDefault="004538EE" w:rsidP="004538EE">
      <w:pPr>
        <w:spacing w:after="0" w:line="240" w:lineRule="auto"/>
        <w:jc w:val="both"/>
      </w:pPr>
      <w:r w:rsidRPr="00EF6EEE">
        <w:rPr>
          <w:noProof/>
          <w:lang w:eastAsia="pl-PL"/>
        </w:rPr>
        <w:drawing>
          <wp:inline distT="0" distB="0" distL="0" distR="0" wp14:anchorId="641D66D1" wp14:editId="56FE4DC5">
            <wp:extent cx="5760720" cy="2858135"/>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2858135"/>
                    </a:xfrm>
                    <a:prstGeom prst="rect">
                      <a:avLst/>
                    </a:prstGeom>
                    <a:noFill/>
                    <a:ln>
                      <a:noFill/>
                    </a:ln>
                  </pic:spPr>
                </pic:pic>
              </a:graphicData>
            </a:graphic>
          </wp:inline>
        </w:drawing>
      </w:r>
      <w:r w:rsidRPr="00857DC5">
        <w:t xml:space="preserve"> </w:t>
      </w:r>
    </w:p>
    <w:p w:rsidR="004538EE" w:rsidRPr="00524946" w:rsidRDefault="004538EE" w:rsidP="004538EE">
      <w:pPr>
        <w:spacing w:after="120"/>
        <w:jc w:val="both"/>
        <w:rPr>
          <w:rFonts w:eastAsia="Times New Roman" w:cstheme="minorHAnsi"/>
          <w:color w:val="222222"/>
        </w:rPr>
      </w:pPr>
      <w:r w:rsidRPr="001763F2">
        <w:rPr>
          <w:color w:val="222222"/>
        </w:rPr>
        <w:t>W 201</w:t>
      </w:r>
      <w:r>
        <w:rPr>
          <w:rFonts w:eastAsia="Times New Roman" w:cstheme="minorHAnsi"/>
          <w:color w:val="222222"/>
          <w:lang w:eastAsia="pl-PL"/>
        </w:rPr>
        <w:t>5</w:t>
      </w:r>
      <w:r w:rsidRPr="001763F2">
        <w:rPr>
          <w:color w:val="222222"/>
        </w:rPr>
        <w:t xml:space="preserve"> r. poziom emisji gazów cieplarnianych (bez sektora użytkowania gruntów i leśnictwa – </w:t>
      </w:r>
      <w:r w:rsidRPr="001763F2">
        <w:rPr>
          <w:i/>
          <w:color w:val="222222"/>
        </w:rPr>
        <w:t>LULUCF</w:t>
      </w:r>
      <w:r w:rsidRPr="001763F2">
        <w:rPr>
          <w:color w:val="222222"/>
        </w:rPr>
        <w:t xml:space="preserve">) w Polsce był niższy </w:t>
      </w:r>
      <w:r w:rsidRPr="00B371A7">
        <w:rPr>
          <w:rFonts w:eastAsia="Times New Roman" w:cstheme="minorHAnsi"/>
          <w:color w:val="222222"/>
          <w:lang w:eastAsia="pl-PL"/>
        </w:rPr>
        <w:t xml:space="preserve">o </w:t>
      </w:r>
      <w:r>
        <w:rPr>
          <w:rFonts w:eastAsia="Times New Roman" w:cstheme="minorHAnsi"/>
          <w:color w:val="222222"/>
          <w:lang w:eastAsia="pl-PL"/>
        </w:rPr>
        <w:t>3</w:t>
      </w:r>
      <w:r w:rsidRPr="00B371A7">
        <w:rPr>
          <w:rFonts w:eastAsia="Times New Roman" w:cstheme="minorHAnsi"/>
          <w:color w:val="222222"/>
          <w:lang w:eastAsia="pl-PL"/>
        </w:rPr>
        <w:t xml:space="preserve">2% </w:t>
      </w:r>
      <w:r w:rsidRPr="001763F2">
        <w:rPr>
          <w:color w:val="222222"/>
        </w:rPr>
        <w:t>od poziomu z 19</w:t>
      </w:r>
      <w:r>
        <w:rPr>
          <w:rFonts w:eastAsia="Times New Roman" w:cstheme="minorHAnsi"/>
          <w:color w:val="222222"/>
          <w:lang w:eastAsia="pl-PL"/>
        </w:rPr>
        <w:t>88</w:t>
      </w:r>
      <w:r w:rsidRPr="001763F2">
        <w:rPr>
          <w:color w:val="222222"/>
        </w:rPr>
        <w:t xml:space="preserve"> r</w:t>
      </w:r>
      <w:r>
        <w:rPr>
          <w:color w:val="222222"/>
        </w:rPr>
        <w:t xml:space="preserve">. </w:t>
      </w:r>
      <w:r w:rsidRPr="001763F2">
        <w:rPr>
          <w:color w:val="222222"/>
        </w:rPr>
        <w:t>Według wstępnych danych dla 201</w:t>
      </w:r>
      <w:r>
        <w:rPr>
          <w:rFonts w:eastAsia="Times New Roman" w:cstheme="minorHAnsi"/>
          <w:color w:val="222222"/>
          <w:lang w:eastAsia="pl-PL"/>
        </w:rPr>
        <w:t>6</w:t>
      </w:r>
      <w:r w:rsidRPr="001763F2">
        <w:rPr>
          <w:color w:val="222222"/>
        </w:rPr>
        <w:t xml:space="preserve"> r. emisje nieznacznie wzrosły (o 1%) w stosunku do poprzedniego roku, </w:t>
      </w:r>
      <w:r>
        <w:rPr>
          <w:rFonts w:eastAsia="Times New Roman" w:cstheme="minorHAnsi"/>
          <w:color w:val="222222"/>
          <w:lang w:eastAsia="pl-PL"/>
        </w:rPr>
        <w:t>przy czym od 2012 r. emisja krajowa nie przekroczyła 400 mln ton CO</w:t>
      </w:r>
      <w:r w:rsidRPr="00387085">
        <w:rPr>
          <w:rFonts w:eastAsia="Times New Roman" w:cstheme="minorHAnsi"/>
          <w:color w:val="222222"/>
          <w:vertAlign w:val="subscript"/>
          <w:lang w:eastAsia="pl-PL"/>
        </w:rPr>
        <w:t>2</w:t>
      </w:r>
      <w:r>
        <w:rPr>
          <w:rFonts w:eastAsia="Times New Roman" w:cstheme="minorHAnsi"/>
          <w:color w:val="222222"/>
          <w:lang w:eastAsia="pl-PL"/>
        </w:rPr>
        <w:t>e</w:t>
      </w:r>
      <w:r w:rsidRPr="001763F2">
        <w:rPr>
          <w:color w:val="222222"/>
        </w:rPr>
        <w:t>.</w:t>
      </w:r>
      <w:r w:rsidRPr="00524946">
        <w:rPr>
          <w:rFonts w:eastAsia="Times New Roman" w:cstheme="minorHAnsi"/>
          <w:color w:val="222222"/>
          <w:lang w:eastAsia="pl-PL"/>
        </w:rPr>
        <w:t xml:space="preserve"> </w:t>
      </w:r>
    </w:p>
    <w:p w:rsidR="004538EE" w:rsidRPr="00292B2A" w:rsidRDefault="004538EE" w:rsidP="004538EE">
      <w:pPr>
        <w:pStyle w:val="Default"/>
        <w:ind w:left="1080"/>
        <w:rPr>
          <w:rFonts w:asciiTheme="minorHAnsi" w:hAnsiTheme="minorHAnsi"/>
          <w:sz w:val="22"/>
          <w:szCs w:val="22"/>
        </w:rPr>
      </w:pPr>
    </w:p>
    <w:p w:rsidR="004538EE" w:rsidRPr="006214E7" w:rsidRDefault="004538EE" w:rsidP="004538EE">
      <w:pPr>
        <w:shd w:val="clear" w:color="auto" w:fill="FFFFFF"/>
        <w:spacing w:after="0" w:line="240" w:lineRule="auto"/>
        <w:jc w:val="both"/>
        <w:rPr>
          <w:rFonts w:eastAsia="Times New Roman" w:cstheme="minorHAnsi"/>
          <w:i/>
          <w:color w:val="222222"/>
          <w:lang w:eastAsia="pl-PL"/>
        </w:rPr>
      </w:pPr>
      <w:r w:rsidRPr="006214E7">
        <w:rPr>
          <w:rFonts w:eastAsia="Times New Roman" w:cstheme="minorHAnsi"/>
          <w:i/>
          <w:color w:val="222222"/>
          <w:lang w:eastAsia="pl-PL"/>
        </w:rPr>
        <w:t xml:space="preserve">Rys. 4.2. Historyczne (1988-2015) oraz prognozowane (2020-2030) emisje gazów cieplarnianych </w:t>
      </w:r>
      <w:r w:rsidRPr="006214E7">
        <w:rPr>
          <w:rFonts w:eastAsia="Times New Roman" w:cstheme="minorHAnsi"/>
          <w:i/>
          <w:color w:val="222222"/>
          <w:lang w:eastAsia="pl-PL"/>
        </w:rPr>
        <w:br/>
        <w:t>w latach w Polsce [kt CO</w:t>
      </w:r>
      <w:r w:rsidRPr="006214E7">
        <w:rPr>
          <w:rFonts w:eastAsia="Times New Roman" w:cstheme="minorHAnsi"/>
          <w:i/>
          <w:color w:val="222222"/>
          <w:vertAlign w:val="subscript"/>
          <w:lang w:eastAsia="pl-PL"/>
        </w:rPr>
        <w:t>2</w:t>
      </w:r>
      <w:r w:rsidRPr="006214E7">
        <w:rPr>
          <w:rFonts w:eastAsia="Times New Roman" w:cstheme="minorHAnsi"/>
          <w:i/>
          <w:color w:val="222222"/>
          <w:lang w:eastAsia="pl-PL"/>
        </w:rPr>
        <w:t>e]</w:t>
      </w:r>
    </w:p>
    <w:p w:rsidR="004538EE" w:rsidRPr="00524946" w:rsidRDefault="004538EE" w:rsidP="004538EE">
      <w:pPr>
        <w:shd w:val="clear" w:color="auto" w:fill="FFFFFF"/>
        <w:spacing w:after="0" w:line="240" w:lineRule="auto"/>
        <w:jc w:val="both"/>
        <w:rPr>
          <w:rFonts w:eastAsia="Times New Roman" w:cstheme="minorHAnsi"/>
          <w:color w:val="222222"/>
          <w:lang w:eastAsia="pl-PL"/>
        </w:rPr>
      </w:pPr>
      <w:r w:rsidRPr="001F65C4">
        <w:rPr>
          <w:noProof/>
          <w:lang w:eastAsia="pl-PL"/>
        </w:rPr>
        <w:drawing>
          <wp:inline distT="0" distB="0" distL="0" distR="0" wp14:anchorId="74FA6358" wp14:editId="44C20C92">
            <wp:extent cx="5760720" cy="3478985"/>
            <wp:effectExtent l="0" t="0" r="0" b="762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478985"/>
                    </a:xfrm>
                    <a:prstGeom prst="rect">
                      <a:avLst/>
                    </a:prstGeom>
                    <a:noFill/>
                    <a:ln>
                      <a:noFill/>
                    </a:ln>
                  </pic:spPr>
                </pic:pic>
              </a:graphicData>
            </a:graphic>
          </wp:inline>
        </w:drawing>
      </w:r>
    </w:p>
    <w:p w:rsidR="004538EE" w:rsidRPr="004538EE" w:rsidRDefault="004538EE" w:rsidP="004538EE">
      <w:pPr>
        <w:spacing w:after="0" w:line="240" w:lineRule="auto"/>
        <w:rPr>
          <w:bCs/>
          <w:i/>
          <w:sz w:val="20"/>
          <w:szCs w:val="24"/>
        </w:rPr>
      </w:pPr>
      <w:r>
        <w:rPr>
          <w:bCs/>
          <w:i/>
          <w:sz w:val="20"/>
          <w:szCs w:val="24"/>
        </w:rPr>
        <w:t>(</w:t>
      </w:r>
      <w:r w:rsidRPr="004538EE">
        <w:rPr>
          <w:bCs/>
          <w:i/>
          <w:sz w:val="20"/>
          <w:szCs w:val="24"/>
        </w:rPr>
        <w:t>Źródło: Krajowy Ośrodek Bilansowania i Zarządzania Emisjami, opracowanie własne.</w:t>
      </w:r>
      <w:r>
        <w:rPr>
          <w:bCs/>
          <w:i/>
          <w:sz w:val="20"/>
          <w:szCs w:val="24"/>
        </w:rPr>
        <w:t>)</w:t>
      </w:r>
    </w:p>
    <w:p w:rsidR="004538EE" w:rsidRPr="002F3E7E" w:rsidRDefault="004538EE" w:rsidP="004538EE">
      <w:pPr>
        <w:pStyle w:val="Default"/>
        <w:tabs>
          <w:tab w:val="left" w:pos="6630"/>
        </w:tabs>
        <w:ind w:left="1080"/>
        <w:rPr>
          <w:rFonts w:asciiTheme="minorHAnsi" w:hAnsiTheme="minorHAnsi"/>
        </w:rPr>
      </w:pPr>
    </w:p>
    <w:p w:rsidR="004538EE" w:rsidRDefault="004538EE" w:rsidP="004538EE">
      <w:pPr>
        <w:shd w:val="clear" w:color="auto" w:fill="FFFFFF"/>
        <w:spacing w:after="0" w:line="240" w:lineRule="auto"/>
        <w:jc w:val="both"/>
        <w:rPr>
          <w:rFonts w:eastAsia="Times New Roman" w:cstheme="minorHAnsi"/>
          <w:color w:val="222222"/>
          <w:lang w:eastAsia="pl-PL"/>
        </w:rPr>
      </w:pPr>
    </w:p>
    <w:p w:rsidR="004538EE" w:rsidRDefault="004538EE" w:rsidP="004538EE">
      <w:pPr>
        <w:shd w:val="clear" w:color="auto" w:fill="FFFFFF"/>
        <w:spacing w:after="0" w:line="240" w:lineRule="auto"/>
        <w:jc w:val="both"/>
        <w:rPr>
          <w:rFonts w:eastAsia="Times New Roman" w:cstheme="minorHAnsi"/>
          <w:color w:val="222222"/>
          <w:lang w:eastAsia="pl-PL"/>
        </w:rPr>
      </w:pPr>
    </w:p>
    <w:p w:rsidR="004538EE" w:rsidRPr="00292B2A" w:rsidRDefault="004538EE" w:rsidP="004538EE">
      <w:pPr>
        <w:shd w:val="clear" w:color="auto" w:fill="FFFFFF"/>
        <w:spacing w:after="0"/>
        <w:jc w:val="both"/>
        <w:rPr>
          <w:rFonts w:eastAsia="Times New Roman" w:cstheme="minorHAnsi"/>
          <w:color w:val="222222"/>
          <w:lang w:eastAsia="pl-PL"/>
        </w:rPr>
      </w:pPr>
      <w:r w:rsidRPr="00292B2A">
        <w:rPr>
          <w:rFonts w:eastAsia="Times New Roman" w:cstheme="minorHAnsi"/>
          <w:color w:val="222222"/>
          <w:lang w:eastAsia="pl-PL"/>
        </w:rPr>
        <w:t xml:space="preserve">Według krajowych prognoz emisji gazów cieplarnianych, opracowanych w 2015 r. na potrzeby </w:t>
      </w:r>
      <w:r w:rsidRPr="00292B2A">
        <w:rPr>
          <w:rFonts w:eastAsia="Times New Roman" w:cstheme="minorHAnsi"/>
          <w:i/>
          <w:color w:val="222222"/>
          <w:lang w:eastAsia="pl-PL"/>
        </w:rPr>
        <w:t xml:space="preserve">Drugiego raportu dwuletniego dla Konferencji Stron Ramowej Konwencji </w:t>
      </w:r>
      <w:r w:rsidRPr="00BB03D8">
        <w:rPr>
          <w:rFonts w:eastAsia="Times New Roman" w:cstheme="minorHAnsi"/>
          <w:i/>
          <w:color w:val="222222"/>
          <w:lang w:eastAsia="pl-PL"/>
        </w:rPr>
        <w:t>N</w:t>
      </w:r>
      <w:r>
        <w:rPr>
          <w:rFonts w:eastAsia="Times New Roman" w:cstheme="minorHAnsi"/>
          <w:i/>
          <w:color w:val="222222"/>
          <w:lang w:eastAsia="pl-PL"/>
        </w:rPr>
        <w:t xml:space="preserve">arodów </w:t>
      </w:r>
      <w:r w:rsidRPr="00BB03D8">
        <w:rPr>
          <w:rFonts w:eastAsia="Times New Roman" w:cstheme="minorHAnsi"/>
          <w:i/>
          <w:color w:val="222222"/>
          <w:lang w:eastAsia="pl-PL"/>
        </w:rPr>
        <w:t>Z</w:t>
      </w:r>
      <w:r>
        <w:rPr>
          <w:rFonts w:eastAsia="Times New Roman" w:cstheme="minorHAnsi"/>
          <w:i/>
          <w:color w:val="222222"/>
          <w:lang w:eastAsia="pl-PL"/>
        </w:rPr>
        <w:t>jednoczonych</w:t>
      </w:r>
      <w:r w:rsidRPr="00BB03D8">
        <w:rPr>
          <w:rFonts w:eastAsia="Times New Roman" w:cstheme="minorHAnsi"/>
          <w:i/>
          <w:color w:val="222222"/>
          <w:lang w:eastAsia="pl-PL"/>
        </w:rPr>
        <w:t xml:space="preserve"> </w:t>
      </w:r>
      <w:r w:rsidRPr="00292B2A">
        <w:rPr>
          <w:rFonts w:eastAsia="Times New Roman" w:cstheme="minorHAnsi"/>
          <w:i/>
          <w:color w:val="222222"/>
          <w:lang w:eastAsia="pl-PL"/>
        </w:rPr>
        <w:t>ws. zmian klimatu</w:t>
      </w:r>
      <w:r w:rsidRPr="00292B2A">
        <w:rPr>
          <w:rFonts w:eastAsia="Times New Roman" w:cstheme="minorHAnsi"/>
          <w:color w:val="222222"/>
          <w:lang w:eastAsia="pl-PL"/>
        </w:rPr>
        <w:t>, szacuje się, że w 2030 r. całkowite emisje w Polsce będą niższe o 2</w:t>
      </w:r>
      <w:r>
        <w:rPr>
          <w:rFonts w:eastAsia="Times New Roman" w:cstheme="minorHAnsi"/>
          <w:color w:val="222222"/>
          <w:lang w:eastAsia="pl-PL"/>
        </w:rPr>
        <w:t>3</w:t>
      </w:r>
      <w:r w:rsidRPr="00292B2A">
        <w:rPr>
          <w:rFonts w:eastAsia="Times New Roman" w:cstheme="minorHAnsi"/>
          <w:color w:val="222222"/>
          <w:lang w:eastAsia="pl-PL"/>
        </w:rPr>
        <w:t>% niż w 1990 r.</w:t>
      </w:r>
      <w:r>
        <w:rPr>
          <w:rFonts w:eastAsia="Times New Roman" w:cstheme="minorHAnsi"/>
          <w:color w:val="222222"/>
          <w:lang w:eastAsia="pl-PL"/>
        </w:rPr>
        <w:t xml:space="preserve"> i o 37% niż w 1988 r. </w:t>
      </w:r>
    </w:p>
    <w:p w:rsidR="004538EE" w:rsidRPr="00292B2A" w:rsidRDefault="004538EE" w:rsidP="004538EE">
      <w:pPr>
        <w:shd w:val="clear" w:color="auto" w:fill="FFFFFF"/>
        <w:spacing w:after="0"/>
        <w:jc w:val="both"/>
        <w:rPr>
          <w:rFonts w:eastAsia="Times New Roman" w:cstheme="minorHAnsi"/>
          <w:color w:val="222222"/>
        </w:rPr>
      </w:pPr>
    </w:p>
    <w:p w:rsidR="004538EE" w:rsidRPr="00292B2A" w:rsidRDefault="004538EE" w:rsidP="004538EE">
      <w:pPr>
        <w:shd w:val="clear" w:color="auto" w:fill="FFFFFF"/>
        <w:spacing w:after="0"/>
        <w:jc w:val="both"/>
        <w:rPr>
          <w:rFonts w:eastAsia="Times New Roman" w:cstheme="minorHAnsi"/>
          <w:color w:val="222222"/>
        </w:rPr>
      </w:pPr>
      <w:r>
        <w:rPr>
          <w:rFonts w:eastAsia="Times New Roman" w:cstheme="minorHAnsi"/>
          <w:color w:val="222222"/>
          <w:lang w:eastAsia="pl-PL"/>
        </w:rPr>
        <w:t xml:space="preserve">W Polsce nadal występuje zjawisko znane jako </w:t>
      </w:r>
      <w:r>
        <w:rPr>
          <w:rFonts w:eastAsia="Times New Roman" w:cstheme="minorHAnsi"/>
          <w:i/>
          <w:color w:val="222222"/>
          <w:lang w:eastAsia="pl-PL"/>
        </w:rPr>
        <w:t xml:space="preserve">decoupling, </w:t>
      </w:r>
      <w:r>
        <w:rPr>
          <w:rFonts w:eastAsia="Times New Roman" w:cstheme="minorHAnsi"/>
          <w:color w:val="222222"/>
          <w:lang w:eastAsia="pl-PL"/>
        </w:rPr>
        <w:t>czyli spadek emisji na jednostkę PKB</w:t>
      </w:r>
      <w:r w:rsidRPr="00292B2A">
        <w:rPr>
          <w:rFonts w:eastAsia="Times New Roman" w:cstheme="minorHAnsi"/>
          <w:color w:val="222222"/>
          <w:lang w:eastAsia="pl-PL"/>
        </w:rPr>
        <w:t xml:space="preserve"> </w:t>
      </w:r>
      <w:r w:rsidRPr="001763F2">
        <w:rPr>
          <w:color w:val="222222"/>
        </w:rPr>
        <w:t>W latach 1990-201</w:t>
      </w:r>
      <w:r w:rsidRPr="007C6449">
        <w:rPr>
          <w:rFonts w:eastAsia="Times New Roman" w:cstheme="minorHAnsi"/>
          <w:color w:val="222222"/>
          <w:lang w:eastAsia="pl-PL"/>
        </w:rPr>
        <w:t>5</w:t>
      </w:r>
      <w:r w:rsidRPr="001763F2">
        <w:rPr>
          <w:color w:val="222222"/>
        </w:rPr>
        <w:t xml:space="preserve"> łączny produkt krajowy brutto wzrósł o </w:t>
      </w:r>
      <w:r w:rsidRPr="007C6449">
        <w:rPr>
          <w:rFonts w:eastAsia="Times New Roman" w:cstheme="minorHAnsi"/>
          <w:color w:val="222222"/>
          <w:lang w:eastAsia="pl-PL"/>
        </w:rPr>
        <w:t>145</w:t>
      </w:r>
      <w:r w:rsidRPr="001763F2">
        <w:rPr>
          <w:color w:val="222222"/>
        </w:rPr>
        <w:t xml:space="preserve">%, natomiast łączna emisja (bez LULUCF) zmalała o </w:t>
      </w:r>
      <w:r>
        <w:rPr>
          <w:rFonts w:eastAsia="Times New Roman" w:cstheme="minorHAnsi"/>
          <w:color w:val="222222"/>
          <w:lang w:eastAsia="pl-PL"/>
        </w:rPr>
        <w:t>18</w:t>
      </w:r>
      <w:r>
        <w:rPr>
          <w:color w:val="222222"/>
        </w:rPr>
        <w:t xml:space="preserve">%. </w:t>
      </w:r>
      <w:r w:rsidRPr="001763F2">
        <w:rPr>
          <w:color w:val="222222"/>
        </w:rPr>
        <w:t>W latach 1990-201</w:t>
      </w:r>
      <w:r>
        <w:rPr>
          <w:rFonts w:eastAsia="Times New Roman" w:cstheme="minorHAnsi"/>
          <w:color w:val="222222"/>
          <w:lang w:eastAsia="pl-PL"/>
        </w:rPr>
        <w:t>5</w:t>
      </w:r>
      <w:r w:rsidRPr="001763F2">
        <w:rPr>
          <w:color w:val="222222"/>
        </w:rPr>
        <w:t xml:space="preserve"> intensywność emisji gazów cieplarnianych w gospodarce, definiowana jako stosunek emisji do PKB, zmniejszyła się o ponad 6</w:t>
      </w:r>
      <w:r>
        <w:rPr>
          <w:rFonts w:eastAsia="Times New Roman" w:cstheme="minorHAnsi"/>
          <w:color w:val="222222"/>
          <w:lang w:eastAsia="pl-PL"/>
        </w:rPr>
        <w:t>6</w:t>
      </w:r>
      <w:r w:rsidRPr="001763F2">
        <w:rPr>
          <w:color w:val="222222"/>
        </w:rPr>
        <w:t>%.</w:t>
      </w:r>
      <w:r w:rsidRPr="00292B2A">
        <w:rPr>
          <w:rFonts w:eastAsia="Times New Roman" w:cstheme="minorHAnsi"/>
          <w:color w:val="222222"/>
          <w:lang w:eastAsia="pl-PL"/>
        </w:rPr>
        <w:t xml:space="preserve"> </w:t>
      </w:r>
    </w:p>
    <w:p w:rsidR="004538EE" w:rsidRDefault="004538EE" w:rsidP="004538EE">
      <w:pPr>
        <w:shd w:val="clear" w:color="auto" w:fill="FFFFFF"/>
        <w:spacing w:after="0"/>
        <w:jc w:val="both"/>
        <w:rPr>
          <w:rFonts w:eastAsia="Times New Roman" w:cstheme="minorHAnsi"/>
          <w:b/>
          <w:color w:val="222222"/>
          <w:highlight w:val="yellow"/>
          <w:lang w:eastAsia="pl-PL"/>
        </w:rPr>
      </w:pPr>
    </w:p>
    <w:p w:rsidR="004538EE" w:rsidRPr="0044139A" w:rsidRDefault="004538EE" w:rsidP="004538EE">
      <w:pPr>
        <w:shd w:val="clear" w:color="auto" w:fill="FFFFFF"/>
        <w:spacing w:after="0"/>
        <w:jc w:val="both"/>
        <w:rPr>
          <w:rFonts w:eastAsia="Times New Roman" w:cstheme="minorHAnsi"/>
          <w:i/>
          <w:color w:val="222222"/>
          <w:lang w:eastAsia="pl-PL"/>
        </w:rPr>
      </w:pPr>
      <w:r w:rsidRPr="0044139A">
        <w:rPr>
          <w:rFonts w:eastAsia="Times New Roman" w:cstheme="minorHAnsi"/>
          <w:i/>
          <w:color w:val="222222"/>
          <w:lang w:eastAsia="pl-PL"/>
        </w:rPr>
        <w:t xml:space="preserve">Rys. </w:t>
      </w:r>
      <w:r w:rsidR="0044139A">
        <w:rPr>
          <w:rFonts w:eastAsia="Times New Roman" w:cstheme="minorHAnsi"/>
          <w:i/>
          <w:color w:val="222222"/>
          <w:lang w:eastAsia="pl-PL"/>
        </w:rPr>
        <w:t>4.3.</w:t>
      </w:r>
      <w:r w:rsidRPr="0044139A">
        <w:rPr>
          <w:rFonts w:eastAsia="Times New Roman" w:cstheme="minorHAnsi"/>
          <w:i/>
          <w:color w:val="222222"/>
          <w:lang w:eastAsia="pl-PL"/>
        </w:rPr>
        <w:t xml:space="preserve"> Zmiany PKB, emisji gazów cieplarnianych i wskaźnika intensywności emisji w gospodarce (stosunek emisji do PKB) w Polsce w latach 1990-2015</w:t>
      </w:r>
    </w:p>
    <w:p w:rsidR="004538EE" w:rsidRDefault="004538EE" w:rsidP="004538EE">
      <w:pPr>
        <w:shd w:val="clear" w:color="auto" w:fill="FFFFFF"/>
        <w:spacing w:after="0" w:line="240" w:lineRule="auto"/>
        <w:jc w:val="both"/>
        <w:rPr>
          <w:rFonts w:eastAsia="Times New Roman" w:cstheme="minorHAnsi"/>
          <w:color w:val="222222"/>
          <w:lang w:eastAsia="pl-PL"/>
        </w:rPr>
      </w:pPr>
    </w:p>
    <w:p w:rsidR="004538EE" w:rsidRPr="00292B2A" w:rsidRDefault="004538EE" w:rsidP="004538EE">
      <w:pPr>
        <w:pStyle w:val="Default"/>
        <w:ind w:left="1080"/>
        <w:rPr>
          <w:rFonts w:asciiTheme="minorHAnsi" w:hAnsiTheme="minorHAnsi"/>
          <w:sz w:val="22"/>
          <w:szCs w:val="22"/>
        </w:rPr>
      </w:pPr>
    </w:p>
    <w:p w:rsidR="004538EE" w:rsidRPr="002F3E7E" w:rsidRDefault="004538EE" w:rsidP="004538EE">
      <w:pPr>
        <w:pStyle w:val="Default"/>
        <w:rPr>
          <w:rFonts w:asciiTheme="minorHAnsi" w:hAnsiTheme="minorHAnsi"/>
        </w:rPr>
      </w:pPr>
      <w:r w:rsidRPr="007C6449">
        <w:rPr>
          <w:noProof/>
          <w:lang w:eastAsia="pl-PL"/>
        </w:rPr>
        <w:drawing>
          <wp:inline distT="0" distB="0" distL="0" distR="0" wp14:anchorId="63692291" wp14:editId="535FF33C">
            <wp:extent cx="5760720" cy="3380602"/>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380602"/>
                    </a:xfrm>
                    <a:prstGeom prst="rect">
                      <a:avLst/>
                    </a:prstGeom>
                    <a:noFill/>
                    <a:ln>
                      <a:noFill/>
                    </a:ln>
                  </pic:spPr>
                </pic:pic>
              </a:graphicData>
            </a:graphic>
          </wp:inline>
        </w:drawing>
      </w:r>
    </w:p>
    <w:p w:rsidR="004538EE" w:rsidRPr="0044139A" w:rsidRDefault="004538EE" w:rsidP="0044139A">
      <w:pPr>
        <w:spacing w:after="0" w:line="240" w:lineRule="auto"/>
        <w:rPr>
          <w:bCs/>
          <w:i/>
          <w:sz w:val="20"/>
          <w:szCs w:val="24"/>
        </w:rPr>
      </w:pPr>
      <w:r w:rsidRPr="0044139A">
        <w:rPr>
          <w:bCs/>
          <w:i/>
          <w:sz w:val="20"/>
          <w:szCs w:val="24"/>
        </w:rPr>
        <w:t>Źródło: Krajowy Ośrodek Bilansowania i Zarządzania Emisjami, opracowanie własne.</w:t>
      </w:r>
    </w:p>
    <w:p w:rsidR="004538EE" w:rsidRPr="002F3E7E" w:rsidRDefault="004538EE" w:rsidP="004538EE">
      <w:pPr>
        <w:pStyle w:val="Default"/>
        <w:ind w:left="1080"/>
        <w:rPr>
          <w:rFonts w:asciiTheme="minorHAnsi" w:hAnsiTheme="minorHAnsi"/>
        </w:rPr>
      </w:pPr>
    </w:p>
    <w:p w:rsidR="004538EE" w:rsidRDefault="004538EE" w:rsidP="004538EE">
      <w:pPr>
        <w:autoSpaceDE w:val="0"/>
        <w:autoSpaceDN w:val="0"/>
        <w:adjustRightInd w:val="0"/>
        <w:spacing w:after="0" w:line="240" w:lineRule="auto"/>
        <w:jc w:val="both"/>
        <w:rPr>
          <w:rFonts w:ascii="Calibri" w:eastAsia="Calibri" w:hAnsi="Calibri" w:cs="Calibri"/>
          <w:color w:val="000000"/>
          <w:u w:color="000000"/>
          <w:bdr w:val="nil"/>
          <w:lang w:eastAsia="pl-PL"/>
        </w:rPr>
      </w:pPr>
    </w:p>
    <w:p w:rsidR="004538EE" w:rsidRPr="00BB03D8" w:rsidRDefault="004538EE" w:rsidP="0044139A">
      <w:pPr>
        <w:autoSpaceDE w:val="0"/>
        <w:autoSpaceDN w:val="0"/>
        <w:adjustRightInd w:val="0"/>
        <w:spacing w:after="0"/>
        <w:jc w:val="both"/>
        <w:rPr>
          <w:rFonts w:eastAsia="Calibri" w:cs="Calibri"/>
          <w:color w:val="000000"/>
          <w:u w:color="000000"/>
          <w:bdr w:val="nil"/>
          <w:lang w:eastAsia="pl-PL"/>
        </w:rPr>
      </w:pPr>
      <w:r w:rsidRPr="00BB03D8">
        <w:rPr>
          <w:color w:val="000000"/>
        </w:rPr>
        <w:t xml:space="preserve">Wobec niekorzystnych i nasilających się skutków zmian klimatu, w celu ograniczenia </w:t>
      </w:r>
      <w:r>
        <w:rPr>
          <w:color w:val="000000"/>
        </w:rPr>
        <w:t>związanych z </w:t>
      </w:r>
      <w:r w:rsidRPr="00BB03D8">
        <w:rPr>
          <w:color w:val="000000"/>
        </w:rPr>
        <w:t>nimi zagrożeń, wszystkie państwa świata podjęły działania i</w:t>
      </w:r>
      <w:r>
        <w:rPr>
          <w:color w:val="000000"/>
        </w:rPr>
        <w:t xml:space="preserve"> </w:t>
      </w:r>
      <w:r w:rsidRPr="00BB03D8">
        <w:rPr>
          <w:color w:val="000000"/>
        </w:rPr>
        <w:t xml:space="preserve">międzynarodową współpracę na rzecz ograniczenia emisji gazów cieplarnianych poprzez </w:t>
      </w:r>
      <w:r w:rsidRPr="00BB03D8">
        <w:rPr>
          <w:color w:val="000000"/>
          <w:u w:color="000000"/>
          <w:bdr w:val="nil"/>
        </w:rPr>
        <w:t>przyjęcie</w:t>
      </w:r>
      <w:r w:rsidRPr="00BB03D8">
        <w:rPr>
          <w:rFonts w:eastAsia="Calibri" w:cs="Calibri"/>
          <w:color w:val="000000"/>
          <w:u w:color="000000"/>
          <w:bdr w:val="nil"/>
          <w:lang w:eastAsia="pl-PL"/>
        </w:rPr>
        <w:t xml:space="preserve"> w 1992 roku</w:t>
      </w:r>
      <w:r w:rsidRPr="00BB03D8">
        <w:rPr>
          <w:color w:val="000000"/>
        </w:rPr>
        <w:t xml:space="preserve"> Ramowej konwencji Narodów Zjednoczonych w sprawie zmian klimatu (UNFCCC – </w:t>
      </w:r>
      <w:r w:rsidRPr="00BB03D8">
        <w:rPr>
          <w:i/>
          <w:color w:val="000000"/>
        </w:rPr>
        <w:t>United Nations Framework Convention on Climate Change,</w:t>
      </w:r>
      <w:r w:rsidRPr="00BB03D8">
        <w:rPr>
          <w:rFonts w:eastAsia="Calibri" w:cs="Calibri"/>
          <w:i/>
          <w:iCs/>
          <w:color w:val="000000"/>
          <w:u w:color="000000"/>
          <w:bdr w:val="nil"/>
          <w:lang w:eastAsia="pl-PL"/>
        </w:rPr>
        <w:t xml:space="preserve"> </w:t>
      </w:r>
      <w:r w:rsidRPr="00BB03D8">
        <w:rPr>
          <w:rFonts w:eastAsia="Calibri" w:cs="Calibri"/>
          <w:iCs/>
          <w:color w:val="000000"/>
          <w:u w:color="000000"/>
          <w:bdr w:val="nil"/>
          <w:lang w:eastAsia="pl-PL"/>
        </w:rPr>
        <w:t xml:space="preserve">dalej zwaną </w:t>
      </w:r>
      <w:r>
        <w:rPr>
          <w:rFonts w:eastAsia="Calibri" w:cs="Calibri"/>
          <w:iCs/>
          <w:color w:val="000000"/>
          <w:u w:color="000000"/>
          <w:bdr w:val="nil"/>
          <w:lang w:eastAsia="pl-PL"/>
        </w:rPr>
        <w:t>K</w:t>
      </w:r>
      <w:r w:rsidRPr="00BB03D8">
        <w:rPr>
          <w:rFonts w:eastAsia="Calibri" w:cs="Calibri"/>
          <w:iCs/>
          <w:color w:val="000000"/>
          <w:u w:color="000000"/>
          <w:bdr w:val="nil"/>
          <w:lang w:eastAsia="pl-PL"/>
        </w:rPr>
        <w:t>onwencją</w:t>
      </w:r>
      <w:r w:rsidRPr="00BB03D8">
        <w:rPr>
          <w:rFonts w:eastAsia="Calibri" w:cs="Calibri"/>
          <w:color w:val="000000"/>
          <w:u w:color="000000"/>
          <w:bdr w:val="nil"/>
          <w:lang w:eastAsia="pl-PL"/>
        </w:rPr>
        <w:t>), Protokołu z</w:t>
      </w:r>
      <w:r>
        <w:rPr>
          <w:rFonts w:eastAsia="Calibri" w:cs="Calibri"/>
          <w:color w:val="000000"/>
          <w:u w:color="000000"/>
          <w:bdr w:val="nil"/>
          <w:lang w:eastAsia="pl-PL"/>
        </w:rPr>
        <w:t xml:space="preserve"> </w:t>
      </w:r>
      <w:r w:rsidRPr="00BB03D8">
        <w:rPr>
          <w:rFonts w:eastAsia="Calibri" w:cs="Calibri"/>
          <w:color w:val="000000"/>
          <w:u w:color="000000"/>
          <w:bdr w:val="nil"/>
          <w:lang w:eastAsia="pl-PL"/>
        </w:rPr>
        <w:t>Kioto (PzK) w 1997 r., w ramach którego część krajów rozwiniętych oraz gospodarek w trakcie przemian przyjęła cele redukcyjne na okres 2008-2012 (pierwszy okres rozliczeniowy)</w:t>
      </w:r>
      <w:r w:rsidRPr="00BB03D8">
        <w:rPr>
          <w:rFonts w:eastAsia="Calibri" w:cs="Calibri"/>
          <w:color w:val="000000"/>
          <w:u w:color="000000"/>
          <w:bdr w:val="nil"/>
          <w:vertAlign w:val="superscript"/>
          <w:lang w:eastAsia="pl-PL"/>
        </w:rPr>
        <w:footnoteReference w:id="18"/>
      </w:r>
      <w:r w:rsidRPr="00BB03D8">
        <w:rPr>
          <w:rFonts w:eastAsia="Calibri" w:cs="Calibri"/>
          <w:color w:val="000000"/>
          <w:u w:color="000000"/>
          <w:bdr w:val="nil"/>
          <w:lang w:eastAsia="pl-PL"/>
        </w:rPr>
        <w:t>, oraz poprawki z Dauhy do Protokołu z Kioto w 201</w:t>
      </w:r>
      <w:r>
        <w:rPr>
          <w:rFonts w:eastAsia="Calibri" w:cs="Calibri"/>
          <w:color w:val="000000"/>
          <w:u w:color="000000"/>
          <w:bdr w:val="nil"/>
          <w:lang w:eastAsia="pl-PL"/>
        </w:rPr>
        <w:t>2</w:t>
      </w:r>
      <w:r w:rsidRPr="00BB03D8">
        <w:rPr>
          <w:rFonts w:eastAsia="Calibri" w:cs="Calibri"/>
          <w:color w:val="000000"/>
          <w:u w:color="000000"/>
          <w:bdr w:val="nil"/>
          <w:lang w:eastAsia="pl-PL"/>
        </w:rPr>
        <w:t xml:space="preserve"> r.</w:t>
      </w:r>
      <w:r>
        <w:rPr>
          <w:rFonts w:eastAsia="Calibri" w:cs="Calibri"/>
          <w:color w:val="000000"/>
          <w:u w:color="000000"/>
          <w:bdr w:val="nil"/>
          <w:lang w:eastAsia="pl-PL"/>
        </w:rPr>
        <w:t>, w </w:t>
      </w:r>
      <w:r w:rsidRPr="00BB03D8">
        <w:rPr>
          <w:rFonts w:eastAsia="Calibri" w:cs="Calibri"/>
          <w:color w:val="000000"/>
          <w:u w:color="000000"/>
          <w:bdr w:val="nil"/>
          <w:lang w:eastAsia="pl-PL"/>
        </w:rPr>
        <w:t>ramach którego przyjęto kolejne cele redukcyjne na lata 2013-2020 (drugi okres rozliczeniowy).</w:t>
      </w:r>
    </w:p>
    <w:p w:rsidR="004538EE" w:rsidRPr="00BB03D8" w:rsidRDefault="004538EE" w:rsidP="0044139A">
      <w:pPr>
        <w:autoSpaceDE w:val="0"/>
        <w:autoSpaceDN w:val="0"/>
        <w:adjustRightInd w:val="0"/>
        <w:spacing w:after="0"/>
        <w:jc w:val="both"/>
        <w:rPr>
          <w:color w:val="000000"/>
        </w:rPr>
      </w:pPr>
    </w:p>
    <w:p w:rsidR="004538EE" w:rsidRPr="00BB03D8" w:rsidRDefault="004538EE" w:rsidP="004538EE">
      <w:pPr>
        <w:spacing w:after="0"/>
        <w:jc w:val="both"/>
        <w:rPr>
          <w:color w:val="000000"/>
        </w:rPr>
      </w:pPr>
      <w:r w:rsidRPr="00BB03D8">
        <w:rPr>
          <w:color w:val="000000"/>
        </w:rPr>
        <w:lastRenderedPageBreak/>
        <w:t xml:space="preserve">Ustanowienie zobowiązań do ilościowo określonych poziomów redukcji emisji gazów cieplarnianych miało na celu stymulowanie krajów do wdrażania działań dotyczących m.in. poprawy </w:t>
      </w:r>
      <w:r w:rsidRPr="00BB03D8">
        <w:t>efektywności energetycznej</w:t>
      </w:r>
      <w:r w:rsidRPr="00BB03D8">
        <w:rPr>
          <w:color w:val="000000"/>
        </w:rPr>
        <w:t xml:space="preserve">, </w:t>
      </w:r>
      <w:r w:rsidRPr="00BB03D8">
        <w:t>ochrony i zwiększeni</w:t>
      </w:r>
      <w:r>
        <w:t>a</w:t>
      </w:r>
      <w:r w:rsidRPr="00BB03D8">
        <w:t xml:space="preserve"> efektywności naturalnych „pochłaniaczy” i</w:t>
      </w:r>
      <w:r>
        <w:t xml:space="preserve"> </w:t>
      </w:r>
      <w:r w:rsidRPr="00BB03D8">
        <w:t>zbiorników gazów cieplarnianych (np. obszarów leśnych), wspierania zrównoważonych form gospodarki rolnej, zwiększenia wykorzystania nowych i odnawialnych źródeł energii, wdrażani</w:t>
      </w:r>
      <w:r>
        <w:t>a</w:t>
      </w:r>
      <w:r w:rsidRPr="00BB03D8">
        <w:t xml:space="preserve"> technologii magazynowania CO</w:t>
      </w:r>
      <w:r w:rsidRPr="00BB03D8">
        <w:rPr>
          <w:vertAlign w:val="subscript"/>
        </w:rPr>
        <w:t>2</w:t>
      </w:r>
      <w:r w:rsidRPr="00BB03D8">
        <w:t xml:space="preserve"> oraz innych zaawansowanych i</w:t>
      </w:r>
      <w:r>
        <w:t xml:space="preserve"> </w:t>
      </w:r>
      <w:r w:rsidRPr="00BB03D8">
        <w:t xml:space="preserve">innowacyjnych technologii przyjaznych dla środowiska, a także wielu </w:t>
      </w:r>
      <w:r w:rsidRPr="00BB03D8">
        <w:rPr>
          <w:color w:val="000000"/>
        </w:rPr>
        <w:t>innych działań na rzecz zapobiegania zmianom klimatu</w:t>
      </w:r>
      <w:r w:rsidR="0044139A">
        <w:rPr>
          <w:color w:val="000000"/>
        </w:rPr>
        <w:t>.</w:t>
      </w:r>
      <w:r w:rsidR="0044139A">
        <w:rPr>
          <w:rStyle w:val="Odwoanieprzypisudolnego"/>
          <w:color w:val="000000"/>
        </w:rPr>
        <w:footnoteReference w:id="19"/>
      </w:r>
    </w:p>
    <w:p w:rsidR="004538EE" w:rsidRDefault="004538EE" w:rsidP="004538EE">
      <w:pPr>
        <w:autoSpaceDE w:val="0"/>
        <w:autoSpaceDN w:val="0"/>
        <w:adjustRightInd w:val="0"/>
        <w:spacing w:after="0" w:line="240" w:lineRule="auto"/>
        <w:jc w:val="both"/>
        <w:rPr>
          <w:color w:val="000000"/>
        </w:rPr>
      </w:pPr>
    </w:p>
    <w:p w:rsidR="004538EE" w:rsidRPr="00BB03D8" w:rsidRDefault="004538EE" w:rsidP="004538EE">
      <w:pPr>
        <w:spacing w:after="0"/>
        <w:jc w:val="both"/>
        <w:rPr>
          <w:color w:val="000000"/>
        </w:rPr>
      </w:pPr>
      <w:r w:rsidRPr="00BB03D8">
        <w:rPr>
          <w:color w:val="000000"/>
        </w:rPr>
        <w:t>Włączając się w międzynarodowy proces na rzecz zapobiegania zmianom klimatu, Polska ratyfikowała Konwencję w 1994 roku i Protokół z Kioto w 2002 roku</w:t>
      </w:r>
      <w:r>
        <w:rPr>
          <w:color w:val="000000"/>
        </w:rPr>
        <w:t xml:space="preserve"> </w:t>
      </w:r>
      <w:r w:rsidRPr="0044139A">
        <w:rPr>
          <w:color w:val="000000"/>
        </w:rPr>
        <w:t>[i poprawkę z Dauhy w 2018 r].</w:t>
      </w:r>
      <w:r w:rsidRPr="00BB03D8">
        <w:rPr>
          <w:color w:val="000000"/>
        </w:rPr>
        <w:t xml:space="preserve"> Tym samym kraj nasz przyjął zobowiązanie do redukcji emisji gazów cieplarnianych </w:t>
      </w:r>
      <w:r>
        <w:rPr>
          <w:color w:val="000000"/>
        </w:rPr>
        <w:t>w latach 2008-2012 o 6% w </w:t>
      </w:r>
      <w:r w:rsidRPr="00BB03D8">
        <w:rPr>
          <w:color w:val="000000"/>
        </w:rPr>
        <w:t>stosunku do roku bazowego (1988 dla głównych gazów: CO</w:t>
      </w:r>
      <w:r w:rsidRPr="00BB03D8">
        <w:rPr>
          <w:color w:val="000000"/>
          <w:vertAlign w:val="subscript"/>
        </w:rPr>
        <w:t>2</w:t>
      </w:r>
      <w:r w:rsidRPr="00BB03D8">
        <w:rPr>
          <w:color w:val="000000"/>
        </w:rPr>
        <w:t>, CH</w:t>
      </w:r>
      <w:r w:rsidRPr="00BB03D8">
        <w:rPr>
          <w:color w:val="000000"/>
          <w:vertAlign w:val="subscript"/>
        </w:rPr>
        <w:t>4</w:t>
      </w:r>
      <w:r w:rsidRPr="00BB03D8">
        <w:rPr>
          <w:color w:val="000000"/>
        </w:rPr>
        <w:t xml:space="preserve"> i N</w:t>
      </w:r>
      <w:r w:rsidRPr="00BB03D8">
        <w:rPr>
          <w:color w:val="000000"/>
          <w:vertAlign w:val="subscript"/>
        </w:rPr>
        <w:t>2</w:t>
      </w:r>
      <w:r w:rsidRPr="00BB03D8">
        <w:rPr>
          <w:color w:val="000000"/>
        </w:rPr>
        <w:t xml:space="preserve">O oraz 1995 dla gazów fluorowanych). W rzeczywistości Polska zredukowała emisję w </w:t>
      </w:r>
      <w:r>
        <w:rPr>
          <w:color w:val="000000"/>
        </w:rPr>
        <w:t>pierwszym</w:t>
      </w:r>
      <w:r w:rsidRPr="00BB03D8">
        <w:rPr>
          <w:color w:val="000000"/>
        </w:rPr>
        <w:t xml:space="preserve"> okresie </w:t>
      </w:r>
      <w:r>
        <w:rPr>
          <w:color w:val="000000"/>
        </w:rPr>
        <w:t xml:space="preserve">rozliczeniowym </w:t>
      </w:r>
      <w:r w:rsidRPr="00BB03D8">
        <w:rPr>
          <w:color w:val="000000"/>
        </w:rPr>
        <w:t>Protokołu z Kioto o 29%.</w:t>
      </w:r>
    </w:p>
    <w:p w:rsidR="004538EE" w:rsidRDefault="004538EE" w:rsidP="004538EE">
      <w:pPr>
        <w:spacing w:after="0" w:line="240" w:lineRule="auto"/>
        <w:jc w:val="both"/>
        <w:rPr>
          <w:color w:val="000000"/>
        </w:rPr>
      </w:pPr>
    </w:p>
    <w:p w:rsidR="004538EE" w:rsidRPr="0044139A" w:rsidRDefault="004538EE" w:rsidP="0044139A">
      <w:pPr>
        <w:jc w:val="both"/>
        <w:rPr>
          <w:i/>
        </w:rPr>
      </w:pPr>
      <w:r w:rsidRPr="0044139A">
        <w:rPr>
          <w:i/>
        </w:rPr>
        <w:t xml:space="preserve">Rys. </w:t>
      </w:r>
      <w:r w:rsidR="0044139A">
        <w:rPr>
          <w:i/>
        </w:rPr>
        <w:t>4.4</w:t>
      </w:r>
      <w:r w:rsidRPr="0044139A">
        <w:rPr>
          <w:i/>
        </w:rPr>
        <w:t>. Trend zagregowanej emisji gazów cieplarnianych w latach 1988-201</w:t>
      </w:r>
      <w:r w:rsidRPr="0044139A">
        <w:rPr>
          <w:rFonts w:eastAsia="Times New Roman"/>
          <w:i/>
          <w:lang w:eastAsia="pl-PL"/>
        </w:rPr>
        <w:t>5</w:t>
      </w:r>
      <w:r w:rsidRPr="0044139A">
        <w:rPr>
          <w:i/>
        </w:rPr>
        <w:t xml:space="preserve"> wraz z krajowym celem redukcyjnym </w:t>
      </w:r>
      <w:r w:rsidRPr="0044139A">
        <w:rPr>
          <w:rFonts w:eastAsia="Times New Roman"/>
          <w:i/>
          <w:lang w:eastAsia="pl-PL"/>
        </w:rPr>
        <w:t xml:space="preserve">wyznaczonym dla I okresu zobowiązań </w:t>
      </w:r>
      <w:r w:rsidRPr="0044139A">
        <w:rPr>
          <w:i/>
        </w:rPr>
        <w:t xml:space="preserve">Protokołu z Kioto (PK) na lata 2008-2012 </w:t>
      </w:r>
      <w:r w:rsidRPr="0044139A">
        <w:rPr>
          <w:i/>
        </w:rPr>
        <w:br/>
      </w:r>
      <w:r w:rsidRPr="0044139A">
        <w:rPr>
          <w:rFonts w:eastAsia="Times New Roman"/>
          <w:i/>
          <w:lang w:eastAsia="pl-PL"/>
        </w:rPr>
        <w:t>[kt CO</w:t>
      </w:r>
      <w:r w:rsidRPr="0044139A">
        <w:rPr>
          <w:rFonts w:eastAsia="Times New Roman"/>
          <w:i/>
          <w:vertAlign w:val="subscript"/>
          <w:lang w:eastAsia="pl-PL"/>
        </w:rPr>
        <w:t>2</w:t>
      </w:r>
      <w:r w:rsidRPr="0044139A">
        <w:rPr>
          <w:rFonts w:eastAsia="Times New Roman"/>
          <w:i/>
          <w:lang w:eastAsia="pl-PL"/>
        </w:rPr>
        <w:t>e]</w:t>
      </w:r>
    </w:p>
    <w:p w:rsidR="004538EE" w:rsidRDefault="004538EE" w:rsidP="004538EE">
      <w:pPr>
        <w:spacing w:after="0" w:line="240" w:lineRule="auto"/>
        <w:rPr>
          <w:color w:val="365F91"/>
        </w:rPr>
      </w:pPr>
    </w:p>
    <w:p w:rsidR="004538EE" w:rsidRDefault="004538EE" w:rsidP="004538EE">
      <w:pPr>
        <w:shd w:val="clear" w:color="auto" w:fill="FFFFFF"/>
        <w:spacing w:after="0" w:line="240" w:lineRule="auto"/>
        <w:jc w:val="both"/>
        <w:rPr>
          <w:color w:val="365F91"/>
        </w:rPr>
      </w:pPr>
      <w:r>
        <w:rPr>
          <w:noProof/>
          <w:lang w:eastAsia="pl-PL"/>
        </w:rPr>
        <mc:AlternateContent>
          <mc:Choice Requires="wpg">
            <w:drawing>
              <wp:inline distT="0" distB="0" distL="0" distR="0" wp14:anchorId="2303277B" wp14:editId="4B0E55A0">
                <wp:extent cx="5354726" cy="3394253"/>
                <wp:effectExtent l="0" t="0" r="17780" b="15875"/>
                <wp:docPr id="64" name="Grupa 7"/>
                <wp:cNvGraphicFramePr/>
                <a:graphic xmlns:a="http://schemas.openxmlformats.org/drawingml/2006/main">
                  <a:graphicData uri="http://schemas.microsoft.com/office/word/2010/wordprocessingGroup">
                    <wpg:wgp>
                      <wpg:cNvGrpSpPr/>
                      <wpg:grpSpPr>
                        <a:xfrm>
                          <a:off x="0" y="0"/>
                          <a:ext cx="5354726" cy="3394253"/>
                          <a:chOff x="85725" y="66675"/>
                          <a:chExt cx="7019925" cy="4219575"/>
                        </a:xfrm>
                      </wpg:grpSpPr>
                      <wpg:graphicFrame>
                        <wpg:cNvPr id="65" name="Wykres 65"/>
                        <wpg:cNvFrPr>
                          <a:graphicFrameLocks/>
                        </wpg:cNvFrPr>
                        <wpg:xfrm>
                          <a:off x="85725" y="66675"/>
                          <a:ext cx="7019925" cy="4219575"/>
                        </wpg:xfrm>
                        <a:graphic>
                          <a:graphicData uri="http://schemas.openxmlformats.org/drawingml/2006/chart">
                            <c:chart xmlns:c="http://schemas.openxmlformats.org/drawingml/2006/chart" xmlns:r="http://schemas.openxmlformats.org/officeDocument/2006/relationships" r:id="rId44"/>
                          </a:graphicData>
                        </a:graphic>
                      </wpg:graphicFrame>
                      <wps:wsp>
                        <wps:cNvPr id="66" name="pole tekstowe 5"/>
                        <wps:cNvSpPr txBox="1"/>
                        <wps:spPr>
                          <a:xfrm>
                            <a:off x="5114544" y="733390"/>
                            <a:ext cx="1828075" cy="5238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812649" w:rsidRDefault="00812649" w:rsidP="004538EE">
                              <w:pPr>
                                <w:pStyle w:val="NormalnyWeb"/>
                                <w:spacing w:before="0" w:beforeAutospacing="0" w:after="0" w:afterAutospacing="0"/>
                              </w:pPr>
                              <w:r>
                                <w:rPr>
                                  <w:rFonts w:asciiTheme="minorHAnsi" w:hAnsi="Calibri" w:cstheme="minorBidi"/>
                                  <w:color w:val="000000" w:themeColor="dark1"/>
                                  <w:sz w:val="18"/>
                                  <w:szCs w:val="18"/>
                                </w:rPr>
                                <w:t>cel redukcyjny I okresu zobowiązań PK dla Polski</w:t>
                              </w:r>
                            </w:p>
                          </w:txbxContent>
                        </wps:txbx>
                        <wps:bodyPr wrap="square" rtlCol="0" anchor="t"/>
                      </wps:wsp>
                    </wpg:wgp>
                  </a:graphicData>
                </a:graphic>
              </wp:inline>
            </w:drawing>
          </mc:Choice>
          <mc:Fallback>
            <w:pict>
              <v:group w14:anchorId="2303277B" id="Grupa 7" o:spid="_x0000_s1030" style="width:421.65pt;height:267.25pt;mso-position-horizontal-relative:char;mso-position-vertical-relative:line" coordorigin="857,666" coordsize="70199,4219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ykres 65" o:spid="_x0000_s1031" type="#_x0000_t75" style="position:absolute;left:777;top:590;width:70327;height:423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">
                  <v:imagedata r:id="rId45" o:title=""/>
                  <o:lock v:ext="edit" aspectratio="f"/>
                </v:shape>
                <v:shape id="pole tekstowe 5" o:spid="_x0000_s1032" type="#_x0000_t202" style="position:absolute;left:51145;top:7333;width:18281;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IRKsYA&#10;AADbAAAADwAAAGRycy9kb3ducmV2LnhtbESPQWvCQBSE7wX/w/IEL0U3zSE0qauIYJEeSpOI9PjI&#10;viah2bchu5rUX98tFDwOM/MNs95OphNXGlxrWcHTKgJBXFndcq3gVB6WzyCcR9bYWSYFP+Rgu5k9&#10;rDHTduScroWvRYCwy1BB432fSemqhgy6le2Jg/dlB4M+yKGWesAxwE0n4yhKpMGWw0KDPe0bqr6L&#10;i1Hw+JnuUmypfIvP6Tm/fVzy2+u7Uov5tHsB4Wny9/B/+6gVJAn8fQk/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IRKsYAAADbAAAADwAAAAAAAAAAAAAAAACYAgAAZHJz&#10;L2Rvd25yZXYueG1sUEsFBgAAAAAEAAQA9QAAAIsDAAAAAA==&#10;" fillcolor="white [3201]" stroked="f">
                  <v:textbox>
                    <w:txbxContent>
                      <w:p w:rsidR="00812649" w:rsidRDefault="00812649" w:rsidP="004538EE">
                        <w:pPr>
                          <w:pStyle w:val="NormalnyWeb"/>
                          <w:spacing w:before="0" w:beforeAutospacing="0" w:after="0" w:afterAutospacing="0"/>
                        </w:pPr>
                        <w:r>
                          <w:rPr>
                            <w:rFonts w:asciiTheme="minorHAnsi" w:hAnsi="Calibri" w:cstheme="minorBidi"/>
                            <w:color w:val="000000" w:themeColor="dark1"/>
                            <w:sz w:val="18"/>
                            <w:szCs w:val="18"/>
                          </w:rPr>
                          <w:t>cel redukcyjny I okresu zobowiązań PK dla Polski</w:t>
                        </w:r>
                      </w:p>
                    </w:txbxContent>
                  </v:textbox>
                </v:shape>
                <w10:anchorlock/>
              </v:group>
            </w:pict>
          </mc:Fallback>
        </mc:AlternateContent>
      </w:r>
    </w:p>
    <w:p w:rsidR="004538EE" w:rsidRPr="0044139A" w:rsidRDefault="004538EE" w:rsidP="0044139A">
      <w:pPr>
        <w:spacing w:after="0" w:line="240" w:lineRule="auto"/>
        <w:rPr>
          <w:bCs/>
          <w:i/>
          <w:sz w:val="20"/>
          <w:szCs w:val="24"/>
        </w:rPr>
      </w:pPr>
      <w:r w:rsidRPr="0044139A">
        <w:rPr>
          <w:bCs/>
          <w:i/>
          <w:sz w:val="20"/>
          <w:szCs w:val="24"/>
        </w:rPr>
        <w:t>Źródło: Krajowy Ośrodek Bilansowania i Zarządzania Emisjami, opracowanie własne.</w:t>
      </w:r>
    </w:p>
    <w:p w:rsidR="004538EE" w:rsidRPr="00E11F36" w:rsidRDefault="004538EE" w:rsidP="004538EE">
      <w:pPr>
        <w:pStyle w:val="Akapitzlist"/>
        <w:spacing w:after="0" w:line="240" w:lineRule="auto"/>
        <w:ind w:left="1080"/>
        <w:contextualSpacing w:val="0"/>
        <w:rPr>
          <w:color w:val="365F91"/>
        </w:rPr>
      </w:pPr>
    </w:p>
    <w:p w:rsidR="004538EE" w:rsidRDefault="004538EE" w:rsidP="004538EE">
      <w:pPr>
        <w:spacing w:after="0" w:line="240" w:lineRule="auto"/>
        <w:jc w:val="both"/>
        <w:rPr>
          <w:color w:val="000000"/>
        </w:rPr>
      </w:pPr>
    </w:p>
    <w:p w:rsidR="004538EE" w:rsidRPr="00BB03D8" w:rsidRDefault="004538EE" w:rsidP="004538EE">
      <w:pPr>
        <w:shd w:val="clear" w:color="auto" w:fill="FFFFFF"/>
        <w:spacing w:after="0"/>
        <w:jc w:val="both"/>
        <w:rPr>
          <w:color w:val="222222"/>
          <w:sz w:val="24"/>
          <w:u w:color="222222"/>
          <w:bdr w:val="nil"/>
        </w:rPr>
      </w:pPr>
      <w:r w:rsidRPr="00BB03D8">
        <w:rPr>
          <w:rFonts w:eastAsia="Calibri" w:cs="Calibri"/>
          <w:color w:val="000000"/>
          <w:u w:color="000000"/>
          <w:bdr w:val="nil"/>
          <w:lang w:eastAsia="pl-PL"/>
        </w:rPr>
        <w:lastRenderedPageBreak/>
        <w:t xml:space="preserve">Jednakże z uwagi na brak możliwości zapobieżenia globalnym zmianom klimatu za pomocą redukcji emisji wyłącznie przez państwa objęte Protokołem z Kioto, już w połowie pierwszej dekady XXI wieku uświadomiono sobie konieczność wynegocjowania nowego porozumienia dotyczącego wysiłków wszystkich państw na rzecz zahamowania tego zjawiska. Takim dokumentem stało się Porozumienie paryskie, przyjęte w 2015 r. </w:t>
      </w:r>
      <w:r w:rsidRPr="00BB03D8">
        <w:rPr>
          <w:rFonts w:eastAsia="Calibri" w:cs="Calibri"/>
          <w:bCs/>
          <w:color w:val="000000"/>
          <w:u w:color="000000"/>
          <w:bdr w:val="nil"/>
          <w:lang w:eastAsia="pl-PL"/>
        </w:rPr>
        <w:t xml:space="preserve">przez </w:t>
      </w:r>
      <w:r w:rsidRPr="00BB03D8">
        <w:rPr>
          <w:color w:val="000000"/>
          <w:u w:color="000000"/>
          <w:bdr w:val="nil"/>
        </w:rPr>
        <w:t xml:space="preserve">195 państw, w tym </w:t>
      </w:r>
      <w:r w:rsidRPr="00BB03D8">
        <w:rPr>
          <w:rFonts w:eastAsia="Calibri" w:cs="Calibri"/>
          <w:color w:val="000000"/>
          <w:u w:color="000000"/>
          <w:bdr w:val="nil"/>
          <w:lang w:eastAsia="pl-PL"/>
        </w:rPr>
        <w:t>Unię Europejską,</w:t>
      </w:r>
      <w:r w:rsidRPr="00BB03D8">
        <w:rPr>
          <w:color w:val="000000"/>
          <w:u w:color="000000"/>
          <w:bdr w:val="nil"/>
        </w:rPr>
        <w:t xml:space="preserve"> </w:t>
      </w:r>
      <w:r w:rsidRPr="00BB03D8">
        <w:rPr>
          <w:rFonts w:eastAsia="Calibri" w:cs="Calibri"/>
          <w:color w:val="000000"/>
          <w:u w:color="000000"/>
          <w:bdr w:val="nil"/>
          <w:lang w:eastAsia="pl-PL"/>
        </w:rPr>
        <w:t xml:space="preserve">którego celem </w:t>
      </w:r>
      <w:r w:rsidRPr="00BB03D8">
        <w:rPr>
          <w:color w:val="000000"/>
          <w:u w:color="000000"/>
          <w:bdr w:val="nil"/>
        </w:rPr>
        <w:t xml:space="preserve">jest </w:t>
      </w:r>
      <w:r w:rsidRPr="00BB03D8">
        <w:rPr>
          <w:rFonts w:eastAsia="Calibri" w:cs="Calibri"/>
          <w:color w:val="000000"/>
          <w:u w:color="000000"/>
          <w:bdr w:val="nil"/>
          <w:lang w:eastAsia="pl-PL"/>
        </w:rPr>
        <w:t>powstrzymanie</w:t>
      </w:r>
      <w:r w:rsidRPr="00BB03D8">
        <w:rPr>
          <w:color w:val="000000"/>
          <w:u w:color="000000"/>
          <w:bdr w:val="nil"/>
        </w:rPr>
        <w:t xml:space="preserve"> wzrostu średniej globalnej temperatury </w:t>
      </w:r>
      <w:r w:rsidRPr="00BB03D8">
        <w:rPr>
          <w:rFonts w:eastAsia="Calibri" w:cs="Calibri"/>
          <w:color w:val="000000"/>
          <w:u w:color="000000"/>
          <w:bdr w:val="nil"/>
          <w:lang w:eastAsia="pl-PL"/>
        </w:rPr>
        <w:t>poniżej</w:t>
      </w:r>
      <w:r w:rsidRPr="00BB03D8">
        <w:rPr>
          <w:color w:val="000000"/>
          <w:u w:color="000000"/>
          <w:bdr w:val="nil"/>
        </w:rPr>
        <w:t xml:space="preserve"> 2</w:t>
      </w:r>
      <w:r w:rsidRPr="00BB03D8">
        <w:rPr>
          <w:color w:val="000000"/>
          <w:u w:color="000000"/>
          <w:bdr w:val="nil"/>
          <w:lang w:val="it-IT"/>
        </w:rPr>
        <w:t>°</w:t>
      </w:r>
      <w:r w:rsidRPr="00BB03D8">
        <w:rPr>
          <w:color w:val="000000"/>
          <w:u w:color="000000"/>
          <w:bdr w:val="nil"/>
        </w:rPr>
        <w:t xml:space="preserve">C </w:t>
      </w:r>
      <w:r w:rsidRPr="00BB03D8">
        <w:rPr>
          <w:rFonts w:eastAsia="Calibri" w:cs="Calibri"/>
          <w:color w:val="000000"/>
          <w:u w:color="000000"/>
          <w:bdr w:val="nil"/>
          <w:lang w:eastAsia="pl-PL"/>
        </w:rPr>
        <w:t>w odniesieniu do</w:t>
      </w:r>
      <w:r w:rsidRPr="00BB03D8">
        <w:rPr>
          <w:color w:val="000000"/>
          <w:u w:color="000000"/>
          <w:bdr w:val="nil"/>
        </w:rPr>
        <w:t xml:space="preserve"> poziomu </w:t>
      </w:r>
      <w:r>
        <w:rPr>
          <w:color w:val="000000"/>
          <w:u w:color="000000"/>
          <w:bdr w:val="nil"/>
        </w:rPr>
        <w:t>poprzedzającego epokę uprzemysłowienia</w:t>
      </w:r>
      <w:r w:rsidRPr="00BB03D8">
        <w:rPr>
          <w:color w:val="000000"/>
          <w:u w:color="000000"/>
          <w:bdr w:val="nil"/>
        </w:rPr>
        <w:t xml:space="preserve">. </w:t>
      </w:r>
      <w:r w:rsidRPr="00BB03D8">
        <w:rPr>
          <w:rFonts w:eastAsia="Calibri" w:cs="Calibri"/>
          <w:color w:val="222222"/>
          <w:u w:color="222222"/>
          <w:bdr w:val="nil"/>
          <w:lang w:eastAsia="pl-PL"/>
        </w:rPr>
        <w:t>W Porozumieniu paryskim</w:t>
      </w:r>
      <w:r w:rsidRPr="00BB03D8">
        <w:rPr>
          <w:color w:val="222222"/>
          <w:u w:color="222222"/>
          <w:bdr w:val="nil"/>
        </w:rPr>
        <w:t xml:space="preserve"> </w:t>
      </w:r>
      <w:r w:rsidRPr="00BB03D8">
        <w:rPr>
          <w:rFonts w:eastAsia="Times New Roman" w:cstheme="minorHAnsi"/>
          <w:color w:val="222222"/>
          <w:lang w:eastAsia="pl-PL"/>
        </w:rPr>
        <w:t xml:space="preserve">uwzględniono popieraną przez Polskę koncepcję neutralności klimatycznej, rozumianej jako osiągnięcie równowagi między emisjami gazów cieplarnianych i ich pochłanianiem, a także neutralności technologicznej, pozwalającej </w:t>
      </w:r>
      <w:r>
        <w:rPr>
          <w:rFonts w:eastAsia="Times New Roman" w:cstheme="minorHAnsi"/>
          <w:color w:val="222222"/>
          <w:lang w:eastAsia="pl-PL"/>
        </w:rPr>
        <w:t>S</w:t>
      </w:r>
      <w:r w:rsidRPr="00BB03D8">
        <w:rPr>
          <w:rFonts w:eastAsia="Times New Roman" w:cstheme="minorHAnsi"/>
          <w:color w:val="222222"/>
          <w:lang w:eastAsia="pl-PL"/>
        </w:rPr>
        <w:t xml:space="preserve">tronom samodzielnie decydować o sposobie realizacji celu </w:t>
      </w:r>
      <w:r w:rsidRPr="00BB03D8">
        <w:rPr>
          <w:rFonts w:eastAsia="Calibri" w:cs="Calibri"/>
          <w:color w:val="222222"/>
          <w:u w:color="222222"/>
          <w:bdr w:val="nil"/>
          <w:lang w:eastAsia="pl-PL"/>
        </w:rPr>
        <w:t xml:space="preserve">Porozumienia. Strony Porozumienia będą realizowały jego cele poprzez wdrażanie zgłoszonych przez siebie do sekretariatu Konwencji wkładów, określonych na poziomie krajowym </w:t>
      </w:r>
      <w:r w:rsidRPr="00BB03D8">
        <w:rPr>
          <w:rFonts w:eastAsia="Calibri" w:cs="Calibri"/>
          <w:i/>
          <w:color w:val="222222"/>
          <w:u w:color="222222"/>
          <w:bdr w:val="nil"/>
          <w:lang w:eastAsia="pl-PL"/>
        </w:rPr>
        <w:t>(Nationally Determined Contributions).</w:t>
      </w:r>
      <w:r w:rsidRPr="00BB03D8">
        <w:rPr>
          <w:rFonts w:eastAsia="Calibri" w:cs="Calibri"/>
          <w:color w:val="222222"/>
          <w:u w:color="222222"/>
          <w:bdr w:val="nil"/>
          <w:lang w:eastAsia="pl-PL"/>
        </w:rPr>
        <w:t xml:space="preserve"> Jednocześnie dużą rolę w procesie ograniczania zmian klimatu przypisuje się podmiotom niebędącym Stronami </w:t>
      </w:r>
      <w:r w:rsidRPr="00BB03D8">
        <w:rPr>
          <w:rFonts w:eastAsia="Calibri" w:cs="Calibri"/>
          <w:i/>
          <w:color w:val="222222"/>
          <w:u w:color="222222"/>
          <w:bdr w:val="nil"/>
          <w:lang w:eastAsia="pl-PL"/>
        </w:rPr>
        <w:t>(non-state actors),</w:t>
      </w:r>
      <w:r w:rsidRPr="00BB03D8">
        <w:rPr>
          <w:rFonts w:eastAsia="Calibri" w:cs="Calibri"/>
          <w:color w:val="222222"/>
          <w:u w:color="222222"/>
          <w:bdr w:val="nil"/>
          <w:lang w:eastAsia="pl-PL"/>
        </w:rPr>
        <w:t xml:space="preserve"> zwłaszcza w okresie przed 2020 rokiem. Działania podejmowane przez te podmioty mają wspomóc dążenia globalnej społeczności do zamknięcia luki pomiędzy skumulowanymi efektami działań Stron Konwencji a poziomem redukcji koniecznym dla osiągnięcia celów zarówno samej Konwencji, jak i Porozumienia paryskiego. Polska, będąc państwem członkowskim UE, nie zgłosiła samodzielnego wkładu do Porozumienia, lecz jest stroną realizującą wspólnie z innymi państwami członkowskimi wkład zgłoszony przez Unię Europejską.</w:t>
      </w:r>
    </w:p>
    <w:p w:rsidR="004538EE" w:rsidRPr="00792D0F" w:rsidRDefault="004538EE" w:rsidP="004538EE">
      <w:pPr>
        <w:spacing w:after="0" w:line="240" w:lineRule="auto"/>
        <w:jc w:val="both"/>
      </w:pPr>
    </w:p>
    <w:p w:rsidR="004538EE" w:rsidRPr="00BB03D8" w:rsidRDefault="004538EE" w:rsidP="004538EE">
      <w:pPr>
        <w:shd w:val="clear" w:color="auto" w:fill="FFFFFF"/>
        <w:spacing w:after="0"/>
        <w:jc w:val="both"/>
        <w:rPr>
          <w:rFonts w:eastAsia="Times New Roman" w:cstheme="minorHAnsi"/>
          <w:color w:val="222222"/>
          <w:lang w:eastAsia="pl-PL"/>
        </w:rPr>
      </w:pPr>
      <w:r w:rsidRPr="00BB03D8">
        <w:rPr>
          <w:rFonts w:eastAsia="Times New Roman" w:cstheme="minorHAnsi"/>
          <w:color w:val="222222"/>
          <w:lang w:eastAsia="pl-PL"/>
        </w:rPr>
        <w:t>Podstawą unijnej polityki przeciwdziałania zmianom klimatu jest system handlu uprawnieniami do emisji (EU ETS) oraz redukcja emisji w obszarach nieobjętych EU ETS, czyli tzw. non-ETS. System EU ETS dotyczy przede wszystkim sektorów przemysłowych i energetyki, natomiast non-ETS – transportu, rolnictwa, sektora komunalno-bytowego, odpadów, a także emisji przemysłowych nieobjętych EU</w:t>
      </w:r>
      <w:r>
        <w:rPr>
          <w:rFonts w:eastAsia="Times New Roman" w:cstheme="minorHAnsi"/>
          <w:color w:val="222222"/>
          <w:lang w:eastAsia="pl-PL"/>
        </w:rPr>
        <w:t xml:space="preserve"> </w:t>
      </w:r>
      <w:r w:rsidRPr="00BB03D8">
        <w:rPr>
          <w:rFonts w:eastAsia="Times New Roman" w:cstheme="minorHAnsi"/>
          <w:color w:val="222222"/>
          <w:lang w:eastAsia="pl-PL"/>
        </w:rPr>
        <w:t xml:space="preserve">ETS. Udział wielkości emisji krajowych w Polsce, pochodzących z EU ETS i z non-ETS jest mniej więcej porównywalny, ponieważ w latach 2005-2015 emisje objęte EU ETS i non-ETS stanowiły po ok. 50% całkowitych emisji krajowych. W tym okresie wielkość emisji z EU ETS zmniejszyła się w Polsce o 3%, a z non-ETS </w:t>
      </w:r>
      <w:r>
        <w:rPr>
          <w:rFonts w:eastAsia="Times New Roman" w:cstheme="minorHAnsi"/>
          <w:color w:val="222222"/>
          <w:lang w:eastAsia="pl-PL"/>
        </w:rPr>
        <w:t xml:space="preserve">– </w:t>
      </w:r>
      <w:r w:rsidRPr="00BB03D8">
        <w:rPr>
          <w:rFonts w:eastAsia="Times New Roman" w:cstheme="minorHAnsi"/>
          <w:color w:val="222222"/>
          <w:lang w:eastAsia="pl-PL"/>
        </w:rPr>
        <w:t>o 6%. Należy nadmienić, że emisja uległa zmniejszeniu pomimo zwiększenia się zakresu instalacji w tym okresie, jakie były i są objęte EU ETS. Uwzględniono również dodatkowe gazy (NO</w:t>
      </w:r>
      <w:r w:rsidRPr="00BB03D8">
        <w:rPr>
          <w:rFonts w:eastAsia="Times New Roman" w:cstheme="minorHAnsi"/>
          <w:color w:val="222222"/>
          <w:vertAlign w:val="subscript"/>
          <w:lang w:eastAsia="pl-PL"/>
        </w:rPr>
        <w:t>2</w:t>
      </w:r>
      <w:r w:rsidRPr="00BB03D8">
        <w:rPr>
          <w:rFonts w:eastAsia="Times New Roman" w:cstheme="minorHAnsi"/>
          <w:color w:val="222222"/>
          <w:lang w:eastAsia="pl-PL"/>
        </w:rPr>
        <w:t xml:space="preserve"> i PFC w sektorze produkcji pierwotnego aluminium).</w:t>
      </w:r>
    </w:p>
    <w:p w:rsidR="004538EE" w:rsidRPr="00BB03D8" w:rsidRDefault="004538EE" w:rsidP="004538EE">
      <w:pPr>
        <w:shd w:val="clear" w:color="auto" w:fill="FFFFFF"/>
        <w:spacing w:after="0"/>
        <w:jc w:val="both"/>
        <w:rPr>
          <w:rFonts w:eastAsia="Times New Roman" w:cstheme="minorHAnsi"/>
          <w:color w:val="222222"/>
          <w:lang w:eastAsia="pl-PL"/>
        </w:rPr>
      </w:pPr>
    </w:p>
    <w:p w:rsidR="004538EE" w:rsidRPr="00DB0593" w:rsidRDefault="004538EE" w:rsidP="004538EE">
      <w:pPr>
        <w:shd w:val="clear" w:color="auto" w:fill="FFFFFF"/>
        <w:spacing w:after="0"/>
        <w:jc w:val="both"/>
        <w:rPr>
          <w:rFonts w:eastAsia="Times New Roman" w:cstheme="minorHAnsi"/>
          <w:color w:val="222222"/>
        </w:rPr>
      </w:pPr>
      <w:r w:rsidRPr="00BB03D8">
        <w:rPr>
          <w:rFonts w:eastAsia="Times New Roman" w:cstheme="minorHAnsi"/>
          <w:color w:val="222222"/>
          <w:lang w:eastAsia="pl-PL"/>
        </w:rPr>
        <w:t>W przeciwieństwie do EU ETS, który dotyczy bezpośrednio wielkości emisji z poszczególnych instalacji, wielkości emisji non-ETS określa się na poziomie państw członkowskich Unii Europejskiej. Podstawą prawną w tym zakresie jest tzw. decyzja non-ETS (ESD, Effort Sharing Decision)</w:t>
      </w:r>
      <w:r w:rsidRPr="00BB03D8">
        <w:rPr>
          <w:rStyle w:val="Odwoanieprzypisudolnego"/>
          <w:rFonts w:eastAsia="Times New Roman" w:cstheme="minorHAnsi"/>
          <w:color w:val="222222"/>
          <w:lang w:eastAsia="pl-PL"/>
        </w:rPr>
        <w:footnoteReference w:id="20"/>
      </w:r>
      <w:r w:rsidRPr="00BB03D8">
        <w:rPr>
          <w:rFonts w:eastAsia="Times New Roman" w:cstheme="minorHAnsi"/>
          <w:color w:val="222222"/>
          <w:lang w:eastAsia="pl-PL"/>
        </w:rPr>
        <w:t>. Przyznana Polsce wielkość emisji w okresie 2013-2020 wynosi +14% w stosunku do roku 2005, co oznacza, że wzrost emisji non-ETS nie może przekroczyć tego limitu, który jest tym samym krajowym celem redukcyjnym. Wszystkie państwa członkowskie UE, zgodnie ze swoimi celami redukcyjnymi, otrzymały przyznane im roczne limity emisji w sektorach non-ETS. Dotyczą one emisji krajowych, w</w:t>
      </w:r>
      <w:r>
        <w:rPr>
          <w:rFonts w:eastAsia="Times New Roman" w:cstheme="minorHAnsi"/>
          <w:color w:val="222222"/>
          <w:lang w:eastAsia="pl-PL"/>
        </w:rPr>
        <w:t> </w:t>
      </w:r>
      <w:r w:rsidRPr="00BB03D8">
        <w:rPr>
          <w:rFonts w:eastAsia="Times New Roman" w:cstheme="minorHAnsi"/>
          <w:color w:val="222222"/>
          <w:lang w:eastAsia="pl-PL"/>
        </w:rPr>
        <w:t xml:space="preserve">związku z tym sprawozdawczość i rozliczanie się z nich spoczywają na stronie rządowej. Wyniki dotychczasowego rozliczania emisji non-ETS za lata 2013-2015 oraz krajowe prognozy emisji gazów cieplarnianych, opracowane w 2015 r. na potrzeby </w:t>
      </w:r>
      <w:r w:rsidRPr="00BB03D8">
        <w:rPr>
          <w:rFonts w:eastAsia="Times New Roman" w:cstheme="minorHAnsi"/>
          <w:i/>
          <w:color w:val="222222"/>
          <w:lang w:eastAsia="pl-PL"/>
        </w:rPr>
        <w:t xml:space="preserve">Drugiego raportu </w:t>
      </w:r>
      <w:r w:rsidRPr="00DB0593">
        <w:rPr>
          <w:rFonts w:eastAsia="Times New Roman" w:cstheme="minorHAnsi"/>
          <w:i/>
          <w:color w:val="222222"/>
          <w:lang w:eastAsia="pl-PL"/>
        </w:rPr>
        <w:t xml:space="preserve">dwuletniego dla Konferencji </w:t>
      </w:r>
      <w:r w:rsidRPr="00DB0593">
        <w:rPr>
          <w:rFonts w:eastAsia="Times New Roman" w:cstheme="minorHAnsi"/>
          <w:i/>
          <w:color w:val="222222"/>
          <w:lang w:eastAsia="pl-PL"/>
        </w:rPr>
        <w:lastRenderedPageBreak/>
        <w:t>Stron Ramowej konwencji Narodów Zjednoczonych w sprawie zmian klimatu</w:t>
      </w:r>
      <w:r w:rsidRPr="00DB0593">
        <w:rPr>
          <w:rFonts w:eastAsia="Times New Roman" w:cstheme="minorHAnsi"/>
          <w:color w:val="222222"/>
          <w:lang w:eastAsia="pl-PL"/>
        </w:rPr>
        <w:t xml:space="preserve">, wskazują, że Polska osiągnie ww. cel redukcyjny z dużą nadwyżką w odniesieniu do całego okresu 2013-2020 r. </w:t>
      </w:r>
    </w:p>
    <w:p w:rsidR="004538EE" w:rsidRDefault="004538EE" w:rsidP="004538EE">
      <w:pPr>
        <w:shd w:val="clear" w:color="auto" w:fill="FFFFFF"/>
        <w:spacing w:after="0" w:line="240" w:lineRule="auto"/>
        <w:jc w:val="both"/>
        <w:rPr>
          <w:rFonts w:eastAsia="Times New Roman" w:cstheme="minorHAnsi"/>
          <w:color w:val="222222"/>
          <w:lang w:eastAsia="pl-PL"/>
        </w:rPr>
      </w:pPr>
    </w:p>
    <w:p w:rsidR="004538EE" w:rsidRPr="001763F2" w:rsidRDefault="004538EE" w:rsidP="004538EE">
      <w:pPr>
        <w:shd w:val="clear" w:color="auto" w:fill="FFFFFF"/>
        <w:spacing w:after="0" w:line="240" w:lineRule="auto"/>
        <w:jc w:val="both"/>
        <w:rPr>
          <w:rFonts w:eastAsia="Times New Roman" w:cstheme="minorHAnsi"/>
          <w:color w:val="222222"/>
          <w:lang w:eastAsia="pl-PL"/>
        </w:rPr>
      </w:pPr>
      <w:r w:rsidRPr="0044139A">
        <w:rPr>
          <w:i/>
          <w:noProof/>
          <w:lang w:eastAsia="pl-PL"/>
        </w:rPr>
        <w:drawing>
          <wp:anchor distT="0" distB="0" distL="114300" distR="114300" simplePos="0" relativeHeight="251670528" behindDoc="0" locked="0" layoutInCell="1" allowOverlap="1" wp14:anchorId="7FF7C0F3" wp14:editId="5EB224B5">
            <wp:simplePos x="0" y="0"/>
            <wp:positionH relativeFrom="column">
              <wp:posOffset>594360</wp:posOffset>
            </wp:positionH>
            <wp:positionV relativeFrom="paragraph">
              <wp:posOffset>645795</wp:posOffset>
            </wp:positionV>
            <wp:extent cx="4572000" cy="2743200"/>
            <wp:effectExtent l="0" t="0" r="0" b="0"/>
            <wp:wrapTopAndBottom/>
            <wp:docPr id="70" name="Wykres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44139A">
        <w:rPr>
          <w:rFonts w:eastAsia="Times New Roman" w:cstheme="minorHAnsi"/>
          <w:i/>
          <w:color w:val="222222"/>
          <w:lang w:eastAsia="pl-PL"/>
        </w:rPr>
        <w:t xml:space="preserve">Rys. </w:t>
      </w:r>
      <w:r w:rsidR="0044139A">
        <w:rPr>
          <w:rFonts w:eastAsia="Times New Roman" w:cstheme="minorHAnsi"/>
          <w:i/>
          <w:color w:val="222222"/>
          <w:lang w:eastAsia="pl-PL"/>
        </w:rPr>
        <w:t>4.5.</w:t>
      </w:r>
      <w:r w:rsidRPr="0044139A">
        <w:rPr>
          <w:rFonts w:eastAsia="Times New Roman" w:cstheme="minorHAnsi"/>
          <w:i/>
          <w:color w:val="222222"/>
          <w:lang w:eastAsia="pl-PL"/>
        </w:rPr>
        <w:t xml:space="preserve"> Różnica emisji w sektorach non-ETS w Polsce w latach 2013-2015 oraz prognozowana dla lat 2016-2020 względem przyznanych rocznych limitów emisji. Wartości ujemne oznaczają krajową nadwyżkę w osiąganiu celu redukcyjnego [kt CO</w:t>
      </w:r>
      <w:r w:rsidRPr="0044139A">
        <w:rPr>
          <w:rFonts w:eastAsia="Times New Roman" w:cstheme="minorHAnsi"/>
          <w:i/>
          <w:color w:val="222222"/>
          <w:vertAlign w:val="subscript"/>
          <w:lang w:eastAsia="pl-PL"/>
        </w:rPr>
        <w:t>2</w:t>
      </w:r>
      <w:r w:rsidRPr="0044139A">
        <w:rPr>
          <w:rFonts w:eastAsia="Times New Roman" w:cstheme="minorHAnsi"/>
          <w:i/>
          <w:color w:val="222222"/>
          <w:lang w:eastAsia="pl-PL"/>
        </w:rPr>
        <w:t>e]</w:t>
      </w:r>
      <w:r w:rsidRPr="001763F2">
        <w:rPr>
          <w:rFonts w:eastAsia="Times New Roman" w:cstheme="minorHAnsi"/>
          <w:i/>
          <w:color w:val="222222"/>
          <w:lang w:eastAsia="pl-PL"/>
        </w:rPr>
        <w:t>.</w:t>
      </w:r>
    </w:p>
    <w:p w:rsidR="004538EE" w:rsidRDefault="004538EE" w:rsidP="004538EE">
      <w:pPr>
        <w:pStyle w:val="Akapitzlist"/>
        <w:rPr>
          <w:b/>
          <w:sz w:val="20"/>
        </w:rPr>
      </w:pPr>
    </w:p>
    <w:p w:rsidR="004538EE" w:rsidRDefault="004538EE" w:rsidP="0044139A">
      <w:pPr>
        <w:spacing w:after="0" w:line="240" w:lineRule="auto"/>
        <w:rPr>
          <w:bCs/>
          <w:i/>
          <w:sz w:val="20"/>
          <w:szCs w:val="24"/>
        </w:rPr>
      </w:pPr>
      <w:r w:rsidRPr="0044139A">
        <w:rPr>
          <w:bCs/>
          <w:i/>
          <w:sz w:val="20"/>
          <w:szCs w:val="24"/>
        </w:rPr>
        <w:t>Źródło: Krajowy Ośrodek Bilansowania i Zarządzania Emisjami, opracowanie własne.</w:t>
      </w:r>
    </w:p>
    <w:p w:rsidR="0044139A" w:rsidRPr="0044139A" w:rsidRDefault="0044139A" w:rsidP="0044139A">
      <w:pPr>
        <w:spacing w:after="0" w:line="240" w:lineRule="auto"/>
        <w:rPr>
          <w:bCs/>
          <w:i/>
          <w:sz w:val="20"/>
          <w:szCs w:val="24"/>
        </w:rPr>
      </w:pPr>
    </w:p>
    <w:p w:rsidR="004538EE" w:rsidRPr="00BB03D8" w:rsidRDefault="004538EE" w:rsidP="004538EE">
      <w:pPr>
        <w:shd w:val="clear" w:color="auto" w:fill="FFFFFF"/>
        <w:spacing w:after="0"/>
        <w:jc w:val="both"/>
        <w:rPr>
          <w:rFonts w:eastAsia="Times New Roman" w:cstheme="minorHAnsi"/>
          <w:color w:val="222222"/>
          <w:lang w:eastAsia="pl-PL"/>
        </w:rPr>
      </w:pPr>
      <w:r w:rsidRPr="00BB03D8">
        <w:rPr>
          <w:rFonts w:eastAsia="Times New Roman" w:cstheme="minorHAnsi"/>
          <w:color w:val="222222"/>
          <w:lang w:eastAsia="pl-PL"/>
        </w:rPr>
        <w:t>W chwili obecnej polityka europejska w zakresie przeciwdziałania zmianom klimatu skupia się wyłącznie na redukcji emisji gazów cieplarnianych, podczas gdy potrzebne jest szersze podejście do tej kwestii, obejmujące również pochłanianie CO</w:t>
      </w:r>
      <w:r w:rsidRPr="00BB03D8">
        <w:rPr>
          <w:rFonts w:eastAsia="Times New Roman" w:cstheme="minorHAnsi"/>
          <w:color w:val="222222"/>
          <w:vertAlign w:val="subscript"/>
          <w:lang w:eastAsia="pl-PL"/>
        </w:rPr>
        <w:t>2</w:t>
      </w:r>
      <w:r w:rsidRPr="00BB03D8">
        <w:rPr>
          <w:rFonts w:eastAsia="Times New Roman" w:cstheme="minorHAnsi"/>
          <w:color w:val="222222"/>
          <w:lang w:eastAsia="pl-PL"/>
        </w:rPr>
        <w:t>, w</w:t>
      </w:r>
      <w:r>
        <w:rPr>
          <w:rFonts w:eastAsia="Times New Roman" w:cstheme="minorHAnsi"/>
          <w:color w:val="222222"/>
          <w:lang w:eastAsia="pl-PL"/>
        </w:rPr>
        <w:t xml:space="preserve"> </w:t>
      </w:r>
      <w:r w:rsidRPr="00BB03D8">
        <w:rPr>
          <w:rFonts w:eastAsia="Times New Roman" w:cstheme="minorHAnsi"/>
          <w:color w:val="222222"/>
          <w:lang w:eastAsia="pl-PL"/>
        </w:rPr>
        <w:t>szczególności przez lasy. Wdrażaniu polityki klimatyczno-energetycznej UE ma pomóc m.in. pakiet legislacyjny dotyczący sektora non-ETS oraz uwzględnienia sektora LULUCF w realizacji celów unijnej polityki energetyczno-klimatycznej (COM(2016)479 oraz COM(2016)482). Dopiero takie podejście pozwoli na efektywne, szybkie i racjonalne kosztowo ograniczenie wzrostu stężenia CO</w:t>
      </w:r>
      <w:r w:rsidRPr="00BB03D8">
        <w:rPr>
          <w:rFonts w:eastAsia="Times New Roman" w:cstheme="minorHAnsi"/>
          <w:color w:val="222222"/>
          <w:vertAlign w:val="subscript"/>
          <w:lang w:eastAsia="pl-PL"/>
        </w:rPr>
        <w:t>2</w:t>
      </w:r>
      <w:r w:rsidRPr="00BB03D8">
        <w:rPr>
          <w:rFonts w:eastAsia="Times New Roman" w:cstheme="minorHAnsi"/>
          <w:color w:val="222222"/>
          <w:lang w:eastAsia="pl-PL"/>
        </w:rPr>
        <w:t xml:space="preserve"> w atmosferze i realizację celów międzynarodowych. </w:t>
      </w:r>
      <w:r w:rsidRPr="00BB03D8">
        <w:rPr>
          <w:rFonts w:eastAsia="Calibri" w:cs="Calibri"/>
          <w:color w:val="222222"/>
          <w:u w:color="222222"/>
          <w:bdr w:val="nil"/>
          <w:lang w:eastAsia="pl-PL"/>
        </w:rPr>
        <w:t>Od 2020 roku UE obejmie wspólnym podejś</w:t>
      </w:r>
      <w:r>
        <w:rPr>
          <w:rFonts w:eastAsia="Calibri" w:cs="Calibri"/>
          <w:color w:val="222222"/>
          <w:u w:color="222222"/>
          <w:bdr w:val="nil"/>
          <w:lang w:eastAsia="pl-PL"/>
        </w:rPr>
        <w:t>ciem również mitygację emisji z </w:t>
      </w:r>
      <w:r w:rsidRPr="00BB03D8">
        <w:rPr>
          <w:rFonts w:eastAsia="Calibri" w:cs="Calibri"/>
          <w:color w:val="222222"/>
          <w:u w:color="222222"/>
          <w:bdr w:val="nil"/>
          <w:lang w:eastAsia="pl-PL"/>
        </w:rPr>
        <w:t>sektora LULUCF</w:t>
      </w:r>
      <w:r w:rsidRPr="00BB03D8">
        <w:rPr>
          <w:rStyle w:val="Odwoanieprzypisudolnego"/>
          <w:rFonts w:eastAsia="Calibri" w:cs="Calibri"/>
          <w:color w:val="222222"/>
          <w:u w:color="222222"/>
          <w:bdr w:val="nil"/>
          <w:lang w:eastAsia="pl-PL"/>
        </w:rPr>
        <w:footnoteReference w:id="21"/>
      </w:r>
      <w:r w:rsidRPr="00BB03D8">
        <w:rPr>
          <w:rFonts w:eastAsia="Calibri" w:cs="Calibri"/>
          <w:color w:val="222222"/>
          <w:u w:color="222222"/>
          <w:bdr w:val="nil"/>
          <w:lang w:eastAsia="pl-PL"/>
        </w:rPr>
        <w:t xml:space="preserve">, zapewniając połączenie tych działań z wysiłkami podejmowanymi w pozostałych sektorach nieobjętych systemem handlu uprawnieniami do emisji. </w:t>
      </w:r>
      <w:r>
        <w:rPr>
          <w:rFonts w:eastAsia="Times New Roman" w:cstheme="minorHAnsi"/>
          <w:color w:val="222222"/>
          <w:lang w:eastAsia="pl-PL"/>
        </w:rPr>
        <w:t>Polska posiada duży potencjał w </w:t>
      </w:r>
      <w:r w:rsidRPr="00BB03D8">
        <w:rPr>
          <w:rFonts w:eastAsia="Times New Roman" w:cstheme="minorHAnsi"/>
          <w:color w:val="222222"/>
          <w:lang w:eastAsia="pl-PL"/>
        </w:rPr>
        <w:t xml:space="preserve">ograniczaniu </w:t>
      </w:r>
      <w:r>
        <w:rPr>
          <w:rFonts w:eastAsia="Times New Roman" w:cstheme="minorHAnsi"/>
          <w:color w:val="222222"/>
          <w:lang w:eastAsia="pl-PL"/>
        </w:rPr>
        <w:t>stężenia</w:t>
      </w:r>
      <w:r w:rsidRPr="00BB03D8">
        <w:rPr>
          <w:rFonts w:eastAsia="Times New Roman" w:cstheme="minorHAnsi"/>
          <w:color w:val="222222"/>
          <w:lang w:eastAsia="pl-PL"/>
        </w:rPr>
        <w:t xml:space="preserve"> CO</w:t>
      </w:r>
      <w:r w:rsidRPr="00BB03D8">
        <w:rPr>
          <w:rFonts w:eastAsia="Times New Roman" w:cstheme="minorHAnsi"/>
          <w:color w:val="222222"/>
          <w:vertAlign w:val="subscript"/>
          <w:lang w:eastAsia="pl-PL"/>
        </w:rPr>
        <w:t>2</w:t>
      </w:r>
      <w:r w:rsidRPr="00BB03D8">
        <w:rPr>
          <w:rFonts w:eastAsia="Times New Roman" w:cstheme="minorHAnsi"/>
          <w:color w:val="222222"/>
          <w:lang w:eastAsia="pl-PL"/>
        </w:rPr>
        <w:t xml:space="preserve"> w </w:t>
      </w:r>
      <w:r>
        <w:rPr>
          <w:rFonts w:eastAsia="Times New Roman" w:cstheme="minorHAnsi"/>
          <w:color w:val="222222"/>
          <w:lang w:eastAsia="pl-PL"/>
        </w:rPr>
        <w:t xml:space="preserve">atmosferze, </w:t>
      </w:r>
      <w:r w:rsidRPr="00BB03D8">
        <w:rPr>
          <w:rFonts w:eastAsia="Times New Roman" w:cstheme="minorHAnsi"/>
          <w:color w:val="222222"/>
          <w:lang w:eastAsia="pl-PL"/>
        </w:rPr>
        <w:t xml:space="preserve">m.in. </w:t>
      </w:r>
      <w:r>
        <w:rPr>
          <w:rFonts w:eastAsia="Times New Roman" w:cstheme="minorHAnsi"/>
          <w:color w:val="222222"/>
          <w:lang w:eastAsia="pl-PL"/>
        </w:rPr>
        <w:t>poprzez</w:t>
      </w:r>
      <w:r w:rsidRPr="00BB03D8">
        <w:rPr>
          <w:rFonts w:eastAsia="Times New Roman" w:cstheme="minorHAnsi"/>
          <w:color w:val="222222"/>
          <w:lang w:eastAsia="pl-PL"/>
        </w:rPr>
        <w:t xml:space="preserve"> wykorzystanie potencjału lasów (pochłanianie 30,6 mln ton CO</w:t>
      </w:r>
      <w:r w:rsidRPr="00BB03D8">
        <w:rPr>
          <w:rFonts w:eastAsia="Times New Roman" w:cstheme="minorHAnsi"/>
          <w:color w:val="222222"/>
          <w:vertAlign w:val="subscript"/>
          <w:lang w:eastAsia="pl-PL"/>
        </w:rPr>
        <w:t>2</w:t>
      </w:r>
      <w:r w:rsidRPr="00BB03D8">
        <w:rPr>
          <w:rFonts w:eastAsia="Times New Roman" w:cstheme="minorHAnsi"/>
          <w:color w:val="222222"/>
          <w:lang w:eastAsia="pl-PL"/>
        </w:rPr>
        <w:t xml:space="preserve"> rocznie z gruntów leśnych) oraz wdrożenie projektów rozwojowych, takich jak pilotażowy projekt Leśnych Gospodarstw Węglowych. </w:t>
      </w:r>
    </w:p>
    <w:p w:rsidR="004538EE" w:rsidRDefault="004538EE" w:rsidP="004538EE">
      <w:pPr>
        <w:shd w:val="clear" w:color="auto" w:fill="FFFFFF"/>
        <w:spacing w:after="0" w:line="240" w:lineRule="auto"/>
        <w:jc w:val="both"/>
        <w:rPr>
          <w:rFonts w:eastAsia="Times New Roman" w:cstheme="minorHAnsi"/>
          <w:color w:val="222222"/>
          <w:lang w:eastAsia="pl-PL"/>
        </w:rPr>
      </w:pPr>
    </w:p>
    <w:p w:rsidR="004538EE" w:rsidRPr="003B1DFB" w:rsidRDefault="004538EE" w:rsidP="003B1DFB">
      <w:pPr>
        <w:pStyle w:val="Nagwek2"/>
      </w:pPr>
      <w:bookmarkStart w:id="40" w:name="_Toc505604921"/>
      <w:bookmarkStart w:id="41" w:name="_Toc505605314"/>
      <w:r w:rsidRPr="003B1DFB">
        <w:t>Zmiany klimatu i ich skutki</w:t>
      </w:r>
      <w:bookmarkEnd w:id="40"/>
      <w:bookmarkEnd w:id="41"/>
    </w:p>
    <w:p w:rsidR="004538EE" w:rsidRPr="00B77D7C" w:rsidRDefault="004538EE" w:rsidP="004538EE">
      <w:pPr>
        <w:jc w:val="both"/>
      </w:pPr>
      <w:r w:rsidRPr="00B77D7C">
        <w:t xml:space="preserve">Pojęcie zmiany klimatu odnosi się do takich zmian stanu klimatu, które utrzymują się przez dłuższy okres, najczęściej dziesięciolecia lub dłużej, i mogą zostać zidentyfikowane jako zmiany wartości </w:t>
      </w:r>
      <w:r w:rsidRPr="00B77D7C">
        <w:lastRenderedPageBreak/>
        <w:t>średnich i/lub zmienności jego elementów. Dotyczy to każdej zmiany klimatu w czasie, niezależnie od tego czy wynika ona z naturalnej zmienności, czy też z działalności ludzkiej.</w:t>
      </w:r>
      <w:r w:rsidR="0044139A">
        <w:rPr>
          <w:rStyle w:val="Odwoanieprzypisudolnego"/>
        </w:rPr>
        <w:footnoteReference w:id="22"/>
      </w:r>
    </w:p>
    <w:p w:rsidR="004538EE" w:rsidRPr="00B77D7C" w:rsidRDefault="004538EE" w:rsidP="004538EE">
      <w:pPr>
        <w:jc w:val="both"/>
      </w:pPr>
      <w:r w:rsidRPr="00B77D7C">
        <w:rPr>
          <w:bCs/>
        </w:rPr>
        <w:t xml:space="preserve">Ocieplanie się klimatu jest wyraźne, szczególnie od 1950 roku wiele obserwowanych zmian zachodzi </w:t>
      </w:r>
      <w:r w:rsidRPr="00B77D7C">
        <w:rPr>
          <w:bCs/>
        </w:rPr>
        <w:br/>
        <w:t xml:space="preserve">w skali niespotykanej od dziesięcioleci czy wręcz tysiącleci. Przejawem globalnego ocieplenia jest wzrost średniej globalnej temperatury powietrza i temperatury oceanów, powszechne topnienie śniegu i lodu, oraz podnoszenie się globalnego średniego poziomu morza. </w:t>
      </w:r>
      <w:r w:rsidRPr="00B77D7C">
        <w:t>Szczególnie ciepłym okresem okazało się ostatnie 30 lat w serii pomiarów instrumentalnych.</w:t>
      </w:r>
      <w:r w:rsidRPr="00B77D7C">
        <w:rPr>
          <w:vertAlign w:val="superscript"/>
        </w:rPr>
        <w:t xml:space="preserve"> </w:t>
      </w:r>
      <w:r w:rsidR="0044139A">
        <w:rPr>
          <w:rStyle w:val="Odwoanieprzypisudolnego"/>
        </w:rPr>
        <w:footnoteReference w:id="23"/>
      </w:r>
    </w:p>
    <w:p w:rsidR="004538EE" w:rsidRPr="00B77D7C" w:rsidRDefault="004538EE" w:rsidP="004538EE">
      <w:pPr>
        <w:jc w:val="both"/>
      </w:pPr>
      <w:r w:rsidRPr="00B77D7C">
        <w:t xml:space="preserve">Zdaniem badaczy z programu Copernicus rok 2016 był najcieplejszym w historii pomiarów. Obserwacje przeprowadzone przez  badaczy amerykańskiej Narodowej Administracji ds. Oceanów </w:t>
      </w:r>
      <w:r w:rsidR="00495683">
        <w:br/>
      </w:r>
      <w:r w:rsidRPr="00B77D7C">
        <w:t xml:space="preserve">i Atmosfery (NOAA) oraz NASA wykazały, że w 2016 roku temperatura powietrza była wyższa o 0,07 stopnia Celsjusza niż w roku poprzednim. Temperatura wzrosła o niecały stopień w porównaniu do średniej z całego XX wieku. Potwierdziła to również Światowa Organizacja Meteorologiczna (WMO), która analizuje dane z różnych źródeł. Przyczyną był wzrost emisji dwutlenku węgla i wyjątkowo silne El Niño, czyli zjawisko pogodowe polegające na utrzymywaniu się wysokiej temperatury wody </w:t>
      </w:r>
      <w:r w:rsidR="00495683">
        <w:br/>
      </w:r>
      <w:r w:rsidRPr="00B77D7C">
        <w:t xml:space="preserve">w strefie równikowej. Najgorętszym miesiącem w historii pomiarów okazał się być lipiec 2016 roku. Naukowcy zauważają, że wyjątkową sytuacją jest fakt, iż najgorętszy rok przypada już trzeci raz </w:t>
      </w:r>
      <w:r w:rsidR="00495683">
        <w:br/>
      </w:r>
      <w:r w:rsidRPr="00B77D7C">
        <w:t>z rzędu. W całym okresie prowadzenia pomiarów temperatury, czyli od końca XIX wieku, na 16 najgorętszych lat, aż 15 wystąpiło po 2001 roku.</w:t>
      </w:r>
    </w:p>
    <w:p w:rsidR="004538EE" w:rsidRPr="00B77D7C" w:rsidRDefault="004538EE" w:rsidP="004538EE">
      <w:pPr>
        <w:jc w:val="both"/>
      </w:pPr>
      <w:r w:rsidRPr="00B77D7C">
        <w:t xml:space="preserve">Wraz z ociepleniem podniósł się też globalny poziom mórz. Powierzchnia pokrywy śnieżnej zmniejszyła się na obu półkulach, zwłaszcza wiosną i latem a także wyraźnie skrócił się okres jej zalegania. W skali kontynentalnej i regionalnej widoczne są również zmiany innych elementów klimatu, takich jak wysokość i rozkład opadów. Długookresowa tendencja zmian wysokości opadów atmosferycznych zaznaczyła się na wielu dużych obszarach, choć zmiany te są bardzo zróżnicowane przestrzennie i czasowo. Globalne ocieplenie pociąga za sobą zwiększone prawdopodobieństwo wystąpienia ekstremalnych zjawisk pogodowych. Dalsze ocieplenie może spowodować straty sięgające miliardów euro rocznie i będzie miało wpływ na dostęp do wody pitnej i plonów </w:t>
      </w:r>
      <w:r w:rsidR="00495683">
        <w:br/>
      </w:r>
      <w:r w:rsidRPr="00B77D7C">
        <w:t>w najbardziej narażonych krajach.</w:t>
      </w:r>
    </w:p>
    <w:p w:rsidR="004538EE" w:rsidRPr="00B77D7C" w:rsidRDefault="004538EE" w:rsidP="004538EE">
      <w:pPr>
        <w:jc w:val="both"/>
        <w:rPr>
          <w:rFonts w:cstheme="majorHAnsi"/>
        </w:rPr>
      </w:pPr>
      <w:r w:rsidRPr="00B77D7C">
        <w:t xml:space="preserve">W Polsce również obserwowane są zmiany klimatu, których przejawami są przede wszystkim: wzrost średniej rocznej temperatury powietrza, zmiana struktury opadów atmosferycznych oraz zwiększenie częstości występowania zjawisk ekstremalnych. </w:t>
      </w:r>
      <w:r w:rsidRPr="00B77D7C">
        <w:rPr>
          <w:rFonts w:cstheme="majorHAnsi"/>
        </w:rPr>
        <w:t xml:space="preserve">We wszystkich porach roku obserwowany jest wzrost temperatury powietrza, z tym że zdecydowanie silniejszy jest w zimie. </w:t>
      </w:r>
      <w:r w:rsidRPr="00B77D7C">
        <w:t xml:space="preserve">Obserwowana jest również zmiana struktury opadów. </w:t>
      </w:r>
      <w:r w:rsidRPr="00B77D7C">
        <w:rPr>
          <w:rFonts w:cstheme="majorHAnsi"/>
        </w:rPr>
        <w:t xml:space="preserve">Zjawiskiem powszechnym, uwidaczniającym się na większości obszaru kraju, jest tendencja do wzrostu opadów w sezonach wiosennym i jesiennym oraz malejący udział opadów letnich w sumie rocznej.  Dużym i często bagatelizowanym problemem jest występowanie suszy w Polsce. Tymczasem, susza może być znacznie niebezpieczniejsza od powodzi, bo jej skutki </w:t>
      </w:r>
      <w:r w:rsidRPr="00B77D7C">
        <w:t>mogą trwać wiele lat</w:t>
      </w:r>
      <w:r w:rsidRPr="00B77D7C">
        <w:rPr>
          <w:rFonts w:cstheme="majorHAnsi"/>
        </w:rPr>
        <w:t xml:space="preserve">. Wg danych IUNG ostatnim rokiem, w którym nie zanotowano w Polsce suszy, był rok 1980. Susze są "ogromne", tak jak to było w roku 2006, 2008, 2015, 2016. Pomiędzy zaś tymi </w:t>
      </w:r>
      <w:r w:rsidRPr="00B77D7C">
        <w:rPr>
          <w:rFonts w:cstheme="majorHAnsi"/>
        </w:rPr>
        <w:lastRenderedPageBreak/>
        <w:t xml:space="preserve">klęskowymi latami występują susze mniejsze. W przeciwdziałaniu skutkom suszy istotna jest mała retencja, czyli </w:t>
      </w:r>
      <w:r w:rsidRPr="00B77D7C">
        <w:t>np. sadzenie lasów czy tworzenie oczek wodnych, które przeciwdziałają stepowieniu terenów i obniżaniu się wód gruntowych</w:t>
      </w:r>
      <w:r w:rsidRPr="00B77D7C">
        <w:rPr>
          <w:rFonts w:cstheme="majorHAnsi"/>
        </w:rPr>
        <w:t xml:space="preserve">. Powstająca w Polsce infrastruktura hydrotechniczna jest bardziej ukierunkowana na przeciwdziałanie powodziom, a niekoniecznie suszom. </w:t>
      </w:r>
      <w:r w:rsidR="00495683">
        <w:rPr>
          <w:rFonts w:cstheme="majorHAnsi"/>
        </w:rPr>
        <w:br/>
      </w:r>
      <w:r w:rsidRPr="00B77D7C">
        <w:rPr>
          <w:rFonts w:cstheme="majorHAnsi"/>
        </w:rPr>
        <w:t>W przeciwdziałaniu suszom istotne są nie tylko suche zbiorniki czy poldery, czy wielofunkcyjne mokre zbiorniki (magazynujące wodę), z których w trakcie suszy można zasilać wodą np. kanały melioracyjne. Istotną rolę odgrywa również alimentacja wody na cele socjalno-bytowe.</w:t>
      </w:r>
    </w:p>
    <w:p w:rsidR="004538EE" w:rsidRPr="00B77D7C" w:rsidRDefault="004538EE" w:rsidP="004538EE">
      <w:pPr>
        <w:autoSpaceDE w:val="0"/>
        <w:autoSpaceDN w:val="0"/>
        <w:adjustRightInd w:val="0"/>
        <w:spacing w:after="0"/>
        <w:jc w:val="both"/>
        <w:rPr>
          <w:rFonts w:cstheme="majorHAnsi"/>
        </w:rPr>
      </w:pPr>
      <w:r w:rsidRPr="00B77D7C">
        <w:rPr>
          <w:rFonts w:cstheme="majorHAnsi"/>
        </w:rPr>
        <w:t>Powódź jest jednym z głównych zagrożeń naturalnych występujących w Polsce, które w pewnych okolicznościach może przybierać znamiona kataklizmu. Długookresowe prognozy zmian klimatu wskazują na nasilanie się częstotliwości i skali tego typu zjawisk. Istnieje szereg czynników wpływających na zmiany ryzyka powodziowego. Są to zarówno zmiany częstotliwości, intensywności, i rozkładu czasowego opadów</w:t>
      </w:r>
      <w:r w:rsidRPr="00B77D7C">
        <w:t xml:space="preserve"> </w:t>
      </w:r>
      <w:r w:rsidRPr="00B77D7C">
        <w:rPr>
          <w:rFonts w:cstheme="majorHAnsi"/>
        </w:rPr>
        <w:t xml:space="preserve">atmosferycznych oraz redukcja pokrywy śnieżnej towarzysząca ociepleniu, jak i  zmiany użytkowania terenu, ewolucja systemów zabezpieczenia przed powodzią, oraz wzrost potencjału strat powodziowych. </w:t>
      </w:r>
    </w:p>
    <w:p w:rsidR="004538EE" w:rsidRPr="00B77D7C" w:rsidRDefault="004538EE" w:rsidP="004538EE">
      <w:pPr>
        <w:autoSpaceDE w:val="0"/>
        <w:autoSpaceDN w:val="0"/>
        <w:adjustRightInd w:val="0"/>
        <w:spacing w:after="0"/>
        <w:jc w:val="both"/>
        <w:rPr>
          <w:rFonts w:cstheme="majorHAnsi"/>
        </w:rPr>
      </w:pPr>
      <w:r w:rsidRPr="00B77D7C">
        <w:rPr>
          <w:rFonts w:cstheme="majorHAnsi"/>
        </w:rPr>
        <w:t xml:space="preserve">Do największych powodzi na terenie naszego kraju zaliczyć trzeba „Powódź tysiąclecia” która nawiedziła w lipcu 1997 roku południową i zachodnią Polskę oraz kraje sąsiadujące. Woda dokonała znacznych zniszczeń w zabudowaniach mieszkalnych i infrastrukturze drogowej.  Na terenie Polski zginęło 56 osób a straty materialne szacowane były na około 12 mld złotych. Ogromne straty popowodziowe rozpoczęły ogólnokrajowa dyskusję o niebezpieczeństwie budowania domów na terenach zalewowych oraz o szkodliwym wpływie regulacji rzek.  </w:t>
      </w:r>
    </w:p>
    <w:p w:rsidR="004538EE" w:rsidRPr="00B77D7C" w:rsidRDefault="004538EE" w:rsidP="004538EE">
      <w:pPr>
        <w:autoSpaceDE w:val="0"/>
        <w:autoSpaceDN w:val="0"/>
        <w:adjustRightInd w:val="0"/>
        <w:spacing w:after="0"/>
        <w:jc w:val="both"/>
        <w:rPr>
          <w:rFonts w:cstheme="majorHAnsi"/>
        </w:rPr>
      </w:pPr>
      <w:r w:rsidRPr="00B77D7C">
        <w:rPr>
          <w:rFonts w:cstheme="majorHAnsi"/>
        </w:rPr>
        <w:t>Kolejną były powodzie, które nawiedziły  Polskę w maju i czerwcu 2010 r. gdzie straty poniosło 811 gmin. Powódź zniszczyła 18 tys. budynków mieszkalnych oraz  uszkodziła ponad 10 tys. km dróg i wiele innych.. W wyniku powodzi poszkodowanych zostało ponad 105 tys. gospodarstw rolnych. Województwami, które zostały najbardziej poszkodowane przez powodzie w 2010 r. są między innymi: małopolskie, podkarpackie, śląskie, świętokrzyskie, opolskie oraz lubelskie. Straty jakie spowodowała sięgają ok  12,2 mld zł (łącznie ze stratami w rolnictwie).Wartość ta przekroczyła 0,6% PKB za 2009 rok, co pozwoliło przedłożyć Komisji Europejskiej wniosek o finansowanie szkód powstałych podczas powodzi w 2010 r.</w:t>
      </w:r>
    </w:p>
    <w:p w:rsidR="004538EE" w:rsidRPr="00B77D7C" w:rsidRDefault="004538EE" w:rsidP="004538EE">
      <w:pPr>
        <w:autoSpaceDE w:val="0"/>
        <w:autoSpaceDN w:val="0"/>
        <w:adjustRightInd w:val="0"/>
        <w:spacing w:after="0"/>
        <w:jc w:val="both"/>
        <w:rPr>
          <w:rFonts w:cstheme="majorHAnsi"/>
        </w:rPr>
      </w:pPr>
    </w:p>
    <w:p w:rsidR="004538EE" w:rsidRPr="00B77D7C" w:rsidRDefault="004538EE" w:rsidP="004538EE">
      <w:pPr>
        <w:autoSpaceDE w:val="0"/>
        <w:autoSpaceDN w:val="0"/>
        <w:adjustRightInd w:val="0"/>
        <w:spacing w:after="0"/>
        <w:jc w:val="both"/>
      </w:pPr>
      <w:r w:rsidRPr="00B77D7C">
        <w:rPr>
          <w:rFonts w:cstheme="majorHAnsi"/>
        </w:rPr>
        <w:t>Wśród zjawisk naturalnych niekorzystnych i uciążliwych dla ludności, środowiska i gospodarki należy wymienić pojawianie się, szczególnie od lat 90-tych, dotkliwych fal upałów</w:t>
      </w:r>
      <w:r w:rsidRPr="00B77D7C">
        <w:rPr>
          <w:rStyle w:val="Odwoanieprzypisudolnego"/>
          <w:rFonts w:cstheme="majorHAnsi"/>
        </w:rPr>
        <w:footnoteReference w:id="24"/>
      </w:r>
      <w:r w:rsidRPr="00B77D7C">
        <w:rPr>
          <w:rFonts w:cstheme="majorHAnsi"/>
        </w:rPr>
        <w:t xml:space="preserve"> i dni upalnych</w:t>
      </w:r>
      <w:r w:rsidRPr="00B77D7C">
        <w:rPr>
          <w:rStyle w:val="Odwoanieprzypisudolnego"/>
          <w:rFonts w:cstheme="majorHAnsi"/>
        </w:rPr>
        <w:footnoteReference w:id="25"/>
      </w:r>
      <w:r w:rsidRPr="00B77D7C">
        <w:rPr>
          <w:rFonts w:cstheme="majorHAnsi"/>
        </w:rPr>
        <w:t>, najczęściej występujących</w:t>
      </w:r>
      <w:r w:rsidRPr="00B77D7C">
        <w:rPr>
          <w:rFonts w:eastAsia="TimesNewRoman" w:cstheme="majorHAnsi"/>
        </w:rPr>
        <w:t xml:space="preserve"> </w:t>
      </w:r>
      <w:r w:rsidRPr="00B77D7C">
        <w:rPr>
          <w:rFonts w:cstheme="majorHAnsi"/>
        </w:rPr>
        <w:t>w rejonie południowo-zachodniej cz</w:t>
      </w:r>
      <w:r w:rsidRPr="00B77D7C">
        <w:rPr>
          <w:rFonts w:eastAsia="TimesNewRoman" w:cstheme="majorHAnsi"/>
        </w:rPr>
        <w:t>ęś</w:t>
      </w:r>
      <w:r w:rsidRPr="00B77D7C">
        <w:rPr>
          <w:rFonts w:cstheme="majorHAnsi"/>
        </w:rPr>
        <w:t xml:space="preserve">ci Polski. </w:t>
      </w:r>
      <w:r w:rsidRPr="00B77D7C">
        <w:t>Problemem są również wzmożone prędkości wiatru a także pojawiające się szczególnie w okresie lata huraganowe prędkości wiatru połączone z gwałtownymi burzami, występujące w tak zwanej linii szkwałów. W Polsce rzetelne pomiary huraganów, wraz z przeprowadzaną klasyfikacją, są prowadzone od 2006 roku. Niewiele ponad 10 lat rzetelnych pomiarów może być za mało, by ocenić, czy zjawisko się nasila, czy słabnie. Niezbędne jest posiadanie w tym zakresie dobrze rozwiniętego precyzyjnego systemu detekcji groźnych burz. Rozwijanie systemu wczesnego i szybkiego ostrzegania w formie alarmów meteorologicznych, obejmujących  jedynie daną część Polski nad którą nadciąga silna burza, i ostrzeganie ludzi na terenach zagrożonych, może zwiększyć zaufanie społeczeństwa wobec wszelkich komunikatów meteorologicznych, a w szczególności ostrzeżeń.</w:t>
      </w:r>
    </w:p>
    <w:p w:rsidR="004538EE" w:rsidRPr="00B77D7C" w:rsidRDefault="004538EE" w:rsidP="004538EE">
      <w:pPr>
        <w:autoSpaceDE w:val="0"/>
        <w:autoSpaceDN w:val="0"/>
        <w:adjustRightInd w:val="0"/>
        <w:spacing w:after="0"/>
        <w:jc w:val="both"/>
      </w:pPr>
    </w:p>
    <w:p w:rsidR="004538EE" w:rsidRPr="00B77D7C" w:rsidRDefault="004538EE" w:rsidP="004538EE">
      <w:pPr>
        <w:jc w:val="both"/>
        <w:rPr>
          <w:lang w:eastAsia="pl-PL"/>
        </w:rPr>
      </w:pPr>
      <w:r w:rsidRPr="00B77D7C">
        <w:rPr>
          <w:lang w:eastAsia="pl-PL"/>
        </w:rPr>
        <w:lastRenderedPageBreak/>
        <w:t>Istotnym zagrożeniem dla funkcjonowania strefy brzegowej oprócz wzrostu poziomu morza będzie wzrost wezbrań sztormowych (wzrost liczby sztormów i średniego poziomu morza) na południowym Bałtyku oraz przewidywane zmiany wskazują na zwiększaniu się zagrożenia tymi zjawiskami</w:t>
      </w:r>
      <w:r w:rsidRPr="00B77D7C">
        <w:rPr>
          <w:rStyle w:val="Odwoanieprzypisudolnego"/>
          <w:lang w:eastAsia="pl-PL"/>
        </w:rPr>
        <w:footnoteReference w:id="26"/>
      </w:r>
      <w:r w:rsidRPr="00B77D7C">
        <w:rPr>
          <w:lang w:eastAsia="pl-PL"/>
        </w:rPr>
        <w:t>. Wezbrania powodują zniszczenia w strefie brzegowej, przebudowują podbrzeże i strefę rew, powodują zniszczenia zarówno na plażach, wydmach wybrzeżach klifowych oraz utrudniają prace związane z gospodarką morską. Największe zagrożenie wezbraniami sztormowymi utrzymywać się będzie na mniej więcej stałym poziomie i dotyczyć będzie Świnoujścia. W rejonie wybrzeża środkowego (Ustka) obserwuje się wyraźnie rosnący trend w przebiegu rocznego wskaźnika wezbraniowości. Najmniejsze zagrożenie występuje na Helu, gdzie w przebiegu wieloletnim wskaźnika rocznego widać tylko nieznacznie rosnący trend i dosyć niskie wartości.</w:t>
      </w:r>
    </w:p>
    <w:p w:rsidR="004538EE" w:rsidRPr="00B77D7C" w:rsidRDefault="004538EE" w:rsidP="004538EE">
      <w:pPr>
        <w:jc w:val="both"/>
      </w:pPr>
      <w:r w:rsidRPr="00B77D7C">
        <w:rPr>
          <w:lang w:eastAsia="pl-PL"/>
        </w:rPr>
        <w:t xml:space="preserve"> Zlodzenie morza, jako jeden ze znaczących parametrów w badaniach zmian klimatu, wywiera także wpływ na rozwój gospodarczo-ekonomiczny portów, rybołówstwa i handlu morskiego, poprzez zagrożenia, jakie stwarzają lody morskie. Systematyczny wzrost poziomu morza i zwiększona aktywność sztormów, zwłaszcza w okresie wiosennym i zimowym, będą wpływać na destrukcję plaż i wybrzeży klifowych, a także mogą zagrozić infrastrukturze turystycznej (mariny, przystanie, infrastruktura plażowa i in.).</w:t>
      </w:r>
    </w:p>
    <w:p w:rsidR="004538EE" w:rsidRPr="00B77D7C" w:rsidRDefault="004538EE" w:rsidP="004538EE">
      <w:pPr>
        <w:jc w:val="both"/>
        <w:rPr>
          <w:rFonts w:eastAsia="TT5D1o00"/>
          <w:szCs w:val="24"/>
        </w:rPr>
      </w:pPr>
      <w:r w:rsidRPr="00B77D7C">
        <w:t>Spośród zagrożeń spowodowanych zmianami klimatu istotnymi z ekologicznego i gospodarczego punktu widzenia w rejonie Wybrzeża Polski są zmiany średniego poziomu morza. Scenariusze</w:t>
      </w:r>
      <w:r w:rsidRPr="00B77D7C">
        <w:rPr>
          <w:rStyle w:val="Odwoanieprzypisudolnego"/>
        </w:rPr>
        <w:footnoteReference w:id="27"/>
      </w:r>
      <w:r w:rsidRPr="00B77D7C">
        <w:t xml:space="preserve"> wskazują, iż średni roczny poziom morza w okresie 2011-2030 wzrośnie  o ok. 4-5 cm w stosunku do wartości z okresu referencyjnego 1971-1990. </w:t>
      </w:r>
      <w:r w:rsidRPr="00B77D7C">
        <w:rPr>
          <w:rFonts w:eastAsia="TT5D1o00"/>
          <w:szCs w:val="24"/>
        </w:rPr>
        <w:t xml:space="preserve">Scenariusze opracowane dla okresu 2081-2100 pokazują, iż średni roczny poziom morza jeszcze wzrośnie. Najmniejszy wzrost jest spodziewany dla scenariusza emisyjnego B1, i wynosi ok. 20 cm. W przypadku scenariusza emisyjnego A1B przewidywany wzrost średniego poziomu morza dochodzi do ok. 25 cm, a w przypadku A2 – ok. 28 cm. </w:t>
      </w:r>
    </w:p>
    <w:p w:rsidR="004538EE" w:rsidRPr="00B77D7C" w:rsidRDefault="004538EE" w:rsidP="004538EE">
      <w:pPr>
        <w:jc w:val="both"/>
        <w:rPr>
          <w:rFonts w:eastAsia="TT5D1o00"/>
          <w:szCs w:val="24"/>
        </w:rPr>
      </w:pPr>
      <w:r w:rsidRPr="00B77D7C">
        <w:rPr>
          <w:rFonts w:eastAsia="TT5D1o00"/>
          <w:szCs w:val="24"/>
        </w:rPr>
        <w:t>W okresie 2011-2030 należy spodziewać się mniejszej liczby dni ze zlodzeniem na polskim Wybrzeżu. Prognozowane straty lądu, obliczone na podstawie ustaleń opracowanych w układzie rejonów morfodynamicznych, wskazują na coraz większą erozję brzegu w zależności od prędkości podnoszenia się poziomu morza.</w:t>
      </w:r>
    </w:p>
    <w:p w:rsidR="004538EE" w:rsidRPr="00B77D7C" w:rsidRDefault="004538EE" w:rsidP="004538EE">
      <w:pPr>
        <w:jc w:val="both"/>
        <w:rPr>
          <w:rFonts w:eastAsia="TT5D1o00"/>
          <w:szCs w:val="24"/>
        </w:rPr>
      </w:pPr>
      <w:r w:rsidRPr="00B77D7C">
        <w:rPr>
          <w:rFonts w:eastAsia="TT5D1o00"/>
          <w:szCs w:val="24"/>
        </w:rPr>
        <w:t xml:space="preserve">Nawet przy minimalnej prędkości podnoszenia się poziomu morza przewidywane straty lądu, przy założeniu zmian zachodzących w ostatnim stuleciu i wyniosą ok 6,4 ha/rok. Przewidywany dalszy wzrost poziomu morza nawet w wariancie minimalnym (30 cm/100 lat) spowoduje przyrost długości odcinków erodowanych, wzrost prędkości niszczenia i większe straty osadów brzegowych. Wzrost zagrożenia brzegów i zaplecza powinien wpłynąć na zmianę dotychczasowego podejścia do ochrony brzegów, by zachować te elementy systemu brzegowego lub infrastrukturalnego nadbrzeży i zaplecza, które uzyskają priorytet ochrony w łącznej klasyfikacji jakości strefy brzegowej i zaplecza. </w:t>
      </w:r>
    </w:p>
    <w:p w:rsidR="004538EE" w:rsidRPr="00B77D7C" w:rsidRDefault="004538EE" w:rsidP="004538EE">
      <w:pPr>
        <w:jc w:val="both"/>
        <w:rPr>
          <w:rFonts w:eastAsia="TT5D1o00"/>
          <w:szCs w:val="24"/>
        </w:rPr>
      </w:pPr>
      <w:r w:rsidRPr="00B77D7C">
        <w:rPr>
          <w:rFonts w:eastAsia="TT5D1o00"/>
          <w:szCs w:val="24"/>
        </w:rPr>
        <w:lastRenderedPageBreak/>
        <w:t xml:space="preserve">Silny wiatr w strefie brzegowej Bałtyku, wiejący z sektora północnego, może być przyczyną powstawania powodzi sztormowych tzw. „cofki”. Sztormowy wiatr wiejący ku brzegowi utrudnia odpływ rzek uchodzących do morza, powodując spiętrzenie wody w odcinkach ujściowych. Wezbrania sztormowe powstają najczęściej w okresie jesienno-zimowym. Na polskim wybrzeżu Bałtyku zdarzają się też trąby powietrzne. W ostatnich latach zjawisko zaobserwowano: 10 sierpnia 2002 roku w okolicach Jastarni pojawiła się trąba wodna, 31 lipca 2005 roku w okolicach Jastrzębiej Góry, 1 i 2 września 2010 roku w Kołobrzegu. </w:t>
      </w:r>
    </w:p>
    <w:p w:rsidR="004538EE" w:rsidRPr="00B77D7C" w:rsidRDefault="004538EE" w:rsidP="004538EE">
      <w:pPr>
        <w:autoSpaceDE w:val="0"/>
        <w:autoSpaceDN w:val="0"/>
        <w:adjustRightInd w:val="0"/>
        <w:jc w:val="both"/>
      </w:pPr>
      <w:r w:rsidRPr="00B77D7C">
        <w:rPr>
          <w:rFonts w:eastAsia="TT5D1o00"/>
          <w:szCs w:val="24"/>
        </w:rPr>
        <w:t xml:space="preserve">W Programie ochrony do 2023 przyjęto ochronę brzegów morskich na długości 211,4 km, tj. na 42% całkowitej ich długości. Z oszacowania poziomu bezpieczeństwa brzegu wynika natomiast, że aby zapewnić odporność brzegu na sztorm 100-letni, należy chronić 238,4 km brzegu, tj. 48% całkowitej długości. Ustanowienie i respektowanie strefy buforowej (seatback) wydaje się być najważniejszym elementem ochrony zarówno mienia jak i brzegu. Do sprecyzowania norm bezpieczeństwa strefy brzegowej niezbędne jest wyznaczenie odporności brzegu na działanie czynników hydrodynamicznych, a następnie granic bezpiecznego gospodarowania w pasie przybrzeżnym. Jest to jedno z podstawowych zadań ochrony brzegów morskich do roku 2050. </w:t>
      </w:r>
      <w:r w:rsidRPr="00B77D7C">
        <w:rPr>
          <w:rFonts w:eastAsia="SwitzerCndPSEFN"/>
          <w:szCs w:val="24"/>
        </w:rPr>
        <w:t xml:space="preserve">Nie powinno się dopuszczać nowej zabudowy na brzegach mierzei. Nie dotyczy to tych odcinków brzegu, dla których przewidywane jest całkowite utrzymanie naturalnej lub sztucznej linii brzegowej.  Pomimo istnienia zakazu lokalizacji obiektów bliżej niż 20 m linii brzegu na brzegach Zatoki Puckiej obiekty stoją 2-4m od linii brzegowej. </w:t>
      </w:r>
    </w:p>
    <w:p w:rsidR="004538EE" w:rsidRPr="00B77D7C" w:rsidRDefault="004538EE" w:rsidP="004538EE">
      <w:pPr>
        <w:autoSpaceDE w:val="0"/>
        <w:autoSpaceDN w:val="0"/>
        <w:adjustRightInd w:val="0"/>
        <w:spacing w:after="0"/>
        <w:jc w:val="both"/>
        <w:rPr>
          <w:rFonts w:cstheme="majorHAnsi"/>
        </w:rPr>
      </w:pPr>
      <w:r w:rsidRPr="00B77D7C">
        <w:rPr>
          <w:rFonts w:cstheme="minorHAnsi"/>
        </w:rPr>
        <w:t>Analiza danych dotyczących wysokości strat, na podstawie danych zebranych w ramach projektu KLIMADA z kilkudziesięciu instytucji (resortów i jednostek im podległych, jednostek samorządowych) oraz ekspertyz przeprowadzonych w ramach projektu KLIMADA</w:t>
      </w:r>
      <w:r w:rsidRPr="00B77D7C">
        <w:rPr>
          <w:rStyle w:val="Odwoanieprzypisudolnego"/>
          <w:rFonts w:cstheme="minorHAnsi"/>
        </w:rPr>
        <w:footnoteReference w:id="28"/>
      </w:r>
      <w:r w:rsidRPr="00B77D7C">
        <w:rPr>
          <w:rFonts w:cstheme="minorHAnsi"/>
        </w:rPr>
        <w:t xml:space="preserve"> wykazała, że w ciągu ostatnich 16 lat zjawiskami powodującymi najwyższe szkody w Polsce były głównie powodzie oraz niekorzystnie zjawiska atmosferyczne w rolnictwie. Problem powodzi i podtopień dotyczył wszystkich sektorów gospodarki, a obok rolnictwa był również dotkliwy i kosztochłonny dla infrastruktury położonej na obszarach zurbanizowanych.  Z  kolei negatywne </w:t>
      </w:r>
      <w:r w:rsidRPr="00B77D7C">
        <w:rPr>
          <w:rFonts w:cstheme="majorHAnsi"/>
        </w:rPr>
        <w:t xml:space="preserve">skutki w rolnictwie spowodowane były również przez susze(2015 r.) oraz przymrozki.  Dużym i kosztochłonnym problemem okazały się również nawałnice, które powodowały obok szkód materialnych, również zagrożenie  dla zdrowia i życia człowieka. </w:t>
      </w:r>
    </w:p>
    <w:p w:rsidR="004538EE" w:rsidRPr="00B77D7C" w:rsidRDefault="004538EE" w:rsidP="004538EE">
      <w:pPr>
        <w:jc w:val="both"/>
        <w:rPr>
          <w:rFonts w:cstheme="minorHAnsi"/>
        </w:rPr>
      </w:pPr>
      <w:r w:rsidRPr="00B77D7C">
        <w:rPr>
          <w:rFonts w:cstheme="minorHAnsi"/>
        </w:rPr>
        <w:t xml:space="preserve">Łączną wartość strat bezpośrednich spowodowanych przez ekstremalne zjawiska pogodowe i klimatyczne w latach 2001-2016 oszacowana została na ponad 78 mld zł, w tym w latach 2012-2016 zarejestrowano straty w wysokości 20,5 mld zł (w cenach 2015). </w:t>
      </w:r>
    </w:p>
    <w:p w:rsidR="004538EE" w:rsidRPr="00B77D7C" w:rsidRDefault="004538EE" w:rsidP="004538EE">
      <w:pPr>
        <w:jc w:val="both"/>
        <w:rPr>
          <w:rFonts w:cstheme="minorHAnsi"/>
        </w:rPr>
      </w:pPr>
      <w:r w:rsidRPr="00B77D7C">
        <w:rPr>
          <w:rFonts w:cstheme="minorHAnsi"/>
        </w:rPr>
        <w:t xml:space="preserve">Co roku zjawiska ekstremalne powodują straty wahające się w przedziale od 2 do 5 mld zł.  Raz na kilka lat  pojawiają się ponadprzeciętne szkody.  W okresie objętym analizą dotkliwe skutki spowodowały powodzie w latach 2001 oraz 2010 oraz zjawiska ekstremalne w tym susza w rolnictwie w latach 2006 oraz 2015. </w:t>
      </w:r>
    </w:p>
    <w:p w:rsidR="004538EE" w:rsidRPr="00B77D7C" w:rsidRDefault="004538EE" w:rsidP="004538EE">
      <w:pPr>
        <w:autoSpaceDE w:val="0"/>
        <w:autoSpaceDN w:val="0"/>
        <w:adjustRightInd w:val="0"/>
        <w:jc w:val="both"/>
        <w:rPr>
          <w:rFonts w:cstheme="majorHAnsi"/>
        </w:rPr>
      </w:pPr>
      <w:r w:rsidRPr="00B77D7C">
        <w:rPr>
          <w:rFonts w:cstheme="minorHAnsi"/>
        </w:rPr>
        <w:lastRenderedPageBreak/>
        <w:t>Przyjmując założenie, że straty pośrednie stanowią około  60 % strat bezpośrednich</w:t>
      </w:r>
      <w:r w:rsidRPr="00B77D7C">
        <w:rPr>
          <w:rStyle w:val="Odwoanieprzypisudolnego"/>
          <w:rFonts w:cstheme="minorHAnsi"/>
        </w:rPr>
        <w:footnoteReference w:id="29"/>
      </w:r>
      <w:r w:rsidRPr="00B77D7C">
        <w:rPr>
          <w:rFonts w:cstheme="minorHAnsi"/>
        </w:rPr>
        <w:t xml:space="preserve"> można przyjąć, że łączne straty spowodowane przez zjawiska ekstremalne w Polsce  w ciągu ostatnich 16 lat wyniosły około 126 mld zł.  </w:t>
      </w:r>
    </w:p>
    <w:p w:rsidR="004538EE" w:rsidRDefault="004538EE" w:rsidP="004538EE">
      <w:pPr>
        <w:jc w:val="both"/>
        <w:rPr>
          <w:rFonts w:asciiTheme="majorHAnsi" w:hAnsiTheme="majorHAnsi" w:cstheme="minorHAnsi"/>
        </w:rPr>
      </w:pPr>
      <w:r w:rsidRPr="00403C36">
        <w:rPr>
          <w:rFonts w:asciiTheme="majorHAnsi" w:hAnsiTheme="majorHAnsi" w:cstheme="minorHAnsi"/>
          <w:noProof/>
          <w:lang w:eastAsia="pl-PL"/>
        </w:rPr>
        <w:drawing>
          <wp:inline distT="0" distB="0" distL="0" distR="0" wp14:anchorId="73372C50" wp14:editId="26ABDCDE">
            <wp:extent cx="5781675" cy="3657600"/>
            <wp:effectExtent l="0" t="0" r="0" b="0"/>
            <wp:docPr id="71"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538EE" w:rsidRPr="0044139A" w:rsidRDefault="0044139A" w:rsidP="004538EE">
      <w:pPr>
        <w:jc w:val="both"/>
        <w:rPr>
          <w:rFonts w:cstheme="minorHAnsi"/>
          <w:i/>
        </w:rPr>
      </w:pPr>
      <w:r w:rsidRPr="0044139A">
        <w:rPr>
          <w:rFonts w:cstheme="minorHAnsi"/>
          <w:i/>
        </w:rPr>
        <w:t xml:space="preserve">Rys. 4.6. </w:t>
      </w:r>
      <w:r w:rsidR="004538EE" w:rsidRPr="0044139A">
        <w:rPr>
          <w:rFonts w:cstheme="minorHAnsi"/>
          <w:i/>
        </w:rPr>
        <w:t>Szacunek strat spowodowanych przez ekstremalne zjawiska pogodowe i  klimatyczne w latach 2001-2016 (z</w:t>
      </w:r>
      <w:r>
        <w:rPr>
          <w:rFonts w:cstheme="minorHAnsi"/>
          <w:i/>
        </w:rPr>
        <w:t xml:space="preserve">definiowane </w:t>
      </w:r>
      <w:r w:rsidR="004538EE" w:rsidRPr="0044139A">
        <w:rPr>
          <w:rFonts w:cstheme="minorHAnsi"/>
          <w:i/>
        </w:rPr>
        <w:t>wskaźnikiem cen inwestycyjnych z 2015 roku)  Opracowanie: Siwiec E.,  Instytut Ochrony Środowiska- PIB (2017)</w:t>
      </w:r>
    </w:p>
    <w:p w:rsidR="004538EE" w:rsidRPr="00DD55CB" w:rsidRDefault="004538EE" w:rsidP="004538EE">
      <w:pPr>
        <w:autoSpaceDE w:val="0"/>
        <w:autoSpaceDN w:val="0"/>
        <w:adjustRightInd w:val="0"/>
        <w:jc w:val="both"/>
        <w:rPr>
          <w:rFonts w:cstheme="minorHAnsi"/>
        </w:rPr>
      </w:pPr>
      <w:r w:rsidRPr="00B77D7C">
        <w:rPr>
          <w:rFonts w:cstheme="minorHAnsi"/>
        </w:rPr>
        <w:t>W latach 2012 – 2016 nie odnotowano dotkliwych w skali kraju szkód powodziowych. Najwyższe straty bezpośrednie zarejestrowano w sektorze  rolnictwo i wyniosły one około 12,5 mld zł (związane były głównie z suszą). Straty w infrastrukturze oszacowano na około 3,5 mld zł, natomiast w leśnictwie i gospodarce wodn</w:t>
      </w:r>
      <w:r w:rsidR="0044139A">
        <w:rPr>
          <w:rFonts w:cstheme="minorHAnsi"/>
        </w:rPr>
        <w:t>ej odnotowano po 2 mld zł strat.</w:t>
      </w:r>
    </w:p>
    <w:p w:rsidR="004538EE" w:rsidRPr="00403C36" w:rsidRDefault="004538EE" w:rsidP="004538EE">
      <w:pPr>
        <w:autoSpaceDE w:val="0"/>
        <w:autoSpaceDN w:val="0"/>
        <w:adjustRightInd w:val="0"/>
        <w:jc w:val="both"/>
        <w:rPr>
          <w:rFonts w:asciiTheme="majorHAnsi" w:hAnsiTheme="majorHAnsi" w:cstheme="majorHAnsi"/>
        </w:rPr>
      </w:pPr>
      <w:r w:rsidRPr="00403C36">
        <w:rPr>
          <w:rFonts w:asciiTheme="majorHAnsi" w:hAnsiTheme="majorHAnsi" w:cstheme="majorHAnsi"/>
          <w:noProof/>
          <w:lang w:eastAsia="pl-PL"/>
        </w:rPr>
        <w:lastRenderedPageBreak/>
        <w:drawing>
          <wp:inline distT="0" distB="0" distL="0" distR="0" wp14:anchorId="2A450864" wp14:editId="355FB2B4">
            <wp:extent cx="5760720" cy="2912207"/>
            <wp:effectExtent l="0" t="0" r="0" b="2540"/>
            <wp:docPr id="72"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538EE" w:rsidRPr="00792161" w:rsidRDefault="0044139A" w:rsidP="004538EE">
      <w:pPr>
        <w:autoSpaceDE w:val="0"/>
        <w:autoSpaceDN w:val="0"/>
        <w:adjustRightInd w:val="0"/>
        <w:rPr>
          <w:rFonts w:cstheme="majorHAnsi"/>
          <w:i/>
        </w:rPr>
      </w:pPr>
      <w:r w:rsidRPr="00792161">
        <w:rPr>
          <w:rFonts w:cstheme="majorHAnsi"/>
          <w:i/>
        </w:rPr>
        <w:t>Rys. 4.7.</w:t>
      </w:r>
      <w:r w:rsidR="004538EE" w:rsidRPr="00792161">
        <w:rPr>
          <w:rFonts w:cstheme="majorHAnsi"/>
          <w:i/>
        </w:rPr>
        <w:t xml:space="preserve">  Straty spowodowane ekstremalnymi zjawiskami pogodowymi i klimatycznymi w latach 2012 -2016   w podziale na sektory  w cenach  2015 r. Źródło: Siwiec E., Instytut Ochrony  Środowiska – PIB  (2017)</w:t>
      </w:r>
    </w:p>
    <w:p w:rsidR="004538EE" w:rsidRPr="00B77D7C" w:rsidRDefault="004538EE" w:rsidP="004538EE">
      <w:pPr>
        <w:jc w:val="both"/>
        <w:rPr>
          <w:lang w:eastAsia="pl-PL"/>
        </w:rPr>
      </w:pPr>
      <w:r w:rsidRPr="00B77D7C">
        <w:rPr>
          <w:lang w:eastAsia="pl-PL"/>
        </w:rPr>
        <w:t xml:space="preserve">Do roku 2030 zmiany klimatu będą miały dwojaki, zarówno pozytywny jak i negatywny wpływ na gospodarkę i społeczeństwo. Pozytywne skutki będzie miał np. wzrost średniej temperatury powietrza m.in. w postaci wydłużenia okresu wegetacyjnego, skrócenia okresu grzewczego oraz wydłużeniu sezonu turystycznego. Niestety dominujące są przewidywane negatywne konsekwencje zmian klimatu. </w:t>
      </w:r>
    </w:p>
    <w:p w:rsidR="004538EE" w:rsidRPr="00B77D7C" w:rsidRDefault="004538EE" w:rsidP="004538EE">
      <w:pPr>
        <w:jc w:val="both"/>
        <w:rPr>
          <w:lang w:eastAsia="pl-PL"/>
        </w:rPr>
      </w:pPr>
      <w:r w:rsidRPr="00B77D7C">
        <w:rPr>
          <w:lang w:eastAsia="pl-PL"/>
        </w:rPr>
        <w:t xml:space="preserve">Bezpośrednio ze zmianami klimatycznymi wiążą się niekorzystne zmiany warunków hydrologicznych. Pomimo, że przewidywane roczne sumy opadów nie ulegają zasadniczym zmianom, jednak ich charakter staje się bardziej losowy i nierównomierny. Skutkiem będą dłuższe okresy bezopadowe, przerywane gwałtownymi i nawalnymi opadami. Przewidywane obniżenie poziomu wód gruntowych, będzie miało negatywny wpływ na różnorodność biologiczną i formy ochrony przyrody w szczególności na zbiorniki wodne i tereny podmokłe. Negatywny wpływ zmian klimatu będzie można zaobserwować również w porze zimowej, gdzie skróci się okres zalegania pokrywy śnieżnej i jej grubość, oraz nasili się proces ewaporacji, co wpłynie na spadek zasobów wodnych kraju. </w:t>
      </w:r>
    </w:p>
    <w:p w:rsidR="004538EE" w:rsidRPr="00EA4E07" w:rsidRDefault="004538EE" w:rsidP="004538EE">
      <w:pPr>
        <w:jc w:val="both"/>
        <w:rPr>
          <w:lang w:eastAsia="pl-PL"/>
        </w:rPr>
      </w:pPr>
      <w:r w:rsidRPr="00B77D7C">
        <w:rPr>
          <w:lang w:eastAsia="pl-PL"/>
        </w:rPr>
        <w:t xml:space="preserve">Jednocześnie efektem zmian klimatu będzie zwiększanie częstotliwości występowania ekstremalnych zjawisk pogodowych i katastrof, które mają istotny wpływ na obszary wrażliwe i gospodarkę kraju. Największe zagrożenie stanowić będą ulewne deszcze niosące ryzyko powodzi i podtopień oraz często towarzyszących im osuwisk – głównie na obszarach górskich i wyżynnych. Coraz częściej występować będą silne wiatry, a nawet towarzyszące im incydentalnie trąby powietrzne i wyładowania </w:t>
      </w:r>
      <w:r w:rsidRPr="00EA4E07">
        <w:rPr>
          <w:lang w:eastAsia="pl-PL"/>
        </w:rPr>
        <w:t xml:space="preserve">atmosferyczne, które będą znacząco oddziaływać m.in. na budownictwo oraz infrastrukturę energetyczną i transportową. </w:t>
      </w:r>
    </w:p>
    <w:p w:rsidR="004538EE" w:rsidRDefault="004538EE" w:rsidP="004538EE"/>
    <w:p w:rsidR="00792161" w:rsidRPr="00EA4E07" w:rsidRDefault="00792161" w:rsidP="004538EE"/>
    <w:p w:rsidR="004538EE" w:rsidRPr="003B1DFB" w:rsidRDefault="004538EE" w:rsidP="003B1DFB">
      <w:pPr>
        <w:pStyle w:val="Nagwek2"/>
      </w:pPr>
      <w:bookmarkStart w:id="42" w:name="_Toc505604922"/>
      <w:bookmarkStart w:id="43" w:name="_Toc505605315"/>
      <w:r w:rsidRPr="003B1DFB">
        <w:lastRenderedPageBreak/>
        <w:t>Działania adaptacyjne</w:t>
      </w:r>
      <w:bookmarkEnd w:id="42"/>
      <w:bookmarkEnd w:id="43"/>
      <w:r w:rsidRPr="003B1DFB">
        <w:t xml:space="preserve"> </w:t>
      </w:r>
    </w:p>
    <w:p w:rsidR="004538EE" w:rsidRPr="00095941" w:rsidRDefault="004538EE" w:rsidP="00792161">
      <w:pPr>
        <w:autoSpaceDE w:val="0"/>
        <w:autoSpaceDN w:val="0"/>
        <w:adjustRightInd w:val="0"/>
        <w:spacing w:after="0"/>
        <w:jc w:val="both"/>
        <w:rPr>
          <w:rFonts w:cstheme="minorHAnsi"/>
        </w:rPr>
      </w:pPr>
      <w:r w:rsidRPr="00EA4E07">
        <w:t>Polityka klimatyczna to nie tylko ograniczanie emisji gazów cieplarnianych, ale także prowadzenie działań adaptacyjnych zmierzających do przystosowywania się społeczeństw, środowiska i gospodarki do nowych warunków klimatycznych.</w:t>
      </w:r>
      <w:r>
        <w:t xml:space="preserve"> </w:t>
      </w:r>
      <w:r w:rsidRPr="00EA4E07">
        <w:t xml:space="preserve">W Polsce w celu poprawy odporności gospodarki i społeczeństwa na zmiany klimatu i zmniejszenia strat z tym związanych, podjęto szereg działań. Z myślą o zapewnieniu warunków stabilnego rozwoju społeczno-gospodarczego w obliczu ryzyk, jakie niosą ze sobą zmiany klimatu opracowano i przyjęto </w:t>
      </w:r>
      <w:r w:rsidRPr="00EA4E07">
        <w:rPr>
          <w:rFonts w:cstheme="minorHAnsi"/>
        </w:rPr>
        <w:t>„</w:t>
      </w:r>
      <w:r w:rsidRPr="00EA4E07">
        <w:rPr>
          <w:rFonts w:cstheme="minorHAnsi"/>
          <w:i/>
        </w:rPr>
        <w:t>Strategiczny Plan Adaptacji dla sektorów i obszarów</w:t>
      </w:r>
      <w:r w:rsidRPr="00325D52">
        <w:rPr>
          <w:rFonts w:cstheme="minorHAnsi"/>
          <w:i/>
        </w:rPr>
        <w:t xml:space="preserve"> wrażliwych na zmiany klimatu do roku 2020</w:t>
      </w:r>
      <w:r>
        <w:rPr>
          <w:rFonts w:cstheme="minorHAnsi"/>
          <w:i/>
        </w:rPr>
        <w:t xml:space="preserve"> </w:t>
      </w:r>
      <w:r w:rsidRPr="00325D52">
        <w:rPr>
          <w:rFonts w:cstheme="minorHAnsi"/>
          <w:i/>
        </w:rPr>
        <w:t>z perspektywą do roku 2030</w:t>
      </w:r>
      <w:r w:rsidRPr="00325D52">
        <w:rPr>
          <w:rFonts w:cstheme="minorHAnsi"/>
        </w:rPr>
        <w:t>” (SPA 2020)</w:t>
      </w:r>
      <w:r>
        <w:rPr>
          <w:rFonts w:cstheme="minorHAnsi"/>
        </w:rPr>
        <w:t>.</w:t>
      </w:r>
    </w:p>
    <w:p w:rsidR="004538EE" w:rsidRDefault="004538EE" w:rsidP="00792161">
      <w:pPr>
        <w:autoSpaceDE w:val="0"/>
        <w:autoSpaceDN w:val="0"/>
        <w:adjustRightInd w:val="0"/>
        <w:spacing w:after="0"/>
        <w:jc w:val="both"/>
        <w:rPr>
          <w:rFonts w:cs="TimesNewRoman"/>
        </w:rPr>
      </w:pPr>
    </w:p>
    <w:p w:rsidR="004538EE" w:rsidRPr="00EA4E07" w:rsidRDefault="004538EE" w:rsidP="00792161">
      <w:pPr>
        <w:autoSpaceDE w:val="0"/>
        <w:autoSpaceDN w:val="0"/>
        <w:adjustRightInd w:val="0"/>
        <w:spacing w:after="0"/>
        <w:jc w:val="both"/>
        <w:rPr>
          <w:rFonts w:cs="TimesNewRoman"/>
        </w:rPr>
      </w:pPr>
      <w:r w:rsidRPr="00EA4E07">
        <w:rPr>
          <w:rFonts w:cs="TimesNewRoman"/>
        </w:rPr>
        <w:t>Jednym ze sposobów przeciwdziałania skutkom zmian klimatu są strategie polityczne koncentrujące się na zarządzaniu zasobami wodnymi, gruntowymi i biologicznymi oraz ich ochronie w celu utrzymania i przywrócenia zdrowych i sprawnie funkcjonujących ekosystemów zdolnych do adaptacji do zmian klimatu. Strategie te mogą również przyczynić się do zapobiegania katastrofom, jak stwierdzono w niedawno opublikowanym komunikacie Komisji</w:t>
      </w:r>
      <w:r w:rsidRPr="00EA4E07">
        <w:rPr>
          <w:rStyle w:val="Odwoanieprzypisudolnego"/>
          <w:rFonts w:cs="TimesNewRoman"/>
        </w:rPr>
        <w:footnoteReference w:id="30"/>
      </w:r>
      <w:r w:rsidRPr="00EA4E07">
        <w:rPr>
          <w:rFonts w:cs="TimesNewRoman"/>
        </w:rPr>
        <w:t>. Dowody wskazują, że korzystanie z możliwości natury w zakresie niwelowania i kontrolowania skutków na obszarach miejskich i wiejskich może być skuteczniejszym sposobem adaptacji, niż poleganie tylko na infrastrukturze fizycznej.</w:t>
      </w:r>
      <w:r w:rsidRPr="00D5364F">
        <w:rPr>
          <w:rFonts w:cs="TimesNewRoman"/>
        </w:rPr>
        <w:t xml:space="preserve"> </w:t>
      </w:r>
      <w:r w:rsidRPr="00EA4E07">
        <w:rPr>
          <w:rFonts w:cs="TimesNewRoman"/>
        </w:rPr>
        <w:t>Zielona infrastruktura</w:t>
      </w:r>
      <w:r w:rsidRPr="00EA4E07">
        <w:rPr>
          <w:rStyle w:val="Odwoanieprzypisudolnego"/>
          <w:rFonts w:cs="TimesNewRoman"/>
        </w:rPr>
        <w:footnoteReference w:id="31"/>
      </w:r>
      <w:r w:rsidRPr="00EA4E07">
        <w:rPr>
          <w:rFonts w:cs="TimesNewRoman"/>
        </w:rPr>
        <w:t xml:space="preserve"> może w istotny sposób przyczynić się do skutecznej realizacji wszystkich strategii politycznych, w przypadku gdy niektóre lub wszystkie pożądane cele można osiągnąć w całości lub częściowo dzięki rozwiązaniom opartym na przyrodzie. Może odgrywać zasadniczą rolę w procesie adaptacji, gdyż zapewnia ona źródła istotne ze względów społecznych i gospodarczych w ekstremalnych warunkach klimatycznych. Przyczynia się ona na przykład do poprawy możliwości składowania dwutlenku węgla i wody w glebie oraz do retencji wody w systemach naturalnych, łagodząc w ten sposób skutki suszy i zapobiegając powodziom, erozji gleby i pustynnieniu.</w:t>
      </w:r>
    </w:p>
    <w:p w:rsidR="004538EE" w:rsidRPr="00EA4E07" w:rsidRDefault="004538EE" w:rsidP="00792161">
      <w:pPr>
        <w:autoSpaceDE w:val="0"/>
        <w:autoSpaceDN w:val="0"/>
        <w:adjustRightInd w:val="0"/>
        <w:spacing w:after="0"/>
        <w:jc w:val="both"/>
        <w:rPr>
          <w:rFonts w:cs="TimesNewRoman"/>
        </w:rPr>
      </w:pPr>
    </w:p>
    <w:p w:rsidR="004538EE" w:rsidRPr="00D5364F" w:rsidRDefault="004538EE" w:rsidP="00792161">
      <w:pPr>
        <w:autoSpaceDE w:val="0"/>
        <w:autoSpaceDN w:val="0"/>
        <w:adjustRightInd w:val="0"/>
        <w:spacing w:after="0"/>
        <w:jc w:val="both"/>
        <w:rPr>
          <w:rFonts w:cs="TimesNewRoman"/>
        </w:rPr>
      </w:pPr>
      <w:r w:rsidRPr="00EA4E07">
        <w:rPr>
          <w:rFonts w:cs="TimesNewRoman"/>
        </w:rPr>
        <w:t>Działania zapobiegawcze przynoszą wyraźne korzyści dla gospodarki, środowiska i społeczeństwa poprzez wychodzenie naprzeciw potencjalnym skutkom i minimalizowanie zagrożeń dla ekosystemów, zdrowia ludzi, gospodarki i infrastruktury</w:t>
      </w:r>
      <w:r w:rsidRPr="00EA4E07">
        <w:rPr>
          <w:rFonts w:ascii="TimesNewRoman" w:hAnsi="TimesNewRoman" w:cs="TimesNewRoman"/>
          <w:sz w:val="24"/>
          <w:szCs w:val="24"/>
        </w:rPr>
        <w:t xml:space="preserve">. </w:t>
      </w:r>
      <w:r w:rsidRPr="00EA4E07">
        <w:rPr>
          <w:rFonts w:cs="TimesNewRoman"/>
        </w:rPr>
        <w:t>Z dostępnych źródeł wynika, że w perspektywie średnio- i długoterminowej koszty podjęcia działań na rzecz</w:t>
      </w:r>
      <w:r>
        <w:rPr>
          <w:rFonts w:cs="TimesNewRoman"/>
        </w:rPr>
        <w:t xml:space="preserve"> zwalczania </w:t>
      </w:r>
      <w:r w:rsidRPr="00484674">
        <w:rPr>
          <w:rFonts w:cs="TimesNewRoman"/>
        </w:rPr>
        <w:t>zmian klimatu (w tym środków łagodzenia i środków adap</w:t>
      </w:r>
      <w:r>
        <w:rPr>
          <w:rFonts w:cs="TimesNewRoman"/>
        </w:rPr>
        <w:t xml:space="preserve">tacyjnych) będą znacznie niższe </w:t>
      </w:r>
      <w:r w:rsidRPr="00484674">
        <w:rPr>
          <w:rFonts w:cs="TimesNewRoman"/>
        </w:rPr>
        <w:t xml:space="preserve">niż koszty niepodjęcia takich działań. </w:t>
      </w:r>
      <w:r>
        <w:rPr>
          <w:rFonts w:cs="TimesNewRoman"/>
        </w:rPr>
        <w:t>(</w:t>
      </w:r>
      <w:r w:rsidRPr="00484674">
        <w:rPr>
          <w:rFonts w:cs="TimesNewRoman"/>
          <w:i/>
        </w:rPr>
        <w:t>Biała Księga, Adaptacja do zmian klimatu: europejskie ramy działania</w:t>
      </w:r>
      <w:r>
        <w:rPr>
          <w:rFonts w:cs="TimesNewRoman"/>
          <w:i/>
        </w:rPr>
        <w:t xml:space="preserve">, </w:t>
      </w:r>
      <w:r>
        <w:t>COM(2009)147</w:t>
      </w:r>
      <w:r>
        <w:rPr>
          <w:rFonts w:cs="TimesNewRoman"/>
        </w:rPr>
        <w:t xml:space="preserve">). </w:t>
      </w:r>
    </w:p>
    <w:p w:rsidR="004538EE" w:rsidRPr="00484674" w:rsidRDefault="004538EE" w:rsidP="00792161">
      <w:pPr>
        <w:autoSpaceDE w:val="0"/>
        <w:autoSpaceDN w:val="0"/>
        <w:adjustRightInd w:val="0"/>
        <w:spacing w:after="0"/>
        <w:jc w:val="both"/>
        <w:rPr>
          <w:rFonts w:cs="TimesNewRoman"/>
        </w:rPr>
      </w:pPr>
    </w:p>
    <w:p w:rsidR="004538EE" w:rsidRPr="004538EE" w:rsidRDefault="004538EE" w:rsidP="00A0064B">
      <w:pPr>
        <w:pStyle w:val="NormalnyWeb"/>
        <w:spacing w:before="0" w:beforeAutospacing="0" w:after="0" w:afterAutospacing="0" w:line="276" w:lineRule="auto"/>
        <w:jc w:val="both"/>
        <w:rPr>
          <w:rFonts w:ascii="Calibri" w:hAnsi="Calibri"/>
          <w:b/>
          <w:iCs/>
          <w:sz w:val="22"/>
          <w:szCs w:val="22"/>
          <w:lang w:val="pl-PL" w:eastAsia="pl-PL"/>
        </w:rPr>
      </w:pPr>
    </w:p>
    <w:p w:rsidR="003F2742" w:rsidRPr="003F2742" w:rsidRDefault="00A0064B" w:rsidP="003F2742">
      <w:pPr>
        <w:pStyle w:val="Nagwek1"/>
        <w:numPr>
          <w:ilvl w:val="0"/>
          <w:numId w:val="5"/>
        </w:numPr>
        <w:spacing w:after="240"/>
      </w:pPr>
      <w:bookmarkStart w:id="44" w:name="_Toc505604923"/>
      <w:bookmarkStart w:id="45" w:name="_Toc505605316"/>
      <w:r>
        <w:lastRenderedPageBreak/>
        <w:t>Z</w:t>
      </w:r>
      <w:r w:rsidRPr="00E22A77">
        <w:t>agrożenia środowiska</w:t>
      </w:r>
      <w:bookmarkEnd w:id="44"/>
      <w:bookmarkEnd w:id="45"/>
    </w:p>
    <w:p w:rsidR="003F2742" w:rsidRPr="003B1DFB" w:rsidRDefault="003F2742" w:rsidP="003B1DFB">
      <w:pPr>
        <w:pStyle w:val="Nagwek2"/>
      </w:pPr>
      <w:bookmarkStart w:id="46" w:name="_Toc505604924"/>
      <w:bookmarkStart w:id="47" w:name="_Toc505605317"/>
      <w:r w:rsidRPr="003B1DFB">
        <w:t>Bezpieczeństwo biologiczne, w tym organizmy genetycznie zmodyfikowane</w:t>
      </w:r>
      <w:bookmarkEnd w:id="46"/>
      <w:bookmarkEnd w:id="47"/>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 xml:space="preserve">W związku z tym, że zastosowanie produktów nowoczesnej biotechnologii w wielu dziedzinach codziennego życia może rodzić niebezpieczeństwo dla zdrowia ludzi i dla środowiska naturalnego, zadaniem administracji rządowej jest przede wszystkim stworzenie warunków do prowadzenia działalności, której przedmiotem są organizmy genetycznie zmodyfikowane.   </w:t>
      </w:r>
    </w:p>
    <w:p w:rsidR="003F2742" w:rsidRDefault="003F2742" w:rsidP="003F2742">
      <w:pPr>
        <w:pStyle w:val="NormalnyWeb"/>
        <w:spacing w:before="0" w:beforeAutospacing="0" w:after="0" w:afterAutospacing="0" w:line="276" w:lineRule="auto"/>
        <w:jc w:val="both"/>
        <w:rPr>
          <w:rFonts w:ascii="Calibri" w:hAnsi="Calibri" w:cstheme="minorHAnsi"/>
          <w:sz w:val="22"/>
          <w:szCs w:val="22"/>
        </w:rPr>
      </w:pP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 xml:space="preserve">Rozwój i możliwość zastosowania metod biotechnologicznych w rolnictwie i produkcji żywności są jedną z dróg promowania nowoczesnych metod dla tych sektorów. Wprowadzenie do obrotu produktów otrzymanych metodami biotechnologicznymi jest poprzedzone ich wytworzeniem w procesach zamkniętego użycia, testowaniem w ramach zamierzonego uwalniania do środowiska. Służy to między innymi zagwarantowaniu wysokiej jakości tych produktów. Zastosowanie procesów biotechnologicznych w różnych dziedzinach życia powinno służyć zaspokojeniu potrzeb społeczeństwa przy zapewnieniu warunków bezpieczeństwa dla środowiska naturalnego. Użytkowanie GMO musi być poprzedzone autoryzacją tych organizmów, wydaną na podstawie zaawansowanej procedury oraz wiarygodnej analizy zagrożenia organizmu genetycznie zmodyfikowanego dla zdrowia ludzi, zwierząt i dla środowiska. Proces decyzyjny przed wprowadzeniem do obrotu produktów GMO jest oparty na specjalistycznej wiedzy naukowej oraz wiarygodnej ocenie zagrożenia. </w:t>
      </w:r>
    </w:p>
    <w:p w:rsidR="003F2742" w:rsidRDefault="003F2742" w:rsidP="003F2742">
      <w:pPr>
        <w:pStyle w:val="NormalnyWeb"/>
        <w:spacing w:before="0" w:beforeAutospacing="0" w:after="0" w:afterAutospacing="0" w:line="276" w:lineRule="auto"/>
        <w:jc w:val="both"/>
        <w:rPr>
          <w:rFonts w:ascii="Calibri" w:hAnsi="Calibri" w:cstheme="minorHAnsi"/>
          <w:sz w:val="22"/>
          <w:szCs w:val="22"/>
        </w:rPr>
      </w:pP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Podstawową rolą jaką powinno spełniać prawo w sferze biotechnologii jest ochrona życia i zdrowia ludzi oraz środowiska. Zasada ochrony zdrowia ludzi i środowiska przyświecała zarówno twórcom prawa europejskiego w zakresie organizmów genetycznie zmodyfikowanych jak i twórcom międzynarodowych przepisów normujących zagadnienie transgranicznego przemieszczania żywych zmodyfikowanych organizmów (LMO).</w:t>
      </w: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Podstawowymi aktami prawnymi Unii Europejskiej normującymi zagadnienia związane z organizmami genetycznie zmodyfikowanymi są:</w:t>
      </w:r>
    </w:p>
    <w:p w:rsidR="003F2742" w:rsidRPr="003F2742" w:rsidRDefault="003F2742" w:rsidP="00E86E91">
      <w:pPr>
        <w:pStyle w:val="NormalnyWeb"/>
        <w:numPr>
          <w:ilvl w:val="0"/>
          <w:numId w:val="23"/>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Dyrektywa Parlamentu Europejskiego i Rady  2009/41 z dnia 6 maja 2009 r. w sprawie ograniczonego stosowania mikroorganizmów zmodyfikowanych genetycznie, która ustanawia wspólne środki dotyczące ograniczonego stosowania mikroorganizmów zmodyfikowanych genetycznie, mając na celu ochronę zdrowia lud</w:t>
      </w:r>
      <w:r w:rsidR="00E86E91">
        <w:rPr>
          <w:rFonts w:ascii="Calibri" w:hAnsi="Calibri" w:cstheme="minorHAnsi"/>
          <w:sz w:val="22"/>
          <w:szCs w:val="22"/>
        </w:rPr>
        <w:t>zkiego i środowiska naturalnego;</w:t>
      </w:r>
    </w:p>
    <w:p w:rsidR="003F2742" w:rsidRPr="003F2742" w:rsidRDefault="003F2742" w:rsidP="00E86E91">
      <w:pPr>
        <w:pStyle w:val="NormalnyWeb"/>
        <w:numPr>
          <w:ilvl w:val="0"/>
          <w:numId w:val="23"/>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 xml:space="preserve">Dyrektywa Parlamentu Europejskiego i Rady 2001/18 z dnia 12 marca 2001 r. w sprawie zamierzonego uwalniania do środowiska organizmów zmodyfikowanych genetycznie. Dyrektywa ta reguluje zamierzone uwolnienie GMO do środowiska w celach innych niż wprowadzenie do obrotu (cele eksperymentalne) oraz wprowadzanie do obrotu produktów GMO. Wprowadza obowiązek uwzględnienia skumulowanych oddziaływań danego GMO na zdrowie ludzi i na środowisko. Przedstawienie danych dotyczących oddziaływań </w:t>
      </w:r>
    </w:p>
    <w:p w:rsidR="00E86E91" w:rsidRDefault="00E86E91" w:rsidP="003F2742">
      <w:pPr>
        <w:pStyle w:val="NormalnyWeb"/>
        <w:spacing w:before="0" w:beforeAutospacing="0" w:after="0" w:afterAutospacing="0" w:line="276" w:lineRule="auto"/>
        <w:jc w:val="both"/>
        <w:rPr>
          <w:rFonts w:ascii="Calibri" w:hAnsi="Calibri" w:cstheme="minorHAnsi"/>
          <w:sz w:val="22"/>
          <w:szCs w:val="22"/>
        </w:rPr>
      </w:pP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 xml:space="preserve">Problematykę transgranicznego przemieszczania organizmów genetycznie zmodyfikowanych w prawodawstwie Unii Europejskiej należy rozpatrywać dwojako. Z jednej strony bowiem dotyczy ono przemieszczania organizmów genetycznie zmodyfikowanych między terytoriami państw będących członkami Wspólnoty, z drugiej zaś odnosi się do przemieszczania GMO pomiędzy Wspólnotą (krajami Wspólnoty) a krajami trzecimi. Zagadnienie przemieszczania GMO w obrębie Wspólnoty </w:t>
      </w:r>
      <w:r w:rsidRPr="003F2742">
        <w:rPr>
          <w:rFonts w:ascii="Calibri" w:hAnsi="Calibri" w:cstheme="minorHAnsi"/>
          <w:sz w:val="22"/>
          <w:szCs w:val="22"/>
        </w:rPr>
        <w:lastRenderedPageBreak/>
        <w:t xml:space="preserve">zostało uregulowane w Dyrektywie 2001/18/WE. Zgodnie z postanowieniami niniejszej dyrektywy zarówno każde zamierzone uwolnienie GMO do środowiska jak też wprowadzenia do obrotu GMO jako produktu lub w produktach może odbywać się po wydaniu decyzji zezwalającej na podjęcie tego typu działań. Jednocześnie wszystkie państwa członkowskie Wspólnoty maja możliwość wyrażenia swoich opinii, zastrzeżeń do wniosków dotyczących omawianych działań. </w:t>
      </w:r>
    </w:p>
    <w:p w:rsidR="00E86E91" w:rsidRDefault="00E86E91" w:rsidP="003F2742">
      <w:pPr>
        <w:pStyle w:val="NormalnyWeb"/>
        <w:spacing w:before="0" w:beforeAutospacing="0" w:after="0" w:afterAutospacing="0" w:line="276" w:lineRule="auto"/>
        <w:jc w:val="both"/>
        <w:rPr>
          <w:rFonts w:ascii="Calibri" w:hAnsi="Calibri" w:cstheme="minorHAnsi"/>
          <w:sz w:val="22"/>
          <w:szCs w:val="22"/>
        </w:rPr>
      </w:pP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Szczególnie ważnym dokumentem prawa międzynarodowego mającym zastosowanie do transgranicznego przemieszczania, tranzytu, przekazywania i wykorzystania wszystkich żywych zmodyfikowanych organizmów, które mogą mieć negatywny wpływ na zachowanie i zrównoważone użytkowanie różnorodności biologicznej, z uwzględnieniem także zagrożeń dla ludzkiego zdrowia jest „Protokół kartageński o bezpieczeństwie biologicznym do Konwencji o różnorodności biologicznej”. Protokołu nie stosuje się do transgranicznego przemieszczania żywych zmodyfikowanych organizmów będących środkami farmaceutycznymi przeznaczonymi dla ludzi, których dotyczą inne odpowiednie umowy międzynarodowe lub działania organizacji międzynarodowych. Rzeczpospolita Polska ratyfikowała powyższy dokument w dniu 26 listopada 2003 roku. Wszedł on dla Polski w życie w dniu 09 marca 2004 roku w związku z czym od tego dnia Rzeczpospolita Polska stała się Stroną tej umowy międzynarodowej.</w:t>
      </w:r>
    </w:p>
    <w:p w:rsidR="00E86E91" w:rsidRDefault="00E86E91" w:rsidP="003F2742">
      <w:pPr>
        <w:pStyle w:val="NormalnyWeb"/>
        <w:spacing w:before="0" w:beforeAutospacing="0" w:after="0" w:afterAutospacing="0" w:line="276" w:lineRule="auto"/>
        <w:jc w:val="both"/>
        <w:rPr>
          <w:rFonts w:ascii="Calibri" w:hAnsi="Calibri" w:cstheme="minorHAnsi"/>
          <w:sz w:val="22"/>
          <w:szCs w:val="22"/>
        </w:rPr>
      </w:pPr>
    </w:p>
    <w:p w:rsidR="003F2742" w:rsidRPr="003F2742" w:rsidRDefault="003F2742" w:rsidP="003F2742">
      <w:pPr>
        <w:pStyle w:val="NormalnyWeb"/>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Podstawowym aktem prawnym normującym sprawy mikroorganizmów i organizmów genetycznie zmodyfikowanych jest ustawa z dnia 22 czerwca 2001 roku o mikroorganizmach i organizmach genetycznie zmodyfikowanych (Dz.U. z 2017 r. poz. 2134). Zakres przedmiotowy tej ustawy obejmuje:</w:t>
      </w:r>
    </w:p>
    <w:p w:rsidR="003F2742" w:rsidRPr="003F2742" w:rsidRDefault="003F2742" w:rsidP="003F2742">
      <w:pPr>
        <w:pStyle w:val="NormalnyWeb"/>
        <w:numPr>
          <w:ilvl w:val="0"/>
          <w:numId w:val="22"/>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zamknięte użycie mikroorganizmów i organizmów genetycznie zmodyfikowanych (GMM i GMO) oraz tworzenie zakładów inżynierii genetycznej</w:t>
      </w:r>
      <w:r>
        <w:rPr>
          <w:rFonts w:ascii="Calibri" w:hAnsi="Calibri" w:cstheme="minorHAnsi"/>
          <w:sz w:val="22"/>
          <w:szCs w:val="22"/>
        </w:rPr>
        <w:t>;</w:t>
      </w:r>
    </w:p>
    <w:p w:rsidR="003F2742" w:rsidRPr="003F2742" w:rsidRDefault="003F2742" w:rsidP="003F2742">
      <w:pPr>
        <w:pStyle w:val="NormalnyWeb"/>
        <w:numPr>
          <w:ilvl w:val="0"/>
          <w:numId w:val="22"/>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zamierzone uwalnianie GMO do środowiska w celach inn</w:t>
      </w:r>
      <w:r>
        <w:rPr>
          <w:rFonts w:ascii="Calibri" w:hAnsi="Calibri" w:cstheme="minorHAnsi"/>
          <w:sz w:val="22"/>
          <w:szCs w:val="22"/>
        </w:rPr>
        <w:t>ych niż wprowadzenie do obrotu;</w:t>
      </w:r>
    </w:p>
    <w:p w:rsidR="003F2742" w:rsidRPr="003F2742" w:rsidRDefault="003F2742" w:rsidP="003F2742">
      <w:pPr>
        <w:pStyle w:val="NormalnyWeb"/>
        <w:numPr>
          <w:ilvl w:val="0"/>
          <w:numId w:val="22"/>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wprowadzanie do obro</w:t>
      </w:r>
      <w:r>
        <w:rPr>
          <w:rFonts w:ascii="Calibri" w:hAnsi="Calibri" w:cstheme="minorHAnsi"/>
          <w:sz w:val="22"/>
          <w:szCs w:val="22"/>
        </w:rPr>
        <w:t>tu produktów GMO;</w:t>
      </w:r>
    </w:p>
    <w:p w:rsidR="003F2742" w:rsidRPr="003F2742" w:rsidRDefault="003F2742" w:rsidP="003F2742">
      <w:pPr>
        <w:pStyle w:val="NormalnyWeb"/>
        <w:numPr>
          <w:ilvl w:val="0"/>
          <w:numId w:val="22"/>
        </w:numPr>
        <w:spacing w:before="0" w:beforeAutospacing="0" w:after="0" w:afterAutospacing="0" w:line="276" w:lineRule="auto"/>
        <w:jc w:val="both"/>
        <w:rPr>
          <w:rFonts w:ascii="Calibri" w:hAnsi="Calibri" w:cstheme="minorHAnsi"/>
          <w:sz w:val="22"/>
          <w:szCs w:val="22"/>
        </w:rPr>
      </w:pPr>
      <w:r w:rsidRPr="003F2742">
        <w:rPr>
          <w:rFonts w:ascii="Calibri" w:hAnsi="Calibri" w:cstheme="minorHAnsi"/>
          <w:sz w:val="22"/>
          <w:szCs w:val="22"/>
        </w:rPr>
        <w:t xml:space="preserve">właściwość organów administracji rządowej w sprawach GMO. </w:t>
      </w:r>
    </w:p>
    <w:p w:rsidR="003F2742" w:rsidRDefault="003F2742" w:rsidP="00E86E91">
      <w:pPr>
        <w:pStyle w:val="NormalnyWeb"/>
        <w:spacing w:before="0" w:beforeAutospacing="0" w:after="0" w:afterAutospacing="0" w:line="276" w:lineRule="auto"/>
        <w:jc w:val="both"/>
        <w:rPr>
          <w:rFonts w:ascii="Calibri" w:hAnsi="Calibri" w:cstheme="minorHAnsi"/>
          <w:i/>
          <w:sz w:val="22"/>
          <w:szCs w:val="22"/>
        </w:rPr>
      </w:pPr>
      <w:r w:rsidRPr="003F2742">
        <w:rPr>
          <w:rFonts w:ascii="Calibri" w:hAnsi="Calibri" w:cstheme="minorHAnsi"/>
          <w:sz w:val="22"/>
          <w:szCs w:val="22"/>
        </w:rPr>
        <w:t>Celem tej ustawy jest zapewnienie bezpieczeństwa biologicznego i ochrona środowiska oraz zdrowia ludzi w związku z podjęciem działań, których przedmiotem są organizmy genetycznie zmodyfikowane. Ustawa ta  transponuje zagadnienia przepisów prawa europejskiego jak i zaga</w:t>
      </w:r>
      <w:r w:rsidR="00E86E91">
        <w:rPr>
          <w:rFonts w:ascii="Calibri" w:hAnsi="Calibri" w:cstheme="minorHAnsi"/>
          <w:sz w:val="22"/>
          <w:szCs w:val="22"/>
        </w:rPr>
        <w:t xml:space="preserve">dnienia objęte </w:t>
      </w:r>
      <w:r w:rsidRPr="00E86E91">
        <w:rPr>
          <w:rFonts w:ascii="Calibri" w:hAnsi="Calibri" w:cstheme="minorHAnsi"/>
          <w:i/>
          <w:sz w:val="22"/>
          <w:szCs w:val="22"/>
        </w:rPr>
        <w:t>Protokołem kartageńskim</w:t>
      </w:r>
      <w:r w:rsidR="00E86E91" w:rsidRPr="00E86E91">
        <w:rPr>
          <w:rFonts w:ascii="Calibri" w:hAnsi="Calibri" w:cstheme="minorHAnsi"/>
          <w:i/>
          <w:sz w:val="22"/>
          <w:szCs w:val="22"/>
        </w:rPr>
        <w:t xml:space="preserve"> o bezpieczeństwie biologicznym</w:t>
      </w:r>
      <w:r w:rsidRPr="00E86E91">
        <w:rPr>
          <w:rFonts w:ascii="Calibri" w:hAnsi="Calibri" w:cstheme="minorHAnsi"/>
          <w:i/>
          <w:sz w:val="22"/>
          <w:szCs w:val="22"/>
        </w:rPr>
        <w:t xml:space="preserve">. </w:t>
      </w:r>
    </w:p>
    <w:p w:rsidR="00E86E91" w:rsidRPr="00E86E91" w:rsidRDefault="00E86E91" w:rsidP="00E86E91">
      <w:pPr>
        <w:pStyle w:val="NormalnyWeb"/>
        <w:spacing w:before="0" w:beforeAutospacing="0" w:after="0" w:afterAutospacing="0" w:line="276" w:lineRule="auto"/>
        <w:jc w:val="both"/>
        <w:rPr>
          <w:rFonts w:ascii="Calibri" w:hAnsi="Calibri" w:cstheme="minorHAnsi"/>
          <w:sz w:val="22"/>
          <w:szCs w:val="22"/>
        </w:rPr>
      </w:pPr>
    </w:p>
    <w:p w:rsidR="00A0064B" w:rsidRPr="003B1DFB" w:rsidRDefault="00A0064B" w:rsidP="003B1DFB">
      <w:pPr>
        <w:pStyle w:val="Nagwek2"/>
      </w:pPr>
      <w:bookmarkStart w:id="48" w:name="_Toc505604925"/>
      <w:bookmarkStart w:id="49" w:name="_Toc505605318"/>
      <w:r w:rsidRPr="003B1DFB">
        <w:t>Klimat akustyczny</w:t>
      </w:r>
      <w:bookmarkEnd w:id="48"/>
      <w:bookmarkEnd w:id="49"/>
    </w:p>
    <w:p w:rsidR="00D30FE6" w:rsidRPr="00D30FE6" w:rsidRDefault="00D30FE6" w:rsidP="00D30FE6">
      <w:pPr>
        <w:pStyle w:val="NormalnyWeb"/>
        <w:spacing w:before="0" w:beforeAutospacing="0" w:after="0" w:afterAutospacing="0" w:line="276" w:lineRule="auto"/>
        <w:jc w:val="both"/>
        <w:rPr>
          <w:rFonts w:ascii="Calibri" w:hAnsi="Calibri" w:cstheme="minorHAnsi"/>
          <w:sz w:val="22"/>
          <w:szCs w:val="22"/>
        </w:rPr>
      </w:pPr>
      <w:r w:rsidRPr="00D30FE6">
        <w:rPr>
          <w:rFonts w:ascii="Calibri" w:hAnsi="Calibri" w:cstheme="minorHAnsi"/>
          <w:sz w:val="22"/>
          <w:szCs w:val="22"/>
        </w:rPr>
        <w:t>Przez hałas rozumie się dźwięki o częstotliwościach od 16 Hz do 16 000 Hz</w:t>
      </w:r>
      <w:r w:rsidRPr="00D30FE6">
        <w:rPr>
          <w:rFonts w:ascii="Calibri" w:hAnsi="Calibri" w:cstheme="minorHAnsi"/>
          <w:sz w:val="22"/>
          <w:szCs w:val="22"/>
          <w:vertAlign w:val="superscript"/>
        </w:rPr>
        <w:footnoteReference w:id="32"/>
      </w:r>
      <w:r w:rsidRPr="00D30FE6">
        <w:rPr>
          <w:rFonts w:ascii="Calibri" w:hAnsi="Calibri" w:cstheme="minorHAnsi"/>
          <w:sz w:val="22"/>
          <w:szCs w:val="22"/>
          <w:vertAlign w:val="superscript"/>
        </w:rPr>
        <w:t>.</w:t>
      </w:r>
    </w:p>
    <w:p w:rsidR="00D30FE6" w:rsidRPr="00D30FE6" w:rsidRDefault="00D30FE6" w:rsidP="00D30FE6">
      <w:pPr>
        <w:pStyle w:val="NormalnyWeb"/>
        <w:spacing w:before="0" w:beforeAutospacing="0" w:after="0" w:afterAutospacing="0" w:line="276" w:lineRule="auto"/>
        <w:jc w:val="both"/>
        <w:rPr>
          <w:rFonts w:ascii="Calibri" w:hAnsi="Calibri" w:cstheme="minorHAnsi"/>
          <w:sz w:val="22"/>
          <w:szCs w:val="22"/>
        </w:rPr>
      </w:pPr>
      <w:r w:rsidRPr="00D30FE6">
        <w:rPr>
          <w:rFonts w:ascii="Calibri" w:hAnsi="Calibri" w:cstheme="minorHAnsi"/>
          <w:sz w:val="22"/>
          <w:szCs w:val="22"/>
        </w:rPr>
        <w:t xml:space="preserve">Hałas jest czynnikiem stresogennym i stanowi istotne zagrożenie dla zdrowia publicznego. Długotrwała ekspozycja na hałas powoduje m. in. rozdrażnienie, zaburzenia snu, obniża percepcję i wydajność dotyczącą generalnie każdej aktywności, przyczynia się do zapadania na choroby psychosomatyczne. </w:t>
      </w:r>
    </w:p>
    <w:p w:rsidR="00D30FE6" w:rsidRPr="00D30FE6" w:rsidRDefault="00D30FE6" w:rsidP="00D30FE6">
      <w:pPr>
        <w:pStyle w:val="NormalnyWeb"/>
        <w:spacing w:before="0" w:beforeAutospacing="0" w:after="0" w:afterAutospacing="0" w:line="276" w:lineRule="auto"/>
        <w:jc w:val="both"/>
        <w:rPr>
          <w:rFonts w:ascii="Calibri" w:hAnsi="Calibri" w:cstheme="minorHAnsi"/>
          <w:sz w:val="22"/>
          <w:szCs w:val="22"/>
        </w:rPr>
      </w:pPr>
      <w:r w:rsidRPr="00D30FE6">
        <w:rPr>
          <w:rFonts w:ascii="Calibri" w:hAnsi="Calibri" w:cstheme="minorHAnsi"/>
          <w:sz w:val="22"/>
          <w:szCs w:val="22"/>
        </w:rPr>
        <w:t>Źródłem hałasu powstającego w środowisku są drogi, linie kolejowe, linie tramwajowe, lotniska i przeloty samolotów, linie elektroenergetyczne, przemysł, działalność usługowa, handlowa, rozrywkowa oraz wszelka inna, z którą wiąże się emisja energii akustycznej.</w:t>
      </w:r>
    </w:p>
    <w:p w:rsidR="00D30FE6" w:rsidRPr="00D30FE6" w:rsidRDefault="00D30FE6" w:rsidP="00D30FE6">
      <w:pPr>
        <w:spacing w:after="0"/>
        <w:contextualSpacing/>
        <w:jc w:val="both"/>
      </w:pPr>
      <w:r w:rsidRPr="00D30FE6">
        <w:lastRenderedPageBreak/>
        <w:t>Narażenie na hałas w Polsce, jak i Europie, generalnie wykazuje tendencję wzrostową, w szczególności w obszarach zurbanizowanych. Niepokojące jest zjawisko narastania narażenia na hałas w porze nocy.</w:t>
      </w:r>
    </w:p>
    <w:p w:rsidR="00D30FE6" w:rsidRDefault="00D30FE6" w:rsidP="00D30FE6">
      <w:pPr>
        <w:spacing w:after="0"/>
        <w:contextualSpacing/>
        <w:jc w:val="both"/>
      </w:pPr>
    </w:p>
    <w:p w:rsidR="00D30FE6" w:rsidRPr="00D30FE6" w:rsidRDefault="00D30FE6" w:rsidP="00D30FE6">
      <w:pPr>
        <w:spacing w:after="0"/>
        <w:contextualSpacing/>
        <w:jc w:val="both"/>
      </w:pPr>
      <w:r w:rsidRPr="00D30FE6">
        <w:t>Według Światowej Organizacji Zdrowia (WHO) i Wspólnego Centrum Badawczego Komisji Europejskiej (</w:t>
      </w:r>
      <w:r w:rsidRPr="00D30FE6">
        <w:rPr>
          <w:i/>
        </w:rPr>
        <w:t>Joint Research Centre</w:t>
      </w:r>
      <w:r w:rsidRPr="00D30FE6">
        <w:t xml:space="preserve"> – JRC) </w:t>
      </w:r>
      <w:r w:rsidR="00E03D7E">
        <w:rPr>
          <w:rStyle w:val="Odwoanieprzypisudolnego"/>
        </w:rPr>
        <w:footnoteReference w:id="33"/>
      </w:r>
      <w:r w:rsidRPr="00D30FE6">
        <w:t>każdego roku wskutek hałasu, którego źródłem jest ruch drogowy, następuje utrata łącznie ponad 1 mln lat zdrowego życia obywateli w państwach członkowskich Unii Europejskiej oraz w innych krajach Europy Zachodniej.</w:t>
      </w:r>
    </w:p>
    <w:p w:rsidR="00D30FE6" w:rsidRPr="00D30FE6" w:rsidRDefault="00D30FE6" w:rsidP="00D30FE6">
      <w:pPr>
        <w:pStyle w:val="Tekstpodstawowywcity"/>
        <w:ind w:left="0"/>
        <w:contextualSpacing/>
        <w:jc w:val="both"/>
      </w:pPr>
      <w:r w:rsidRPr="00D30FE6">
        <w:t>Diagnoza stanu akustycznego środowiska w Polsce dokonywana jest w ramach Państwowego Monitoringu Środowiska na podstawie map akustycznych sporządzanych, zgodnie z transponowaną do polskiego porządku prawnego dyrektywą Parlamentu Europejskiego i Rady 2002/49/WE z dnia 25 czerwca 2002r. odnoszącą się do oceny i zarządzania poziomem hałasu w środowisku (Dz. Urz. WE L 189 z 18.07.2002), w cyklu 5-cio letnim, począwszy od roku 2007, oraz na podstawie prowadzonych przez wojewódzkie inspektoraty ochrony środowiska planowych pomiarów hałasu na obszarach nie objętych mapami akustycznymi i interwencyjnych pomiarów hałasu, jak również na podstawie prowadzonych przez podmioty zobowiązane do okresowych pomiarów hałasu.</w:t>
      </w:r>
    </w:p>
    <w:p w:rsidR="00D30FE6" w:rsidRPr="00D30FE6" w:rsidRDefault="00D30FE6" w:rsidP="00D30FE6">
      <w:pPr>
        <w:pStyle w:val="Tekstpodstawowywcity"/>
        <w:ind w:left="0"/>
        <w:contextualSpacing/>
        <w:jc w:val="both"/>
      </w:pPr>
      <w:r w:rsidRPr="00D30FE6">
        <w:t>Aktualnie mapy akustyczne wykonywane są w odniesieniu do:</w:t>
      </w:r>
    </w:p>
    <w:p w:rsidR="00D30FE6" w:rsidRPr="00D30FE6" w:rsidRDefault="00D30FE6" w:rsidP="00D30FE6">
      <w:pPr>
        <w:pStyle w:val="Tekstpodstawowywcity"/>
        <w:numPr>
          <w:ilvl w:val="0"/>
          <w:numId w:val="31"/>
        </w:numPr>
        <w:contextualSpacing/>
        <w:jc w:val="both"/>
      </w:pPr>
      <w:r w:rsidRPr="00D30FE6">
        <w:t xml:space="preserve">miast o liczbie mieszkańców powyżej 100 </w:t>
      </w:r>
      <w:r>
        <w:t>tys.;</w:t>
      </w:r>
    </w:p>
    <w:p w:rsidR="00D30FE6" w:rsidRPr="00D30FE6" w:rsidRDefault="00D30FE6" w:rsidP="00D30FE6">
      <w:pPr>
        <w:pStyle w:val="Tekstpodstawowywcity"/>
        <w:numPr>
          <w:ilvl w:val="0"/>
          <w:numId w:val="31"/>
        </w:numPr>
        <w:contextualSpacing/>
        <w:jc w:val="both"/>
      </w:pPr>
      <w:r w:rsidRPr="00D30FE6">
        <w:t>głównych dróg (tj. dróg, po których przejeżdża rocznie ponad 3 mln. pojazdów)</w:t>
      </w:r>
      <w:r>
        <w:t>;</w:t>
      </w:r>
      <w:r w:rsidRPr="00D30FE6">
        <w:t xml:space="preserve"> </w:t>
      </w:r>
    </w:p>
    <w:p w:rsidR="00D30FE6" w:rsidRPr="00D30FE6" w:rsidRDefault="00D30FE6" w:rsidP="00D30FE6">
      <w:pPr>
        <w:pStyle w:val="Tekstpodstawowywcity"/>
        <w:numPr>
          <w:ilvl w:val="0"/>
          <w:numId w:val="31"/>
        </w:numPr>
        <w:contextualSpacing/>
        <w:jc w:val="both"/>
      </w:pPr>
      <w:r w:rsidRPr="00D30FE6">
        <w:t>głównych linii kolejowych ( tj. linii kolejowych, po których przejeżdża rocznie ponad 30 tys. pociągów)</w:t>
      </w:r>
      <w:r>
        <w:t>;</w:t>
      </w:r>
      <w:r w:rsidRPr="00D30FE6">
        <w:t xml:space="preserve"> </w:t>
      </w:r>
    </w:p>
    <w:p w:rsidR="00D30FE6" w:rsidRPr="00E03D7E" w:rsidRDefault="00D30FE6" w:rsidP="00D30FE6">
      <w:pPr>
        <w:pStyle w:val="Tekstpodstawowywcity"/>
        <w:numPr>
          <w:ilvl w:val="0"/>
          <w:numId w:val="31"/>
        </w:numPr>
        <w:contextualSpacing/>
        <w:jc w:val="both"/>
      </w:pPr>
      <w:r w:rsidRPr="00D30FE6">
        <w:t xml:space="preserve">głównych lotnisk (tj. lotnisk cywilnych, na których odbywa się ponad 50 tys. operacji - startów lub lądowań) z wyłączeniem operacji dokonywanych w celach szkoleniowych. </w:t>
      </w:r>
    </w:p>
    <w:p w:rsidR="00E03D7E" w:rsidRDefault="00E03D7E" w:rsidP="00D30FE6">
      <w:pPr>
        <w:jc w:val="both"/>
        <w:rPr>
          <w:u w:val="single"/>
        </w:rPr>
      </w:pPr>
    </w:p>
    <w:p w:rsidR="00D30FE6" w:rsidRPr="00E03D7E" w:rsidRDefault="00D30FE6" w:rsidP="00E03D7E">
      <w:pPr>
        <w:spacing w:after="0"/>
        <w:jc w:val="both"/>
        <w:rPr>
          <w:rFonts w:ascii="Times New Roman" w:hAnsi="Times New Roman"/>
          <w:sz w:val="24"/>
          <w:szCs w:val="24"/>
          <w:u w:val="single"/>
        </w:rPr>
      </w:pPr>
      <w:r w:rsidRPr="00E03D7E">
        <w:rPr>
          <w:u w:val="single"/>
        </w:rPr>
        <w:t>Hałas drogowy</w:t>
      </w:r>
      <w:r w:rsidRPr="00E03D7E">
        <w:rPr>
          <w:rFonts w:ascii="Times New Roman" w:hAnsi="Times New Roman"/>
          <w:sz w:val="24"/>
          <w:szCs w:val="24"/>
          <w:u w:val="single"/>
        </w:rPr>
        <w:t xml:space="preserve"> </w:t>
      </w:r>
    </w:p>
    <w:p w:rsidR="00D30FE6" w:rsidRPr="00D30FE6" w:rsidRDefault="00D30FE6" w:rsidP="00E03D7E">
      <w:pPr>
        <w:pStyle w:val="Tekstpodstawowywcity"/>
        <w:spacing w:after="0"/>
        <w:ind w:left="0"/>
        <w:contextualSpacing/>
        <w:jc w:val="both"/>
      </w:pPr>
      <w:r w:rsidRPr="00D30FE6">
        <w:t xml:space="preserve">Halas drogowy jest źródłem największych negatywnych i uciążliwych akustycznych oddziaływań na środowisko zarówno na terenach miast, gdzie liczba osób narażonych na ten hałas wciąż wzrasta, jak i na terenach poza aglomeracjami. Hałas drogowy jest szczególnie uciążliwy w porze nocy, gdyż powoduje znaczne zakłócenia snu. Jednocześnie należy wskazać, że notuje się wzrost natężenia ruchu na drogach jak i powstawanie nowych dróg. </w:t>
      </w: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Default="00D30FE6" w:rsidP="00D30FE6">
      <w:pPr>
        <w:pStyle w:val="Tekstpodstawowywcity"/>
        <w:ind w:left="0"/>
        <w:contextualSpacing/>
        <w:jc w:val="both"/>
      </w:pPr>
    </w:p>
    <w:p w:rsidR="00D30FE6" w:rsidRPr="00D30FE6" w:rsidRDefault="00D30FE6" w:rsidP="00D30FE6">
      <w:pPr>
        <w:pStyle w:val="Tekstpodstawowywcity"/>
        <w:ind w:left="0"/>
        <w:contextualSpacing/>
        <w:jc w:val="both"/>
        <w:rPr>
          <w:i/>
        </w:rPr>
      </w:pPr>
      <w:r w:rsidRPr="00D30FE6">
        <w:rPr>
          <w:i/>
        </w:rPr>
        <w:t xml:space="preserve">Rys. </w:t>
      </w:r>
      <w:r w:rsidR="0077038F">
        <w:rPr>
          <w:i/>
        </w:rPr>
        <w:t xml:space="preserve">5.1. </w:t>
      </w:r>
      <w:r w:rsidRPr="00D30FE6">
        <w:rPr>
          <w:i/>
        </w:rPr>
        <w:t>Procentowy rozkład poziomu hałasu drogowego krótkookresowego świetle badań w latach 1993-2015, na podstawie danych z bazy Ehałas (źródło: GIOŚ/PMŚ)</w:t>
      </w:r>
    </w:p>
    <w:p w:rsidR="00D30FE6" w:rsidRPr="002C06E4" w:rsidRDefault="00D30FE6" w:rsidP="00D30FE6">
      <w:pPr>
        <w:jc w:val="both"/>
        <w:rPr>
          <w:rFonts w:ascii="Times New Roman" w:hAnsi="Times New Roman"/>
          <w:sz w:val="24"/>
          <w:szCs w:val="24"/>
        </w:rPr>
      </w:pPr>
      <w:r>
        <w:rPr>
          <w:rFonts w:ascii="Times New Roman" w:hAnsi="Times New Roman"/>
          <w:noProof/>
          <w:sz w:val="24"/>
          <w:szCs w:val="24"/>
          <w:lang w:eastAsia="pl-PL"/>
        </w:rPr>
        <w:drawing>
          <wp:inline distT="0" distB="0" distL="0" distR="0" wp14:anchorId="33577D15" wp14:editId="3E66525D">
            <wp:extent cx="4599940" cy="2761615"/>
            <wp:effectExtent l="0" t="0" r="0" b="63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9940" cy="2761615"/>
                    </a:xfrm>
                    <a:prstGeom prst="rect">
                      <a:avLst/>
                    </a:prstGeom>
                    <a:noFill/>
                  </pic:spPr>
                </pic:pic>
              </a:graphicData>
            </a:graphic>
          </wp:inline>
        </w:drawing>
      </w:r>
    </w:p>
    <w:p w:rsidR="00D30FE6" w:rsidRPr="00D30FE6" w:rsidRDefault="00D30FE6" w:rsidP="00D30FE6">
      <w:pPr>
        <w:jc w:val="both"/>
      </w:pPr>
      <w:r w:rsidRPr="00D30FE6">
        <w:t xml:space="preserve">Porównując kolejne okresy wykonywania badań monitoringowych hałasu, należy pamiętać, że od roku 2007 WIOŚ wykonuje pomiary przy drogach nie objętych procesem opracowywania map akustycznych, czyli przy drogach, po których przejeżdża mniej pojazdów niż 3 mln na rok. Niemniej jednak – jak wynika z pomiarów WIOŚ – drogi o mniejszym natężeniu ruchu powodują również przekroczenia dopuszczalnych poziomów dźwięku na terenach chronionych z akustycznego punktu widzenia położonych bezpośrednio przy tych drogach. </w:t>
      </w:r>
    </w:p>
    <w:p w:rsidR="00D30FE6" w:rsidRPr="00D30FE6" w:rsidRDefault="00D30FE6" w:rsidP="00D30FE6">
      <w:pPr>
        <w:jc w:val="both"/>
      </w:pPr>
      <w:r w:rsidRPr="00D30FE6">
        <w:t>Łącznie w całej Polsce w latach 2012–2015 wojewódzkie inspektoraty ochrony środowiska wykonały pomiary hałasu długookresowego na terenach podlegających ochronie akustycznej w 698 punktach pomiarowych.</w:t>
      </w:r>
    </w:p>
    <w:p w:rsidR="00D30FE6" w:rsidRPr="00D30FE6" w:rsidRDefault="00D30FE6" w:rsidP="00D30FE6">
      <w:pPr>
        <w:jc w:val="both"/>
      </w:pPr>
    </w:p>
    <w:p w:rsidR="00D30FE6" w:rsidRPr="00D30FE6" w:rsidRDefault="00D30FE6" w:rsidP="00D30FE6">
      <w:pPr>
        <w:jc w:val="both"/>
      </w:pPr>
    </w:p>
    <w:p w:rsidR="00D30FE6" w:rsidRDefault="00D30FE6" w:rsidP="00D30FE6">
      <w:pPr>
        <w:jc w:val="both"/>
        <w:rPr>
          <w:rFonts w:ascii="Times New Roman" w:hAnsi="Times New Roman"/>
          <w:sz w:val="24"/>
          <w:szCs w:val="24"/>
        </w:rPr>
      </w:pPr>
    </w:p>
    <w:p w:rsidR="00D30FE6" w:rsidRDefault="00D30FE6" w:rsidP="00D30FE6">
      <w:pPr>
        <w:jc w:val="both"/>
        <w:rPr>
          <w:rFonts w:ascii="Times New Roman" w:hAnsi="Times New Roman"/>
          <w:sz w:val="24"/>
          <w:szCs w:val="24"/>
        </w:rPr>
      </w:pPr>
    </w:p>
    <w:p w:rsidR="00D30FE6" w:rsidRDefault="00D30FE6" w:rsidP="00D30FE6">
      <w:pPr>
        <w:jc w:val="both"/>
        <w:rPr>
          <w:rFonts w:ascii="Times New Roman" w:hAnsi="Times New Roman"/>
          <w:sz w:val="24"/>
          <w:szCs w:val="24"/>
        </w:rPr>
      </w:pPr>
    </w:p>
    <w:p w:rsidR="00D30FE6" w:rsidRDefault="00D30FE6" w:rsidP="00D30FE6">
      <w:pPr>
        <w:jc w:val="both"/>
        <w:rPr>
          <w:rFonts w:ascii="Times New Roman" w:hAnsi="Times New Roman"/>
          <w:sz w:val="24"/>
          <w:szCs w:val="24"/>
        </w:rPr>
      </w:pPr>
    </w:p>
    <w:p w:rsidR="00D30FE6" w:rsidRDefault="00D30FE6" w:rsidP="00D30FE6">
      <w:pPr>
        <w:jc w:val="both"/>
        <w:rPr>
          <w:rFonts w:ascii="Times New Roman" w:hAnsi="Times New Roman"/>
          <w:sz w:val="24"/>
          <w:szCs w:val="24"/>
        </w:rPr>
      </w:pPr>
    </w:p>
    <w:p w:rsidR="00D30FE6" w:rsidRDefault="00D30FE6" w:rsidP="00D30FE6">
      <w:pPr>
        <w:jc w:val="both"/>
        <w:rPr>
          <w:rFonts w:ascii="Times New Roman" w:hAnsi="Times New Roman"/>
          <w:sz w:val="24"/>
          <w:szCs w:val="24"/>
        </w:rPr>
      </w:pPr>
    </w:p>
    <w:p w:rsidR="00E03D7E" w:rsidRPr="002C06E4" w:rsidRDefault="00E03D7E" w:rsidP="00D30FE6">
      <w:pPr>
        <w:jc w:val="both"/>
        <w:rPr>
          <w:rFonts w:ascii="Times New Roman" w:hAnsi="Times New Roman"/>
          <w:sz w:val="24"/>
          <w:szCs w:val="24"/>
        </w:rPr>
      </w:pPr>
    </w:p>
    <w:tbl>
      <w:tblPr>
        <w:tblW w:w="0" w:type="auto"/>
        <w:tblLook w:val="04A0" w:firstRow="1" w:lastRow="0" w:firstColumn="1" w:lastColumn="0" w:noHBand="0" w:noVBand="1"/>
      </w:tblPr>
      <w:tblGrid>
        <w:gridCol w:w="9072"/>
      </w:tblGrid>
      <w:tr w:rsidR="00D30FE6" w:rsidRPr="00340C13" w:rsidTr="00E03D7E">
        <w:tc>
          <w:tcPr>
            <w:tcW w:w="9072" w:type="dxa"/>
          </w:tcPr>
          <w:p w:rsidR="00D30FE6" w:rsidRPr="00E03D7E" w:rsidRDefault="00D30FE6" w:rsidP="0077038F">
            <w:pPr>
              <w:spacing w:after="0"/>
              <w:ind w:left="993" w:hanging="993"/>
              <w:jc w:val="both"/>
            </w:pPr>
            <w:r w:rsidRPr="00E03D7E">
              <w:rPr>
                <w:i/>
              </w:rPr>
              <w:lastRenderedPageBreak/>
              <w:t xml:space="preserve">Rys. </w:t>
            </w:r>
            <w:r w:rsidR="0077038F">
              <w:rPr>
                <w:i/>
              </w:rPr>
              <w:t>5.2.</w:t>
            </w:r>
            <w:r w:rsidRPr="00E03D7E">
              <w:rPr>
                <w:i/>
              </w:rPr>
              <w:t xml:space="preserve"> Procent punktów pomiarowych hałasu drogowego długookresowego </w:t>
            </w:r>
            <w:r w:rsidRPr="00E03D7E">
              <w:rPr>
                <w:i/>
                <w:iCs/>
              </w:rPr>
              <w:t>(wyrażonego wskaźnikiem L</w:t>
            </w:r>
            <w:r w:rsidRPr="00E03D7E">
              <w:rPr>
                <w:i/>
                <w:iCs/>
                <w:vertAlign w:val="subscript"/>
              </w:rPr>
              <w:t xml:space="preserve">N </w:t>
            </w:r>
            <w:r w:rsidRPr="00E03D7E">
              <w:rPr>
                <w:rStyle w:val="Odwoanieprzypisudolnego"/>
                <w:i/>
                <w:iCs/>
              </w:rPr>
              <w:footnoteReference w:id="34"/>
            </w:r>
            <w:r w:rsidRPr="00E03D7E">
              <w:rPr>
                <w:i/>
                <w:iCs/>
              </w:rPr>
              <w:t xml:space="preserve">zlokalizowanych  na terenach mieszkalnych, </w:t>
            </w:r>
            <w:r w:rsidRPr="00E03D7E">
              <w:rPr>
                <w:i/>
              </w:rPr>
              <w:t>w których wystąpiło przekroczenie  dopuszczalnych poziomów dźwięku</w:t>
            </w:r>
            <w:r w:rsidRPr="00E03D7E">
              <w:rPr>
                <w:i/>
                <w:iCs/>
              </w:rPr>
              <w:t xml:space="preserve"> w latach 2012–2015 , na podstawie danych z bazy Ehałas (źródło: GIOŚ/PMŚ).</w:t>
            </w:r>
          </w:p>
        </w:tc>
      </w:tr>
    </w:tbl>
    <w:p w:rsidR="00D30FE6" w:rsidRDefault="00D30FE6" w:rsidP="00E03D7E">
      <w:pPr>
        <w:jc w:val="both"/>
        <w:rPr>
          <w:rFonts w:ascii="Times New Roman" w:hAnsi="Times New Roman"/>
          <w:noProof/>
          <w:sz w:val="24"/>
          <w:szCs w:val="24"/>
          <w:lang w:eastAsia="pl-PL"/>
        </w:rPr>
      </w:pPr>
    </w:p>
    <w:p w:rsidR="00D30FE6" w:rsidRPr="002C06E4" w:rsidRDefault="00E03D7E" w:rsidP="00D30FE6">
      <w:pPr>
        <w:jc w:val="both"/>
        <w:rPr>
          <w:rFonts w:ascii="Times New Roman" w:hAnsi="Times New Roman"/>
          <w:sz w:val="24"/>
          <w:szCs w:val="24"/>
        </w:rPr>
      </w:pPr>
      <w:r>
        <w:rPr>
          <w:rFonts w:ascii="Times New Roman" w:hAnsi="Times New Roman"/>
          <w:noProof/>
          <w:sz w:val="24"/>
          <w:szCs w:val="24"/>
          <w:lang w:eastAsia="pl-PL"/>
        </w:rPr>
        <w:drawing>
          <wp:inline distT="0" distB="0" distL="0" distR="0" wp14:anchorId="76729B6A" wp14:editId="25C12559">
            <wp:extent cx="4057015" cy="2343150"/>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57015" cy="2343150"/>
                    </a:xfrm>
                    <a:prstGeom prst="rect">
                      <a:avLst/>
                    </a:prstGeom>
                    <a:noFill/>
                  </pic:spPr>
                </pic:pic>
              </a:graphicData>
            </a:graphic>
          </wp:inline>
        </w:drawing>
      </w:r>
    </w:p>
    <w:p w:rsidR="00D30FE6" w:rsidRPr="00E03D7E" w:rsidRDefault="00D30FE6" w:rsidP="00D30FE6">
      <w:pPr>
        <w:jc w:val="both"/>
      </w:pPr>
      <w:r w:rsidRPr="00E03D7E">
        <w:t xml:space="preserve">Dane z map akustycznych wykonanych w ramach II rundy mapowania (rok 2012) wskazują, że </w:t>
      </w:r>
      <w:r w:rsidRPr="00E03D7E">
        <w:rPr>
          <w:b/>
        </w:rPr>
        <w:t>narażenie ludności w Polsce na hałas drogowy</w:t>
      </w:r>
      <w:r w:rsidRPr="00E03D7E">
        <w:t xml:space="preserve"> jest istotnym problemem. Z ponad 10 mln osób zamieszkujących miasta o liczbie mieszkańców powyżej 100 tys., blisko 4 mln osób jest narażonych na hałas w porze nocy </w:t>
      </w:r>
      <w:r w:rsidRPr="0077038F">
        <w:t>(Tab. 1)</w:t>
      </w:r>
    </w:p>
    <w:p w:rsidR="00D30FE6" w:rsidRDefault="00D30FE6" w:rsidP="00D30FE6">
      <w:pPr>
        <w:jc w:val="both"/>
      </w:pPr>
      <w:r w:rsidRPr="00E03D7E">
        <w:t>Liczba ludności narażonej na hałas drogowy w porze nocy na obszarach, dla których nie istnieje obowiązek wykonywania map akustycznych, wynosi nieco ponad 23 tysiące (Tab. 2). Wartość tę obliczono w sposób uproszczony na podstawie badań monitoringowych hałasu drogowego przeprowadzonych przez wojewódzkie inspektoraty ochrony środowiska. Na rzecz tych obliczeń  uwzględniono liczbę budynków jednorodzinnych oraz liczbę mieszkań w budynkach wielorodzinnych narażonych na hałas w przedziałach konkretnych przekroczeń, przyjmując, że średnio w domu jednorodzinnym mieszkają 3 osoby, a w mieszkaniu 2 osoby.</w:t>
      </w:r>
    </w:p>
    <w:p w:rsidR="00E03D7E" w:rsidRDefault="00E03D7E" w:rsidP="00D30FE6">
      <w:pPr>
        <w:jc w:val="both"/>
      </w:pPr>
    </w:p>
    <w:p w:rsidR="00E03D7E" w:rsidRDefault="00E03D7E" w:rsidP="00D30FE6">
      <w:pPr>
        <w:jc w:val="both"/>
      </w:pPr>
    </w:p>
    <w:p w:rsidR="00E03D7E" w:rsidRDefault="00E03D7E" w:rsidP="00D30FE6">
      <w:pPr>
        <w:jc w:val="both"/>
      </w:pPr>
    </w:p>
    <w:p w:rsidR="00E03D7E" w:rsidRDefault="00E03D7E" w:rsidP="00D30FE6">
      <w:pPr>
        <w:jc w:val="both"/>
      </w:pPr>
    </w:p>
    <w:p w:rsidR="00E03D7E" w:rsidRDefault="00E03D7E" w:rsidP="00D30FE6">
      <w:pPr>
        <w:jc w:val="both"/>
      </w:pPr>
    </w:p>
    <w:p w:rsidR="00E03D7E" w:rsidRDefault="00E03D7E" w:rsidP="00D30FE6">
      <w:pPr>
        <w:jc w:val="both"/>
      </w:pPr>
    </w:p>
    <w:p w:rsidR="00E03D7E" w:rsidRDefault="00E03D7E" w:rsidP="00D30FE6">
      <w:pPr>
        <w:jc w:val="both"/>
      </w:pPr>
    </w:p>
    <w:p w:rsidR="00E03D7E" w:rsidRPr="00E03D7E" w:rsidRDefault="00E03D7E" w:rsidP="00D30FE6">
      <w:pPr>
        <w:jc w:val="both"/>
        <w:rPr>
          <w:i/>
          <w:iCs/>
        </w:rPr>
      </w:pPr>
    </w:p>
    <w:tbl>
      <w:tblPr>
        <w:tblW w:w="0" w:type="auto"/>
        <w:tblLook w:val="04A0" w:firstRow="1" w:lastRow="0" w:firstColumn="1" w:lastColumn="0" w:noHBand="0" w:noVBand="1"/>
      </w:tblPr>
      <w:tblGrid>
        <w:gridCol w:w="9212"/>
      </w:tblGrid>
      <w:tr w:rsidR="00D30FE6" w:rsidRPr="00E03D7E" w:rsidTr="00E03D7E">
        <w:tc>
          <w:tcPr>
            <w:tcW w:w="9212" w:type="dxa"/>
          </w:tcPr>
          <w:p w:rsidR="00D30FE6" w:rsidRPr="00E03D7E" w:rsidRDefault="00D30FE6" w:rsidP="00D30FE6">
            <w:pPr>
              <w:ind w:left="993" w:hanging="993"/>
              <w:rPr>
                <w:rFonts w:eastAsia="Times New Roman"/>
                <w:i/>
                <w:iCs/>
                <w:lang w:eastAsia="pl-PL"/>
              </w:rPr>
            </w:pPr>
            <w:r w:rsidRPr="0077038F">
              <w:rPr>
                <w:rFonts w:eastAsia="Times New Roman"/>
                <w:i/>
                <w:iCs/>
                <w:lang w:eastAsia="pl-PL"/>
              </w:rPr>
              <w:t>Tab. 1</w:t>
            </w:r>
            <w:r w:rsidRPr="00E03D7E">
              <w:rPr>
                <w:rFonts w:eastAsia="Times New Roman"/>
                <w:i/>
                <w:iCs/>
                <w:lang w:eastAsia="pl-PL"/>
              </w:rPr>
              <w:t xml:space="preserve"> Liczba ludności w miastach powyżej 100 tys. mieszkańców narażonej na hałas drogowy, wyrażony wskaźnikiem L</w:t>
            </w:r>
            <w:r w:rsidRPr="00E03D7E">
              <w:rPr>
                <w:rFonts w:eastAsia="Times New Roman"/>
                <w:i/>
                <w:iCs/>
                <w:vertAlign w:val="subscript"/>
                <w:lang w:eastAsia="pl-PL"/>
              </w:rPr>
              <w:t>N</w:t>
            </w:r>
            <w:r w:rsidRPr="00E03D7E">
              <w:rPr>
                <w:rFonts w:eastAsia="Times New Roman"/>
                <w:i/>
                <w:iCs/>
                <w:lang w:eastAsia="pl-PL"/>
              </w:rPr>
              <w:t xml:space="preserve"> na podstawie map akustycznych wykonanych w II rundzie mapowania (rok 2012) (źródło: GIOŚ/PMŚ).</w:t>
            </w:r>
          </w:p>
          <w:p w:rsidR="00E03D7E" w:rsidRPr="00E03D7E" w:rsidRDefault="00D30FE6" w:rsidP="00D30FE6">
            <w:pPr>
              <w:rPr>
                <w:rFonts w:eastAsia="Times New Roman"/>
                <w:lang w:eastAsia="pl-PL"/>
              </w:rPr>
            </w:pPr>
            <w:r w:rsidRPr="00E03D7E">
              <w:rPr>
                <w:rFonts w:eastAsia="Times New Roman"/>
                <w:lang w:eastAsia="pl-PL"/>
              </w:rPr>
              <w:t>Przedziały poziomu hałasu zgodnie z rozporządzeniem Ministra Środowiska z dnia 1 października 2007 r. w sprawie szczegółowego zakresu danych ujętych na mapach akustycznych oraz ich układu i sposobu prezentacji.</w:t>
            </w:r>
          </w:p>
        </w:tc>
      </w:tr>
    </w:tbl>
    <w:p w:rsidR="00D30FE6" w:rsidRPr="002C06E4" w:rsidRDefault="00D30FE6" w:rsidP="00D30FE6">
      <w:pPr>
        <w:spacing w:after="0"/>
        <w:rPr>
          <w:rFonts w:ascii="Times New Roman" w:hAnsi="Times New Roman"/>
          <w:i/>
          <w:iCs/>
          <w:sz w:val="24"/>
          <w:szCs w:val="24"/>
        </w:rPr>
      </w:pPr>
    </w:p>
    <w:tbl>
      <w:tblPr>
        <w:tblW w:w="0" w:type="auto"/>
        <w:tblInd w:w="70" w:type="dxa"/>
        <w:tblBorders>
          <w:top w:val="single" w:sz="4" w:space="0" w:color="323E4F"/>
          <w:left w:val="single" w:sz="4" w:space="0" w:color="auto"/>
          <w:bottom w:val="single" w:sz="4" w:space="0" w:color="323E4F"/>
          <w:right w:val="single" w:sz="4" w:space="0" w:color="auto"/>
          <w:insideH w:val="single" w:sz="4" w:space="0" w:color="323E4F"/>
          <w:insideV w:val="single" w:sz="4" w:space="0" w:color="auto"/>
        </w:tblBorders>
        <w:tblLayout w:type="fixed"/>
        <w:tblCellMar>
          <w:left w:w="70" w:type="dxa"/>
          <w:right w:w="70" w:type="dxa"/>
        </w:tblCellMar>
        <w:tblLook w:val="04A0" w:firstRow="1" w:lastRow="0" w:firstColumn="1" w:lastColumn="0" w:noHBand="0" w:noVBand="1"/>
      </w:tblPr>
      <w:tblGrid>
        <w:gridCol w:w="1828"/>
        <w:gridCol w:w="1828"/>
        <w:gridCol w:w="1829"/>
        <w:gridCol w:w="1828"/>
        <w:gridCol w:w="1829"/>
      </w:tblGrid>
      <w:tr w:rsidR="00D30FE6" w:rsidRPr="00340C13" w:rsidTr="00D30FE6">
        <w:trPr>
          <w:trHeight w:val="270"/>
        </w:trPr>
        <w:tc>
          <w:tcPr>
            <w:tcW w:w="9142" w:type="dxa"/>
            <w:gridSpan w:val="5"/>
            <w:tcBorders>
              <w:bottom w:val="single" w:sz="4" w:space="0" w:color="FFFFFF"/>
            </w:tcBorders>
            <w:shd w:val="clear" w:color="auto" w:fill="323E4F"/>
            <w:noWrap/>
            <w:vAlign w:val="bottom"/>
            <w:hideMark/>
          </w:tcPr>
          <w:p w:rsidR="00D30FE6" w:rsidRPr="00E03D7E" w:rsidRDefault="00D30FE6" w:rsidP="00D30FE6">
            <w:pPr>
              <w:spacing w:after="0"/>
              <w:jc w:val="center"/>
              <w:rPr>
                <w:lang w:eastAsia="pl-PL"/>
              </w:rPr>
            </w:pPr>
            <w:r w:rsidRPr="00E03D7E">
              <w:rPr>
                <w:lang w:eastAsia="pl-PL"/>
              </w:rPr>
              <w:t xml:space="preserve">Liczba </w:t>
            </w:r>
            <w:r w:rsidRPr="00E03D7E">
              <w:rPr>
                <w:shd w:val="clear" w:color="auto" w:fill="323E4F"/>
                <w:lang w:eastAsia="pl-PL"/>
              </w:rPr>
              <w:t>ludności narażonej na hałas drogowy w miastach powyżej 100 tys. mieszkańców</w:t>
            </w:r>
          </w:p>
        </w:tc>
      </w:tr>
      <w:tr w:rsidR="00D30FE6" w:rsidRPr="00340C13" w:rsidTr="00D30FE6">
        <w:trPr>
          <w:trHeight w:val="367"/>
        </w:trPr>
        <w:tc>
          <w:tcPr>
            <w:tcW w:w="1828" w:type="dxa"/>
            <w:tcBorders>
              <w:top w:val="single" w:sz="4" w:space="0" w:color="FFFFFF"/>
              <w:right w:val="single" w:sz="4" w:space="0" w:color="FFFFFF"/>
            </w:tcBorders>
            <w:shd w:val="clear" w:color="auto" w:fill="323E4F"/>
            <w:noWrap/>
            <w:vAlign w:val="center"/>
            <w:hideMark/>
          </w:tcPr>
          <w:p w:rsidR="00D30FE6" w:rsidRPr="00E03D7E" w:rsidRDefault="00D30FE6" w:rsidP="00D30FE6">
            <w:pPr>
              <w:spacing w:after="0"/>
              <w:jc w:val="center"/>
              <w:rPr>
                <w:lang w:eastAsia="pl-PL"/>
              </w:rPr>
            </w:pPr>
            <w:r w:rsidRPr="00E03D7E">
              <w:rPr>
                <w:lang w:eastAsia="pl-PL"/>
              </w:rPr>
              <w:t>L</w:t>
            </w:r>
            <w:r w:rsidRPr="00E03D7E">
              <w:rPr>
                <w:vertAlign w:val="subscript"/>
                <w:lang w:eastAsia="pl-PL"/>
              </w:rPr>
              <w:t>N</w:t>
            </w:r>
            <w:r w:rsidRPr="00E03D7E">
              <w:rPr>
                <w:lang w:eastAsia="pl-PL"/>
              </w:rPr>
              <w:t xml:space="preserve"> 50–54 dB</w:t>
            </w:r>
          </w:p>
        </w:tc>
        <w:tc>
          <w:tcPr>
            <w:tcW w:w="1828"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jc w:val="center"/>
              <w:rPr>
                <w:lang w:eastAsia="pl-PL"/>
              </w:rPr>
            </w:pPr>
            <w:r w:rsidRPr="00E03D7E">
              <w:rPr>
                <w:lang w:eastAsia="pl-PL"/>
              </w:rPr>
              <w:t>L</w:t>
            </w:r>
            <w:r w:rsidRPr="00E03D7E">
              <w:rPr>
                <w:vertAlign w:val="subscript"/>
                <w:lang w:eastAsia="pl-PL"/>
              </w:rPr>
              <w:t>N</w:t>
            </w:r>
            <w:r w:rsidRPr="00E03D7E">
              <w:rPr>
                <w:lang w:eastAsia="pl-PL"/>
              </w:rPr>
              <w:t xml:space="preserve"> 55–59 dB</w:t>
            </w:r>
          </w:p>
        </w:tc>
        <w:tc>
          <w:tcPr>
            <w:tcW w:w="1829"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jc w:val="center"/>
              <w:rPr>
                <w:lang w:eastAsia="pl-PL"/>
              </w:rPr>
            </w:pPr>
            <w:r w:rsidRPr="00E03D7E">
              <w:rPr>
                <w:lang w:eastAsia="pl-PL"/>
              </w:rPr>
              <w:t>L</w:t>
            </w:r>
            <w:r w:rsidRPr="00E03D7E">
              <w:rPr>
                <w:vertAlign w:val="subscript"/>
                <w:lang w:eastAsia="pl-PL"/>
              </w:rPr>
              <w:t>N</w:t>
            </w:r>
            <w:r w:rsidRPr="00E03D7E">
              <w:rPr>
                <w:lang w:eastAsia="pl-PL"/>
              </w:rPr>
              <w:t xml:space="preserve"> 60–64 dB</w:t>
            </w:r>
          </w:p>
        </w:tc>
        <w:tc>
          <w:tcPr>
            <w:tcW w:w="1828"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jc w:val="center"/>
              <w:rPr>
                <w:lang w:eastAsia="pl-PL"/>
              </w:rPr>
            </w:pPr>
            <w:r w:rsidRPr="00E03D7E">
              <w:rPr>
                <w:lang w:eastAsia="pl-PL"/>
              </w:rPr>
              <w:t>L</w:t>
            </w:r>
            <w:r w:rsidRPr="00E03D7E">
              <w:rPr>
                <w:vertAlign w:val="subscript"/>
                <w:lang w:eastAsia="pl-PL"/>
              </w:rPr>
              <w:t>N</w:t>
            </w:r>
            <w:r w:rsidRPr="00E03D7E">
              <w:rPr>
                <w:lang w:eastAsia="pl-PL"/>
              </w:rPr>
              <w:t xml:space="preserve"> 65–69 dB</w:t>
            </w:r>
          </w:p>
        </w:tc>
        <w:tc>
          <w:tcPr>
            <w:tcW w:w="1829" w:type="dxa"/>
            <w:tcBorders>
              <w:top w:val="single" w:sz="4" w:space="0" w:color="FFFFFF"/>
              <w:left w:val="single" w:sz="4" w:space="0" w:color="FFFFFF"/>
            </w:tcBorders>
            <w:shd w:val="clear" w:color="auto" w:fill="323E4F"/>
            <w:noWrap/>
            <w:vAlign w:val="center"/>
            <w:hideMark/>
          </w:tcPr>
          <w:p w:rsidR="00D30FE6" w:rsidRPr="00E03D7E" w:rsidRDefault="00D30FE6" w:rsidP="00D30FE6">
            <w:pPr>
              <w:spacing w:after="0"/>
              <w:jc w:val="center"/>
              <w:rPr>
                <w:lang w:eastAsia="pl-PL"/>
              </w:rPr>
            </w:pPr>
            <w:r w:rsidRPr="00E03D7E">
              <w:rPr>
                <w:lang w:eastAsia="pl-PL"/>
              </w:rPr>
              <w:t>L</w:t>
            </w:r>
            <w:r w:rsidRPr="00E03D7E">
              <w:rPr>
                <w:vertAlign w:val="subscript"/>
                <w:lang w:eastAsia="pl-PL"/>
              </w:rPr>
              <w:t>N</w:t>
            </w:r>
            <w:r w:rsidRPr="00E03D7E">
              <w:rPr>
                <w:lang w:eastAsia="pl-PL"/>
              </w:rPr>
              <w:t xml:space="preserve"> powyżej 70 dB</w:t>
            </w:r>
          </w:p>
        </w:tc>
      </w:tr>
      <w:tr w:rsidR="00D30FE6" w:rsidRPr="00340C13" w:rsidTr="00D30FE6">
        <w:trPr>
          <w:trHeight w:val="500"/>
        </w:trPr>
        <w:tc>
          <w:tcPr>
            <w:tcW w:w="1828" w:type="dxa"/>
            <w:shd w:val="clear" w:color="auto" w:fill="auto"/>
            <w:noWrap/>
            <w:vAlign w:val="center"/>
            <w:hideMark/>
          </w:tcPr>
          <w:p w:rsidR="00D30FE6" w:rsidRPr="00E03D7E" w:rsidRDefault="00D30FE6" w:rsidP="00D30FE6">
            <w:pPr>
              <w:spacing w:after="0" w:line="240" w:lineRule="auto"/>
              <w:jc w:val="center"/>
              <w:rPr>
                <w:b/>
                <w:lang w:eastAsia="pl-PL"/>
              </w:rPr>
            </w:pPr>
            <w:r w:rsidRPr="00E03D7E">
              <w:rPr>
                <w:b/>
                <w:lang w:eastAsia="pl-PL"/>
              </w:rPr>
              <w:t>1 840 287</w:t>
            </w:r>
          </w:p>
        </w:tc>
        <w:tc>
          <w:tcPr>
            <w:tcW w:w="1828" w:type="dxa"/>
            <w:shd w:val="clear" w:color="auto" w:fill="auto"/>
            <w:noWrap/>
            <w:vAlign w:val="center"/>
            <w:hideMark/>
          </w:tcPr>
          <w:p w:rsidR="00D30FE6" w:rsidRPr="00E03D7E" w:rsidRDefault="00D30FE6" w:rsidP="00D30FE6">
            <w:pPr>
              <w:spacing w:after="0" w:line="240" w:lineRule="auto"/>
              <w:jc w:val="center"/>
              <w:rPr>
                <w:b/>
                <w:lang w:eastAsia="pl-PL"/>
              </w:rPr>
            </w:pPr>
            <w:r w:rsidRPr="00E03D7E">
              <w:rPr>
                <w:b/>
                <w:lang w:eastAsia="pl-PL"/>
              </w:rPr>
              <w:t>1 177 791</w:t>
            </w:r>
          </w:p>
        </w:tc>
        <w:tc>
          <w:tcPr>
            <w:tcW w:w="1829" w:type="dxa"/>
            <w:shd w:val="clear" w:color="auto" w:fill="auto"/>
            <w:noWrap/>
            <w:vAlign w:val="center"/>
            <w:hideMark/>
          </w:tcPr>
          <w:p w:rsidR="00D30FE6" w:rsidRPr="00E03D7E" w:rsidRDefault="00D30FE6" w:rsidP="00D30FE6">
            <w:pPr>
              <w:spacing w:after="0" w:line="240" w:lineRule="auto"/>
              <w:jc w:val="center"/>
              <w:rPr>
                <w:b/>
                <w:lang w:eastAsia="pl-PL"/>
              </w:rPr>
            </w:pPr>
            <w:r w:rsidRPr="00E03D7E">
              <w:rPr>
                <w:b/>
                <w:lang w:eastAsia="pl-PL"/>
              </w:rPr>
              <w:t>606 853</w:t>
            </w:r>
          </w:p>
        </w:tc>
        <w:tc>
          <w:tcPr>
            <w:tcW w:w="1828" w:type="dxa"/>
            <w:shd w:val="clear" w:color="auto" w:fill="auto"/>
            <w:noWrap/>
            <w:vAlign w:val="center"/>
            <w:hideMark/>
          </w:tcPr>
          <w:p w:rsidR="00D30FE6" w:rsidRPr="00E03D7E" w:rsidRDefault="00D30FE6" w:rsidP="00D30FE6">
            <w:pPr>
              <w:spacing w:after="0" w:line="240" w:lineRule="auto"/>
              <w:jc w:val="center"/>
              <w:rPr>
                <w:b/>
                <w:lang w:eastAsia="pl-PL"/>
              </w:rPr>
            </w:pPr>
            <w:r w:rsidRPr="00E03D7E">
              <w:rPr>
                <w:b/>
                <w:lang w:eastAsia="pl-PL"/>
              </w:rPr>
              <w:t>205 766</w:t>
            </w:r>
          </w:p>
        </w:tc>
        <w:tc>
          <w:tcPr>
            <w:tcW w:w="1829" w:type="dxa"/>
            <w:shd w:val="clear" w:color="auto" w:fill="auto"/>
            <w:noWrap/>
            <w:vAlign w:val="center"/>
            <w:hideMark/>
          </w:tcPr>
          <w:p w:rsidR="00D30FE6" w:rsidRPr="00E03D7E" w:rsidRDefault="00D30FE6" w:rsidP="00D30FE6">
            <w:pPr>
              <w:spacing w:after="0" w:line="240" w:lineRule="auto"/>
              <w:jc w:val="center"/>
              <w:rPr>
                <w:b/>
                <w:lang w:eastAsia="pl-PL"/>
              </w:rPr>
            </w:pPr>
            <w:r w:rsidRPr="00E03D7E">
              <w:rPr>
                <w:b/>
                <w:lang w:eastAsia="pl-PL"/>
              </w:rPr>
              <w:t>19 775</w:t>
            </w:r>
          </w:p>
        </w:tc>
      </w:tr>
      <w:tr w:rsidR="00D30FE6" w:rsidRPr="00340C13" w:rsidTr="00D30FE6">
        <w:trPr>
          <w:trHeight w:val="324"/>
        </w:trPr>
        <w:tc>
          <w:tcPr>
            <w:tcW w:w="9142" w:type="dxa"/>
            <w:gridSpan w:val="5"/>
            <w:shd w:val="clear" w:color="auto" w:fill="9CC2E5"/>
            <w:noWrap/>
            <w:vAlign w:val="center"/>
          </w:tcPr>
          <w:p w:rsidR="00D30FE6" w:rsidRPr="00E03D7E" w:rsidRDefault="00D30FE6" w:rsidP="00D30FE6">
            <w:pPr>
              <w:spacing w:after="0" w:line="240" w:lineRule="auto"/>
              <w:jc w:val="center"/>
              <w:rPr>
                <w:b/>
                <w:color w:val="FFFFFF"/>
              </w:rPr>
            </w:pPr>
            <w:r w:rsidRPr="00E03D7E">
              <w:rPr>
                <w:b/>
                <w:color w:val="FFFFFF"/>
              </w:rPr>
              <w:t>Suma  całkowita: 3 850 472</w:t>
            </w:r>
          </w:p>
        </w:tc>
      </w:tr>
    </w:tbl>
    <w:p w:rsidR="00D30FE6" w:rsidRPr="002C06E4" w:rsidRDefault="00D30FE6" w:rsidP="00D30FE6">
      <w:pPr>
        <w:spacing w:after="0"/>
        <w:rPr>
          <w:rFonts w:ascii="Times New Roman" w:hAnsi="Times New Roman"/>
          <w:i/>
          <w:iCs/>
          <w:sz w:val="24"/>
          <w:szCs w:val="24"/>
        </w:rPr>
      </w:pPr>
    </w:p>
    <w:p w:rsidR="00D30FE6" w:rsidRPr="002C06E4" w:rsidRDefault="00D30FE6" w:rsidP="00D30FE6">
      <w:pPr>
        <w:rPr>
          <w:rFonts w:ascii="Times New Roman" w:hAnsi="Times New Roman"/>
          <w:sz w:val="24"/>
          <w:szCs w:val="24"/>
        </w:rPr>
      </w:pPr>
    </w:p>
    <w:tbl>
      <w:tblPr>
        <w:tblW w:w="0" w:type="auto"/>
        <w:tblLook w:val="04A0" w:firstRow="1" w:lastRow="0" w:firstColumn="1" w:lastColumn="0" w:noHBand="0" w:noVBand="1"/>
      </w:tblPr>
      <w:tblGrid>
        <w:gridCol w:w="9212"/>
      </w:tblGrid>
      <w:tr w:rsidR="00D30FE6" w:rsidRPr="00E03D7E" w:rsidTr="00E03D7E">
        <w:tc>
          <w:tcPr>
            <w:tcW w:w="9212" w:type="dxa"/>
          </w:tcPr>
          <w:p w:rsidR="00D30FE6" w:rsidRPr="00E03D7E" w:rsidRDefault="00D30FE6" w:rsidP="00D30FE6">
            <w:pPr>
              <w:ind w:left="993" w:hanging="993"/>
              <w:rPr>
                <w:rFonts w:eastAsia="Times New Roman"/>
                <w:i/>
                <w:iCs/>
                <w:lang w:eastAsia="pl-PL"/>
              </w:rPr>
            </w:pPr>
            <w:r w:rsidRPr="00E03D7E">
              <w:rPr>
                <w:rFonts w:eastAsia="Times New Roman"/>
                <w:i/>
                <w:iCs/>
                <w:lang w:eastAsia="pl-PL"/>
              </w:rPr>
              <w:t xml:space="preserve"> Tab. 2 Liczba ludności na obszarach nie objętych mapowaniem akustycznym narażonej na hałas drogowy, wyrażony wskaźnikiem L</w:t>
            </w:r>
            <w:r w:rsidRPr="00E03D7E">
              <w:rPr>
                <w:rFonts w:eastAsia="Times New Roman"/>
                <w:i/>
                <w:iCs/>
                <w:vertAlign w:val="subscript"/>
                <w:lang w:eastAsia="pl-PL"/>
              </w:rPr>
              <w:t>N</w:t>
            </w:r>
            <w:r w:rsidRPr="00E03D7E">
              <w:rPr>
                <w:rFonts w:eastAsia="Times New Roman"/>
                <w:i/>
                <w:iCs/>
                <w:lang w:eastAsia="pl-PL"/>
              </w:rPr>
              <w:t xml:space="preserve">  według badań wojewódzkich inspektoratów ochrony środowiska prowadzonych w latach 2012–2015, </w:t>
            </w:r>
            <w:r w:rsidRPr="00E03D7E">
              <w:rPr>
                <w:i/>
                <w:lang w:eastAsia="pl-PL"/>
              </w:rPr>
              <w:t>na podstawie danych z bazy Ehałas</w:t>
            </w:r>
            <w:r w:rsidRPr="00E03D7E">
              <w:rPr>
                <w:rFonts w:eastAsia="Times New Roman"/>
                <w:i/>
                <w:iCs/>
                <w:lang w:eastAsia="pl-PL"/>
              </w:rPr>
              <w:t>(źródło: GIOŚ/PMŚ).</w:t>
            </w:r>
          </w:p>
        </w:tc>
      </w:tr>
    </w:tbl>
    <w:p w:rsidR="00D30FE6" w:rsidRPr="002C06E4" w:rsidRDefault="00D30FE6" w:rsidP="00D30FE6">
      <w:pPr>
        <w:spacing w:after="0"/>
        <w:rPr>
          <w:rFonts w:ascii="Times New Roman" w:hAnsi="Times New Roman"/>
          <w:i/>
          <w:iCs/>
          <w:sz w:val="24"/>
          <w:szCs w:val="24"/>
        </w:rPr>
      </w:pPr>
    </w:p>
    <w:tbl>
      <w:tblPr>
        <w:tblW w:w="0" w:type="auto"/>
        <w:tblInd w:w="70" w:type="dxa"/>
        <w:tblBorders>
          <w:top w:val="single" w:sz="4" w:space="0" w:color="323E4F"/>
          <w:left w:val="single" w:sz="4" w:space="0" w:color="auto"/>
          <w:bottom w:val="single" w:sz="4" w:space="0" w:color="323E4F"/>
          <w:right w:val="single" w:sz="4" w:space="0" w:color="auto"/>
          <w:insideH w:val="single" w:sz="4" w:space="0" w:color="323E4F"/>
          <w:insideV w:val="single" w:sz="4" w:space="0" w:color="auto"/>
        </w:tblBorders>
        <w:tblLayout w:type="fixed"/>
        <w:tblCellMar>
          <w:left w:w="70" w:type="dxa"/>
          <w:right w:w="70" w:type="dxa"/>
        </w:tblCellMar>
        <w:tblLook w:val="04A0" w:firstRow="1" w:lastRow="0" w:firstColumn="1" w:lastColumn="0" w:noHBand="0" w:noVBand="1"/>
      </w:tblPr>
      <w:tblGrid>
        <w:gridCol w:w="1828"/>
        <w:gridCol w:w="1828"/>
        <w:gridCol w:w="1829"/>
        <w:gridCol w:w="1828"/>
        <w:gridCol w:w="1829"/>
      </w:tblGrid>
      <w:tr w:rsidR="00D30FE6" w:rsidRPr="00E03D7E" w:rsidTr="00D30FE6">
        <w:trPr>
          <w:trHeight w:val="270"/>
        </w:trPr>
        <w:tc>
          <w:tcPr>
            <w:tcW w:w="9142" w:type="dxa"/>
            <w:gridSpan w:val="5"/>
            <w:tcBorders>
              <w:bottom w:val="single" w:sz="4" w:space="0" w:color="FFFFFF"/>
            </w:tcBorders>
            <w:shd w:val="clear" w:color="auto" w:fill="323E4F"/>
            <w:noWrap/>
            <w:vAlign w:val="bottom"/>
            <w:hideMark/>
          </w:tcPr>
          <w:p w:rsidR="00D30FE6" w:rsidRPr="00E03D7E" w:rsidRDefault="00D30FE6" w:rsidP="00D30FE6">
            <w:pPr>
              <w:spacing w:after="0"/>
              <w:jc w:val="center"/>
              <w:rPr>
                <w:lang w:eastAsia="pl-PL"/>
              </w:rPr>
            </w:pPr>
            <w:r w:rsidRPr="00E03D7E">
              <w:rPr>
                <w:lang w:eastAsia="pl-PL"/>
              </w:rPr>
              <w:t xml:space="preserve">Liczba </w:t>
            </w:r>
            <w:r w:rsidRPr="00E03D7E">
              <w:rPr>
                <w:shd w:val="clear" w:color="auto" w:fill="323E4F"/>
                <w:lang w:eastAsia="pl-PL"/>
              </w:rPr>
              <w:t xml:space="preserve">ludności narażonej na hałas drogowy </w:t>
            </w:r>
            <w:r w:rsidRPr="00E03D7E">
              <w:rPr>
                <w:lang w:eastAsia="pl-PL"/>
              </w:rPr>
              <w:t>na obszarach nie objętych mapowaniem akustycznym w okresie 2012–2015</w:t>
            </w:r>
          </w:p>
        </w:tc>
      </w:tr>
      <w:tr w:rsidR="00D30FE6" w:rsidRPr="00E03D7E" w:rsidTr="00D30FE6">
        <w:trPr>
          <w:trHeight w:val="367"/>
        </w:trPr>
        <w:tc>
          <w:tcPr>
            <w:tcW w:w="1828" w:type="dxa"/>
            <w:tcBorders>
              <w:top w:val="single" w:sz="4" w:space="0" w:color="FFFFFF"/>
              <w:right w:val="single" w:sz="4" w:space="0" w:color="FFFFFF"/>
            </w:tcBorders>
            <w:shd w:val="clear" w:color="auto" w:fill="323E4F"/>
            <w:noWrap/>
            <w:vAlign w:val="center"/>
            <w:hideMark/>
          </w:tcPr>
          <w:p w:rsidR="00D30FE6" w:rsidRPr="00E03D7E" w:rsidRDefault="00D30FE6" w:rsidP="00D30FE6">
            <w:pPr>
              <w:spacing w:after="0" w:line="240" w:lineRule="auto"/>
              <w:jc w:val="center"/>
              <w:rPr>
                <w:lang w:eastAsia="pl-PL"/>
              </w:rPr>
            </w:pPr>
            <w:r w:rsidRPr="00E03D7E">
              <w:rPr>
                <w:lang w:eastAsia="pl-PL"/>
              </w:rPr>
              <w:t>L</w:t>
            </w:r>
            <w:r w:rsidRPr="00E03D7E">
              <w:rPr>
                <w:vertAlign w:val="subscript"/>
                <w:lang w:eastAsia="pl-PL"/>
              </w:rPr>
              <w:t>N</w:t>
            </w:r>
            <w:r w:rsidRPr="00E03D7E">
              <w:rPr>
                <w:lang w:eastAsia="pl-PL"/>
              </w:rPr>
              <w:t xml:space="preserve"> 50–54 dB</w:t>
            </w:r>
          </w:p>
        </w:tc>
        <w:tc>
          <w:tcPr>
            <w:tcW w:w="1828"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line="240" w:lineRule="auto"/>
              <w:jc w:val="center"/>
              <w:rPr>
                <w:lang w:eastAsia="pl-PL"/>
              </w:rPr>
            </w:pPr>
            <w:r w:rsidRPr="00E03D7E">
              <w:rPr>
                <w:lang w:eastAsia="pl-PL"/>
              </w:rPr>
              <w:t>L</w:t>
            </w:r>
            <w:r w:rsidRPr="00E03D7E">
              <w:rPr>
                <w:vertAlign w:val="subscript"/>
                <w:lang w:eastAsia="pl-PL"/>
              </w:rPr>
              <w:t>N</w:t>
            </w:r>
            <w:r w:rsidRPr="00E03D7E">
              <w:rPr>
                <w:lang w:eastAsia="pl-PL"/>
              </w:rPr>
              <w:t xml:space="preserve"> 55–59 dB</w:t>
            </w:r>
          </w:p>
        </w:tc>
        <w:tc>
          <w:tcPr>
            <w:tcW w:w="1829"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line="240" w:lineRule="auto"/>
              <w:jc w:val="center"/>
              <w:rPr>
                <w:lang w:eastAsia="pl-PL"/>
              </w:rPr>
            </w:pPr>
            <w:r w:rsidRPr="00E03D7E">
              <w:rPr>
                <w:lang w:eastAsia="pl-PL"/>
              </w:rPr>
              <w:t>L</w:t>
            </w:r>
            <w:r w:rsidRPr="00E03D7E">
              <w:rPr>
                <w:vertAlign w:val="subscript"/>
                <w:lang w:eastAsia="pl-PL"/>
              </w:rPr>
              <w:t>N</w:t>
            </w:r>
            <w:r w:rsidRPr="00E03D7E">
              <w:rPr>
                <w:lang w:eastAsia="pl-PL"/>
              </w:rPr>
              <w:t xml:space="preserve"> 60–64 dB</w:t>
            </w:r>
          </w:p>
        </w:tc>
        <w:tc>
          <w:tcPr>
            <w:tcW w:w="1828" w:type="dxa"/>
            <w:tcBorders>
              <w:top w:val="single" w:sz="4" w:space="0" w:color="FFFFFF"/>
              <w:left w:val="single" w:sz="4" w:space="0" w:color="FFFFFF"/>
              <w:right w:val="single" w:sz="4" w:space="0" w:color="FFFFFF"/>
            </w:tcBorders>
            <w:shd w:val="clear" w:color="auto" w:fill="323E4F"/>
            <w:noWrap/>
            <w:vAlign w:val="center"/>
            <w:hideMark/>
          </w:tcPr>
          <w:p w:rsidR="00D30FE6" w:rsidRPr="00E03D7E" w:rsidRDefault="00D30FE6" w:rsidP="00D30FE6">
            <w:pPr>
              <w:spacing w:after="0" w:line="240" w:lineRule="auto"/>
              <w:jc w:val="center"/>
              <w:rPr>
                <w:lang w:eastAsia="pl-PL"/>
              </w:rPr>
            </w:pPr>
            <w:r w:rsidRPr="00E03D7E">
              <w:rPr>
                <w:lang w:eastAsia="pl-PL"/>
              </w:rPr>
              <w:t>L</w:t>
            </w:r>
            <w:r w:rsidRPr="00E03D7E">
              <w:rPr>
                <w:vertAlign w:val="subscript"/>
                <w:lang w:eastAsia="pl-PL"/>
              </w:rPr>
              <w:t>N</w:t>
            </w:r>
            <w:r w:rsidRPr="00E03D7E">
              <w:rPr>
                <w:lang w:eastAsia="pl-PL"/>
              </w:rPr>
              <w:t xml:space="preserve"> 65–69 dB</w:t>
            </w:r>
          </w:p>
        </w:tc>
        <w:tc>
          <w:tcPr>
            <w:tcW w:w="1829" w:type="dxa"/>
            <w:tcBorders>
              <w:top w:val="single" w:sz="4" w:space="0" w:color="FFFFFF"/>
              <w:left w:val="single" w:sz="4" w:space="0" w:color="FFFFFF"/>
            </w:tcBorders>
            <w:shd w:val="clear" w:color="auto" w:fill="323E4F"/>
            <w:noWrap/>
            <w:vAlign w:val="center"/>
            <w:hideMark/>
          </w:tcPr>
          <w:p w:rsidR="00D30FE6" w:rsidRPr="00E03D7E" w:rsidRDefault="00D30FE6" w:rsidP="00D30FE6">
            <w:pPr>
              <w:spacing w:after="0" w:line="240" w:lineRule="auto"/>
              <w:jc w:val="center"/>
              <w:rPr>
                <w:lang w:eastAsia="pl-PL"/>
              </w:rPr>
            </w:pPr>
            <w:r w:rsidRPr="00E03D7E">
              <w:rPr>
                <w:lang w:eastAsia="pl-PL"/>
              </w:rPr>
              <w:t>L</w:t>
            </w:r>
            <w:r w:rsidRPr="00E03D7E">
              <w:rPr>
                <w:vertAlign w:val="subscript"/>
                <w:lang w:eastAsia="pl-PL"/>
              </w:rPr>
              <w:t>N</w:t>
            </w:r>
            <w:r w:rsidRPr="00E03D7E">
              <w:rPr>
                <w:lang w:eastAsia="pl-PL"/>
              </w:rPr>
              <w:t xml:space="preserve"> powyżej 70 dB</w:t>
            </w:r>
          </w:p>
        </w:tc>
      </w:tr>
      <w:tr w:rsidR="00D30FE6" w:rsidRPr="00E03D7E" w:rsidTr="00D30FE6">
        <w:trPr>
          <w:trHeight w:val="500"/>
        </w:trPr>
        <w:tc>
          <w:tcPr>
            <w:tcW w:w="1828" w:type="dxa"/>
            <w:shd w:val="clear" w:color="auto" w:fill="auto"/>
            <w:noWrap/>
            <w:vAlign w:val="bottom"/>
            <w:hideMark/>
          </w:tcPr>
          <w:p w:rsidR="00D30FE6" w:rsidRPr="00E03D7E" w:rsidRDefault="00D30FE6" w:rsidP="00D30FE6">
            <w:pPr>
              <w:spacing w:after="0" w:line="240" w:lineRule="auto"/>
              <w:jc w:val="center"/>
              <w:rPr>
                <w:b/>
                <w:lang w:eastAsia="pl-PL"/>
              </w:rPr>
            </w:pPr>
            <w:r w:rsidRPr="00E03D7E">
              <w:rPr>
                <w:b/>
                <w:lang w:eastAsia="pl-PL"/>
              </w:rPr>
              <w:t>4070</w:t>
            </w:r>
          </w:p>
        </w:tc>
        <w:tc>
          <w:tcPr>
            <w:tcW w:w="1828" w:type="dxa"/>
            <w:shd w:val="clear" w:color="auto" w:fill="auto"/>
            <w:noWrap/>
            <w:vAlign w:val="bottom"/>
            <w:hideMark/>
          </w:tcPr>
          <w:p w:rsidR="00D30FE6" w:rsidRPr="00E03D7E" w:rsidRDefault="00D30FE6" w:rsidP="00D30FE6">
            <w:pPr>
              <w:spacing w:after="0" w:line="240" w:lineRule="auto"/>
              <w:jc w:val="center"/>
              <w:rPr>
                <w:b/>
                <w:lang w:eastAsia="pl-PL"/>
              </w:rPr>
            </w:pPr>
            <w:r w:rsidRPr="00E03D7E">
              <w:rPr>
                <w:b/>
                <w:lang w:eastAsia="pl-PL"/>
              </w:rPr>
              <w:t>8057</w:t>
            </w:r>
          </w:p>
        </w:tc>
        <w:tc>
          <w:tcPr>
            <w:tcW w:w="1829" w:type="dxa"/>
            <w:shd w:val="clear" w:color="auto" w:fill="auto"/>
            <w:noWrap/>
            <w:vAlign w:val="bottom"/>
            <w:hideMark/>
          </w:tcPr>
          <w:p w:rsidR="00D30FE6" w:rsidRPr="00E03D7E" w:rsidRDefault="00D30FE6" w:rsidP="00D30FE6">
            <w:pPr>
              <w:spacing w:after="0" w:line="240" w:lineRule="auto"/>
              <w:jc w:val="center"/>
              <w:rPr>
                <w:b/>
                <w:lang w:eastAsia="pl-PL"/>
              </w:rPr>
            </w:pPr>
            <w:r w:rsidRPr="00E03D7E">
              <w:rPr>
                <w:b/>
                <w:lang w:eastAsia="pl-PL"/>
              </w:rPr>
              <w:t>5512</w:t>
            </w:r>
          </w:p>
        </w:tc>
        <w:tc>
          <w:tcPr>
            <w:tcW w:w="1828" w:type="dxa"/>
            <w:shd w:val="clear" w:color="auto" w:fill="auto"/>
            <w:noWrap/>
            <w:vAlign w:val="bottom"/>
            <w:hideMark/>
          </w:tcPr>
          <w:p w:rsidR="00D30FE6" w:rsidRPr="00E03D7E" w:rsidRDefault="00D30FE6" w:rsidP="00D30FE6">
            <w:pPr>
              <w:spacing w:after="0" w:line="240" w:lineRule="auto"/>
              <w:jc w:val="center"/>
              <w:rPr>
                <w:b/>
                <w:lang w:eastAsia="pl-PL"/>
              </w:rPr>
            </w:pPr>
            <w:r w:rsidRPr="00E03D7E">
              <w:rPr>
                <w:b/>
                <w:lang w:eastAsia="pl-PL"/>
              </w:rPr>
              <w:t>4425</w:t>
            </w:r>
          </w:p>
        </w:tc>
        <w:tc>
          <w:tcPr>
            <w:tcW w:w="1829" w:type="dxa"/>
            <w:shd w:val="clear" w:color="auto" w:fill="auto"/>
            <w:noWrap/>
            <w:vAlign w:val="bottom"/>
            <w:hideMark/>
          </w:tcPr>
          <w:p w:rsidR="00D30FE6" w:rsidRPr="00E03D7E" w:rsidRDefault="00D30FE6" w:rsidP="00D30FE6">
            <w:pPr>
              <w:spacing w:after="0" w:line="240" w:lineRule="auto"/>
              <w:jc w:val="center"/>
              <w:rPr>
                <w:b/>
                <w:lang w:eastAsia="pl-PL"/>
              </w:rPr>
            </w:pPr>
            <w:r w:rsidRPr="00E03D7E">
              <w:rPr>
                <w:b/>
                <w:lang w:eastAsia="pl-PL"/>
              </w:rPr>
              <w:t>1029</w:t>
            </w:r>
          </w:p>
        </w:tc>
      </w:tr>
      <w:tr w:rsidR="00D30FE6" w:rsidRPr="00E03D7E" w:rsidTr="00D30FE6">
        <w:trPr>
          <w:trHeight w:val="324"/>
        </w:trPr>
        <w:tc>
          <w:tcPr>
            <w:tcW w:w="9142" w:type="dxa"/>
            <w:gridSpan w:val="5"/>
            <w:shd w:val="clear" w:color="auto" w:fill="9CC2E5"/>
            <w:noWrap/>
            <w:vAlign w:val="center"/>
          </w:tcPr>
          <w:p w:rsidR="00D30FE6" w:rsidRPr="00E03D7E" w:rsidRDefault="00D30FE6" w:rsidP="00D30FE6">
            <w:pPr>
              <w:spacing w:after="0" w:line="240" w:lineRule="auto"/>
              <w:jc w:val="center"/>
              <w:rPr>
                <w:b/>
                <w:color w:val="FFFFFF"/>
              </w:rPr>
            </w:pPr>
            <w:r w:rsidRPr="00E03D7E">
              <w:rPr>
                <w:b/>
                <w:color w:val="FFFFFF"/>
              </w:rPr>
              <w:t>Suma  całkowita: 23 093</w:t>
            </w:r>
          </w:p>
        </w:tc>
      </w:tr>
    </w:tbl>
    <w:p w:rsidR="00D30FE6" w:rsidRPr="002C06E4" w:rsidRDefault="00D30FE6" w:rsidP="00D30FE6">
      <w:pPr>
        <w:spacing w:after="0"/>
        <w:rPr>
          <w:rFonts w:ascii="Times New Roman" w:hAnsi="Times New Roman"/>
          <w:i/>
          <w:iCs/>
          <w:sz w:val="24"/>
          <w:szCs w:val="24"/>
        </w:rPr>
      </w:pPr>
    </w:p>
    <w:p w:rsidR="00E03D7E" w:rsidRPr="00E03D7E" w:rsidRDefault="00D30FE6" w:rsidP="00D30FE6">
      <w:pPr>
        <w:spacing w:after="0" w:line="240" w:lineRule="auto"/>
        <w:jc w:val="both"/>
        <w:rPr>
          <w:u w:val="single"/>
        </w:rPr>
      </w:pPr>
      <w:r w:rsidRPr="00E03D7E">
        <w:rPr>
          <w:u w:val="single"/>
        </w:rPr>
        <w:t>Hałas przemysłowy</w:t>
      </w:r>
      <w:r w:rsidR="00E03D7E" w:rsidRPr="00E03D7E">
        <w:rPr>
          <w:u w:val="single"/>
        </w:rPr>
        <w:t xml:space="preserve"> </w:t>
      </w:r>
    </w:p>
    <w:p w:rsidR="00D30FE6" w:rsidRPr="00E03D7E" w:rsidRDefault="00E03D7E" w:rsidP="00D30FE6">
      <w:pPr>
        <w:spacing w:after="0" w:line="240" w:lineRule="auto"/>
        <w:jc w:val="both"/>
      </w:pPr>
      <w:r>
        <w:t>J</w:t>
      </w:r>
      <w:r w:rsidR="00D30FE6" w:rsidRPr="00E03D7E">
        <w:t xml:space="preserve">ego źródłem, w myśl przepisów o ochronie środowiska, są nie tylko zakłady przemysłowe czy usługowe, ale wszelka działalność (poza funkcjonowaniem dróg, linii kolejowych, lotnisk, linii elektroenergetycznych) powodująca hałas.  </w:t>
      </w:r>
    </w:p>
    <w:p w:rsidR="00D30FE6" w:rsidRPr="00E03D7E" w:rsidRDefault="00D30FE6" w:rsidP="00D30FE6">
      <w:pPr>
        <w:spacing w:after="0" w:line="240" w:lineRule="auto"/>
        <w:jc w:val="both"/>
      </w:pPr>
      <w:r w:rsidRPr="00E03D7E">
        <w:t>Pomiary hałasu przemysłowego wykonywane są na ogół jako interwencje – w odpowiedzi na skargi mieszkańców na uciążliwą działalność. Procent zakładów przekraczających dopuszczalne poziomy hałasu wykazuje w ciągu ostatnich dwudziestu lat tendencję spadkową. W cyklu pomiarowym 2002–2006 55% przebadanych w całym kraju obiektów przemysłowych przekraczało poziomy dopuszczalne hałasu, a w cyklu 2007–2011 – 45% obiektów. Natomiast w ostatnim cyklu monitoringu (lata: 2012 – 2015) procent ten wynosi 34.</w:t>
      </w:r>
      <w:r w:rsidRPr="00E03D7E">
        <w:rPr>
          <w:rStyle w:val="Odwoanieprzypisudolnego"/>
        </w:rPr>
        <w:footnoteReference w:id="35"/>
      </w:r>
    </w:p>
    <w:p w:rsidR="00D30FE6" w:rsidRPr="00E03D7E" w:rsidRDefault="00D30FE6" w:rsidP="00D30FE6">
      <w:pPr>
        <w:spacing w:after="0" w:line="240" w:lineRule="auto"/>
        <w:ind w:firstLine="709"/>
        <w:jc w:val="both"/>
      </w:pPr>
    </w:p>
    <w:p w:rsidR="00E03D7E" w:rsidRDefault="00D30FE6" w:rsidP="00E03D7E">
      <w:pPr>
        <w:spacing w:after="0"/>
        <w:jc w:val="both"/>
        <w:rPr>
          <w:u w:val="single"/>
        </w:rPr>
      </w:pPr>
      <w:r w:rsidRPr="00E03D7E">
        <w:rPr>
          <w:u w:val="single"/>
        </w:rPr>
        <w:t>Hałas kolejowy</w:t>
      </w:r>
      <w:r w:rsidR="00E03D7E">
        <w:rPr>
          <w:u w:val="single"/>
        </w:rPr>
        <w:t xml:space="preserve"> </w:t>
      </w:r>
    </w:p>
    <w:p w:rsidR="00D30FE6" w:rsidRPr="00E03D7E" w:rsidRDefault="00D30FE6" w:rsidP="00E03D7E">
      <w:pPr>
        <w:spacing w:after="0"/>
        <w:jc w:val="both"/>
        <w:rPr>
          <w:u w:val="single"/>
        </w:rPr>
      </w:pPr>
      <w:r w:rsidRPr="00E03D7E">
        <w:t xml:space="preserve"> </w:t>
      </w:r>
      <w:r w:rsidR="00E03D7E">
        <w:t>O</w:t>
      </w:r>
      <w:r w:rsidRPr="00E03D7E">
        <w:t xml:space="preserve">ddziaływanie hałasu kolejowego na środowisko systematycznie spada ze względu na przeprowadzane modernizacje linii kolejowych i zastosowanie bardziej przyjaznych środowisku </w:t>
      </w:r>
      <w:r w:rsidRPr="00E03D7E">
        <w:lastRenderedPageBreak/>
        <w:t>akustycznemu rozwiązań technicznych (szyny bezstykowe, maty antywibracyjne, rodzaj i stan zastosowanych hamulców), spadek liczby pociągów, jak również wycofywanie z eksploatacji niektórych linii kolejowych. Od lat 90. ubiegłego wieku obserwujemy systematyczne zmniejszanie się długości eksploatowanych linii kolejowych oraz spadek liczby pasażerów i przewozu ładunków.</w:t>
      </w:r>
    </w:p>
    <w:p w:rsidR="00E03D7E" w:rsidRDefault="00E03D7E" w:rsidP="00D30FE6">
      <w:pPr>
        <w:jc w:val="both"/>
        <w:rPr>
          <w:u w:val="single"/>
        </w:rPr>
      </w:pPr>
    </w:p>
    <w:p w:rsidR="00E03D7E" w:rsidRDefault="00D30FE6" w:rsidP="00E03D7E">
      <w:pPr>
        <w:spacing w:after="0"/>
        <w:jc w:val="both"/>
        <w:rPr>
          <w:b/>
        </w:rPr>
      </w:pPr>
      <w:r w:rsidRPr="00E03D7E">
        <w:rPr>
          <w:u w:val="single"/>
        </w:rPr>
        <w:t>Hałas lotniczy</w:t>
      </w:r>
      <w:r w:rsidRPr="00E03D7E">
        <w:rPr>
          <w:b/>
        </w:rPr>
        <w:t xml:space="preserve"> </w:t>
      </w:r>
    </w:p>
    <w:p w:rsidR="00D30FE6" w:rsidRPr="00E03D7E" w:rsidRDefault="00E03D7E" w:rsidP="00E03D7E">
      <w:pPr>
        <w:spacing w:after="0"/>
        <w:jc w:val="both"/>
      </w:pPr>
      <w:r w:rsidRPr="00E03D7E">
        <w:t>W</w:t>
      </w:r>
      <w:r w:rsidR="00D30FE6" w:rsidRPr="00E03D7E">
        <w:t xml:space="preserve"> ostatnich latach istotnie wzrasta znaczenie transportu lotniczego, następuje intensyfikacja ruchu lotniczego – z tego typu transportu korzysta coraz więcej pasażerów i przewozi się coraz więcej towarów. Równocześnie obserwowany jest rozwój lotnisk regionalnych. Zasięgi hałasu lotniczego są duże ze względu na wysokie poziomy emisji hałasu występujące przy operacjach startu i lądowania wszystkich typów statków powietrznych. Należy wskazać, że praktycznie brakuje efektywnych zabezpieczeń środowiska przed hałasem lotniczym. Z pomiarów wykonanych w ramach ciągłego monitoringu hałasu wokół lotnisk wynika, że ruch lotniczy nie powoduje znacznej uciążliwości na terenach mieszkalnych w odniesieniu do całego roku, niemniej bywają takie okresy w ciągu roku, kiedy uciążliwości te w odniesieniu do jednej doby mogą być znaczne. Wyniki ocen hałasu lotniczego wskazują, że przekroczenia dopuszczalnych poziomów dźwięku poza obszarami ograniczonego użytkowania, czyli narażonymi na nadmierny hałas, stwierdza się tylko w pojedynczych punktach. Ważne jest, aby zarządzający portami lotniczymi prowadząc monitoring hałasu wokół lotnisk tak sterowali trasami dolotu i odlotu, aby ruch lotniczy powodował jak najmniejsza presję na tereny mieszkaniowe. Jednocześnie należy zwrócić uwagę na postęp technologiczny w zakresie produkcji  i eksploatacji silników lotniczych ukierunkowany na zmniejszenie poziomu generowanego hałasu.</w:t>
      </w:r>
    </w:p>
    <w:p w:rsidR="00E03D7E" w:rsidRDefault="00E03D7E" w:rsidP="00D30FE6">
      <w:pPr>
        <w:jc w:val="both"/>
        <w:rPr>
          <w:u w:val="single"/>
        </w:rPr>
      </w:pPr>
    </w:p>
    <w:p w:rsidR="00E03D7E" w:rsidRPr="00E03D7E" w:rsidRDefault="00D30FE6" w:rsidP="00E03D7E">
      <w:pPr>
        <w:spacing w:after="0"/>
        <w:jc w:val="both"/>
        <w:rPr>
          <w:u w:val="single"/>
        </w:rPr>
      </w:pPr>
      <w:r w:rsidRPr="00E03D7E">
        <w:rPr>
          <w:u w:val="single"/>
        </w:rPr>
        <w:t>Hałas w środowisku morskim</w:t>
      </w:r>
      <w:r w:rsidR="00E03D7E" w:rsidRPr="00E03D7E">
        <w:rPr>
          <w:u w:val="single"/>
        </w:rPr>
        <w:t xml:space="preserve"> </w:t>
      </w:r>
    </w:p>
    <w:p w:rsidR="00D30FE6" w:rsidRPr="00E03D7E" w:rsidRDefault="00E03D7E" w:rsidP="00E03D7E">
      <w:pPr>
        <w:spacing w:after="0"/>
        <w:jc w:val="both"/>
      </w:pPr>
      <w:r>
        <w:t>W</w:t>
      </w:r>
      <w:r w:rsidR="00D30FE6" w:rsidRPr="00E03D7E">
        <w:t xml:space="preserve">pływ na klimat akustyczny środowiska, w szczególności ekosystemów podwodnych, ma również żegluga morska. Poziom antropogenicznego hałasu w środowisku morza wzrasta, między innymi w związku ze wzrostem ilości statków operujących w jednym czasie na Morzu Bałtyckim. Źródłami podwodnego hałasu jest zwykle praca silników łodzi, statków i okrętów, praca podwodnych urządzeń hydrotechnicznych (wiertni, pogłębiarek, kafarów), sonarów i echosond, geologiczne wybuchy poszukiwawcze, ćwiczebne detonacje na morskich poligonach wojskowych, podwodne eksplozje przy niszczeniu amunicji. Dźwięk z tych źródeł może rozchodzić się na dalekie odległości. O ile intensywność dźwięku można łatwo zmierzyć, to określenie jego wpływu na środowisko naturalne nie jest sprawą prostą. Podwodny hałas i akustyczne zakłócenia są jednym z ważniejszych zagrożeń dla życia fauny morskiej. Dla waleni, w tym morświnów występujących w Morzu Bałtyckim, echolokacja, funkcjonująca jako układ nadawania i odbierania dźwięków, jest podstawowym zmysłem orientacji w wodnej przestrzeni. Lokalizują nim przeszkody, organizmy, na które polują, oraz porozumiewają się. Upośledzenie tej zdolności odbioru dźwięku zakłóca procesy życiowe, w tym rozrodcze morświnów. Od 2015 r. prowadzony jest pilotażowy monitoring hałasu podwodnego w ramach Państwowego Monitoringu Środowiska. </w:t>
      </w:r>
    </w:p>
    <w:p w:rsidR="00D30FE6" w:rsidRDefault="00D30FE6" w:rsidP="00D30FE6">
      <w:pPr>
        <w:jc w:val="both"/>
        <w:rPr>
          <w:rFonts w:ascii="Times New Roman" w:hAnsi="Times New Roman"/>
          <w:sz w:val="24"/>
          <w:szCs w:val="24"/>
        </w:rPr>
      </w:pPr>
    </w:p>
    <w:p w:rsidR="00D30FE6" w:rsidRDefault="00D30FE6" w:rsidP="00D30FE6">
      <w:pPr>
        <w:shd w:val="clear" w:color="auto" w:fill="FFFFFF"/>
        <w:spacing w:after="0" w:line="240" w:lineRule="atLeast"/>
        <w:ind w:firstLine="709"/>
        <w:jc w:val="both"/>
        <w:rPr>
          <w:rFonts w:ascii="Times New Roman" w:eastAsia="Times New Roman" w:hAnsi="Times New Roman"/>
          <w:b/>
          <w:bCs/>
          <w:color w:val="000000"/>
          <w:sz w:val="24"/>
          <w:szCs w:val="24"/>
          <w:lang w:eastAsia="pl-PL"/>
        </w:rPr>
      </w:pPr>
      <w:r w:rsidRPr="00711365" w:rsidDel="00742421">
        <w:rPr>
          <w:rFonts w:ascii="Times New Roman" w:hAnsi="Times New Roman"/>
          <w:sz w:val="24"/>
          <w:szCs w:val="24"/>
        </w:rPr>
        <w:t xml:space="preserve"> </w:t>
      </w:r>
    </w:p>
    <w:p w:rsidR="00D30FE6" w:rsidRPr="00A96F60" w:rsidRDefault="00D30FE6" w:rsidP="00D30FE6">
      <w:pPr>
        <w:shd w:val="clear" w:color="auto" w:fill="FFFFFF"/>
        <w:spacing w:after="0" w:line="240" w:lineRule="atLeast"/>
        <w:ind w:firstLine="709"/>
        <w:jc w:val="both"/>
        <w:rPr>
          <w:rFonts w:ascii="Times New Roman" w:eastAsia="Times New Roman" w:hAnsi="Times New Roman"/>
          <w:color w:val="000000"/>
          <w:sz w:val="24"/>
          <w:szCs w:val="24"/>
          <w:lang w:eastAsia="pl-PL"/>
        </w:rPr>
      </w:pPr>
    </w:p>
    <w:p w:rsidR="00D30FE6" w:rsidRDefault="00D30FE6" w:rsidP="00A0064B">
      <w:pPr>
        <w:autoSpaceDE w:val="0"/>
        <w:autoSpaceDN w:val="0"/>
        <w:adjustRightInd w:val="0"/>
        <w:spacing w:line="240" w:lineRule="auto"/>
        <w:rPr>
          <w:b/>
          <w:i/>
        </w:rPr>
      </w:pPr>
    </w:p>
    <w:p w:rsidR="00E03D7E" w:rsidRPr="00A0064B" w:rsidRDefault="00E03D7E" w:rsidP="00A0064B">
      <w:pPr>
        <w:autoSpaceDE w:val="0"/>
        <w:autoSpaceDN w:val="0"/>
        <w:adjustRightInd w:val="0"/>
        <w:spacing w:line="240" w:lineRule="auto"/>
        <w:rPr>
          <w:b/>
          <w:i/>
        </w:rPr>
      </w:pPr>
    </w:p>
    <w:p w:rsidR="00A0064B" w:rsidRDefault="00A0064B" w:rsidP="003B1DFB">
      <w:pPr>
        <w:pStyle w:val="Nagwek2"/>
      </w:pPr>
      <w:bookmarkStart w:id="50" w:name="_Toc505604926"/>
      <w:bookmarkStart w:id="51" w:name="_Toc505605319"/>
      <w:r w:rsidRPr="003B1DFB">
        <w:lastRenderedPageBreak/>
        <w:t>Pola elektromagnetyczne</w:t>
      </w:r>
      <w:bookmarkEnd w:id="50"/>
      <w:bookmarkEnd w:id="51"/>
      <w:r w:rsidRPr="003B1DFB">
        <w:t xml:space="preserve"> </w:t>
      </w:r>
    </w:p>
    <w:p w:rsidR="00B00C49" w:rsidRDefault="00B00C49" w:rsidP="00B00C49">
      <w:pPr>
        <w:jc w:val="both"/>
      </w:pPr>
      <w:r>
        <w:t xml:space="preserve">Pole elektromagnetyczne (PEM) jest </w:t>
      </w:r>
      <w:r w:rsidRPr="00700559">
        <w:t>naturalnym elementem</w:t>
      </w:r>
      <w:r>
        <w:t xml:space="preserve"> środowiska</w:t>
      </w:r>
      <w:r w:rsidRPr="00700559">
        <w:t xml:space="preserve">. Jednak od początku </w:t>
      </w:r>
      <w:r>
        <w:br/>
      </w:r>
      <w:r w:rsidRPr="00700559">
        <w:t>XX wieku</w:t>
      </w:r>
      <w:r>
        <w:t xml:space="preserve"> jesteśmy świadkami szybkiego</w:t>
      </w:r>
      <w:r w:rsidRPr="00700559">
        <w:t xml:space="preserve"> </w:t>
      </w:r>
      <w:r>
        <w:t>postępu</w:t>
      </w:r>
      <w:r w:rsidRPr="00700559">
        <w:t xml:space="preserve"> technologiczn</w:t>
      </w:r>
      <w:r>
        <w:t>ego i rozwoju</w:t>
      </w:r>
      <w:r w:rsidRPr="00700559">
        <w:t xml:space="preserve"> technik nadawczy</w:t>
      </w:r>
      <w:r>
        <w:t>ch. Rosną nasze potrzeby w zakresie nadawania i odbioru, zwiększa się liczba urządzeń osobistych, domowych i</w:t>
      </w:r>
      <w:r w:rsidRPr="00700559">
        <w:t xml:space="preserve"> komercyjnych</w:t>
      </w:r>
      <w:r>
        <w:t>, a </w:t>
      </w:r>
      <w:r w:rsidRPr="00700559">
        <w:t xml:space="preserve">środowisko poddawane jest coraz to większej presji </w:t>
      </w:r>
      <w:r w:rsidRPr="00F606C3">
        <w:t>ze strony sztucznie wytwarzanych PEM</w:t>
      </w:r>
      <w:r>
        <w:t>.</w:t>
      </w:r>
    </w:p>
    <w:p w:rsidR="00B00C49" w:rsidRPr="00F641FA" w:rsidRDefault="00B00C49" w:rsidP="00B00C49">
      <w:pPr>
        <w:jc w:val="both"/>
      </w:pPr>
      <w:r>
        <w:t>Głównym źródłem</w:t>
      </w:r>
      <w:r w:rsidRPr="00D70217">
        <w:t xml:space="preserve"> PEM powszechnie występu</w:t>
      </w:r>
      <w:r>
        <w:t>jącym w otoczeniu człowieka</w:t>
      </w:r>
      <w:r w:rsidRPr="00D70217">
        <w:t xml:space="preserve"> </w:t>
      </w:r>
      <w:r>
        <w:t>są</w:t>
      </w:r>
      <w:r w:rsidRPr="00D70217">
        <w:t xml:space="preserve"> instalacje radiokomunikacyjne, ta</w:t>
      </w:r>
      <w:r>
        <w:t>kie jak stacje bazowe telefonii</w:t>
      </w:r>
      <w:r w:rsidRPr="00D70217">
        <w:t xml:space="preserve"> komórkowej, stacje radiowo-telewizyjne </w:t>
      </w:r>
      <w:r>
        <w:t xml:space="preserve">oraz </w:t>
      </w:r>
      <w:r w:rsidRPr="00D70217">
        <w:t>stacje i linie elektroenergetyczne wysokiego napięcia</w:t>
      </w:r>
      <w:r>
        <w:t>. Problemem mogą być również takie urządzenia jak telefony komórkowe, kuchenki mikrofalowe, czy routery WiFi. Pamiętać należy jednak, że wielkość promieniowania szybko maleje wraz z odległością od źródła i świadome stosowanie urządzeń może w znacznym stopniu ograniczyć nasze narażenie na promieniowanie PEM.</w:t>
      </w:r>
    </w:p>
    <w:p w:rsidR="00B00C49" w:rsidRPr="00093364" w:rsidRDefault="00B00C49" w:rsidP="00B00C49">
      <w:pPr>
        <w:jc w:val="both"/>
      </w:pPr>
      <w:r w:rsidRPr="00700559">
        <w:t xml:space="preserve">W Polsce </w:t>
      </w:r>
      <w:r w:rsidRPr="002D1219">
        <w:rPr>
          <w:b/>
        </w:rPr>
        <w:t xml:space="preserve">poziom pól elektromagnetycznych </w:t>
      </w:r>
      <w:r w:rsidRPr="00700559">
        <w:t xml:space="preserve">w środowisku </w:t>
      </w:r>
      <w:r w:rsidRPr="00F606C3">
        <w:t>(tło elektromagnetyczne)</w:t>
      </w:r>
      <w:r>
        <w:t xml:space="preserve"> </w:t>
      </w:r>
      <w:r w:rsidRPr="00700559">
        <w:t>podlega</w:t>
      </w:r>
      <w:r>
        <w:t xml:space="preserve"> obserwacji i ocenie w ramach Państwowego Monitoringu Ś</w:t>
      </w:r>
      <w:r w:rsidRPr="00700559">
        <w:t>rodowiska</w:t>
      </w:r>
      <w:r>
        <w:t xml:space="preserve"> (PMŚ)</w:t>
      </w:r>
      <w:r w:rsidRPr="00700559">
        <w:t>.</w:t>
      </w:r>
      <w:r>
        <w:t xml:space="preserve"> Wojewódzkie inspektoraty ochrony środowiska prowadzą m</w:t>
      </w:r>
      <w:r w:rsidRPr="00700559">
        <w:t>onitoring PEM</w:t>
      </w:r>
      <w:r>
        <w:t>,</w:t>
      </w:r>
      <w:r w:rsidRPr="00700559">
        <w:t xml:space="preserve"> </w:t>
      </w:r>
      <w:r>
        <w:t>mierząc</w:t>
      </w:r>
      <w:r w:rsidRPr="00700559">
        <w:t xml:space="preserve"> natężeni</w:t>
      </w:r>
      <w:r>
        <w:t>e</w:t>
      </w:r>
      <w:r w:rsidRPr="00700559">
        <w:t xml:space="preserve"> składowej elektrycznej pola elektromagnetycznego w przedziale częstotliwości co najmniej </w:t>
      </w:r>
      <w:r w:rsidRPr="00F606C3">
        <w:t>od</w:t>
      </w:r>
      <w:r>
        <w:t xml:space="preserve"> </w:t>
      </w:r>
      <w:r w:rsidRPr="00700559">
        <w:t>3</w:t>
      </w:r>
      <w:r>
        <w:t>  </w:t>
      </w:r>
      <w:r w:rsidRPr="00700559">
        <w:t xml:space="preserve">MHz </w:t>
      </w:r>
      <w:r w:rsidRPr="00F606C3">
        <w:t>do</w:t>
      </w:r>
      <w:r>
        <w:t xml:space="preserve"> </w:t>
      </w:r>
      <w:r w:rsidRPr="00700559">
        <w:t>3</w:t>
      </w:r>
      <w:r>
        <w:t>  G</w:t>
      </w:r>
      <w:r w:rsidRPr="00700559">
        <w:t>Hz (tj.</w:t>
      </w:r>
      <w:r>
        <w:t> </w:t>
      </w:r>
      <w:r w:rsidRPr="00700559">
        <w:t>częstotliwości radiowych).</w:t>
      </w:r>
      <w:r>
        <w:t xml:space="preserve"> Pomiary </w:t>
      </w:r>
      <w:r w:rsidRPr="00B00C49">
        <w:t>wykonywane są</w:t>
      </w:r>
      <w:r>
        <w:t xml:space="preserve"> </w:t>
      </w:r>
      <w:r w:rsidRPr="00700559">
        <w:t xml:space="preserve">na </w:t>
      </w:r>
      <w:r>
        <w:rPr>
          <w:b/>
        </w:rPr>
        <w:t>trzech typach terenów</w:t>
      </w:r>
      <w:r w:rsidRPr="00700559">
        <w:t xml:space="preserve"> dostępnych dla ludności</w:t>
      </w:r>
      <w:r>
        <w:t>,</w:t>
      </w:r>
      <w:r w:rsidRPr="00700559">
        <w:t xml:space="preserve"> tj.</w:t>
      </w:r>
      <w:r>
        <w:t xml:space="preserve"> (a) </w:t>
      </w:r>
      <w:r w:rsidRPr="00700559">
        <w:t>w centralnych dz</w:t>
      </w:r>
      <w:r>
        <w:t>ielnicach lub osiedlach miast o </w:t>
      </w:r>
      <w:r w:rsidRPr="00700559">
        <w:t>liczbie mieszkańców przekraczającej 50 tys.</w:t>
      </w:r>
      <w:r>
        <w:t>; (b) w </w:t>
      </w:r>
      <w:r w:rsidRPr="00700559">
        <w:t xml:space="preserve">pozostałych miastach oraz </w:t>
      </w:r>
      <w:r>
        <w:t xml:space="preserve">(c) </w:t>
      </w:r>
      <w:r w:rsidRPr="00700559">
        <w:t>na terenach wiejskich</w:t>
      </w:r>
      <w:r>
        <w:t xml:space="preserve">. </w:t>
      </w:r>
      <w:r w:rsidRPr="00700559">
        <w:t xml:space="preserve">Od 2008 </w:t>
      </w:r>
      <w:r w:rsidRPr="00093364">
        <w:t>roku monitoring PEM prowadzony jest w sposób ujednolicony dla całego kraju, a zasady określone są w prawie krajowym. Na terenie każdego województwa wyznaczanych jest 135 punktów pomiarowych badanych w cyklu trzyletnim. Punkty zlokalizowane są w odległości nie mniejszej niż 100 m od rzutu anten instalacji na powierzchnię terenu.</w:t>
      </w:r>
    </w:p>
    <w:p w:rsidR="00B00C49" w:rsidRPr="00093364" w:rsidRDefault="00B00C49" w:rsidP="00B00C49">
      <w:pPr>
        <w:spacing w:after="0"/>
        <w:jc w:val="both"/>
      </w:pPr>
      <w:r w:rsidRPr="00093364">
        <w:t xml:space="preserve">Najnowsze wyniki monitoringu PEM uzyskane w ramach Państwowego Monitoringu Środowiska wskazują, że wartości pól elektromagnetycznych w środowisku (tło elektromagnetyczne) utrzymują się na bardzo niskim poziomie. W żadnym punkcie pomiarowym, w którym wojewódzkie inspektoraty ochrony środowiska wykonały badania monitoringowe w 2016 r., nie odnotowano przekroczeń dopuszczalnych poziomów PEM w środowisku. Średnia arytmetyczna ze wszystkich pomiarów wykonanych w 2016 roku wyniosła 0,36 V/m, co stanowi zaledwie 5% wartości dopuszczalnej, która dla mierzonych częstotliwości wynosi 7 V/m. </w:t>
      </w:r>
    </w:p>
    <w:p w:rsidR="00B00C49" w:rsidRPr="00093364" w:rsidRDefault="00B00C49" w:rsidP="00B00C49">
      <w:pPr>
        <w:spacing w:after="0"/>
        <w:jc w:val="both"/>
      </w:pPr>
    </w:p>
    <w:p w:rsidR="00B00C49" w:rsidRPr="00093364" w:rsidRDefault="00B00C49" w:rsidP="00B00C49">
      <w:pPr>
        <w:spacing w:after="0"/>
        <w:jc w:val="both"/>
      </w:pPr>
      <w:r w:rsidRPr="00093364">
        <w:t>W rozróżnieniu na poszczególne typy obszarów dla których prowadzony jest monitoring, wartości kształtują się następująco:</w:t>
      </w:r>
    </w:p>
    <w:p w:rsidR="00B00C49" w:rsidRPr="00093364" w:rsidRDefault="00B00C49" w:rsidP="00B00C49">
      <w:pPr>
        <w:pStyle w:val="Bezodstpw"/>
        <w:numPr>
          <w:ilvl w:val="0"/>
          <w:numId w:val="13"/>
        </w:numPr>
        <w:ind w:left="714" w:hanging="357"/>
        <w:jc w:val="both"/>
      </w:pPr>
      <w:r w:rsidRPr="00093364">
        <w:t>dla centralnych dzielnic lub osiedli miast o liczbie mieszkańców przekraczającej 50 tys. – 0,52 V/m,</w:t>
      </w:r>
    </w:p>
    <w:p w:rsidR="00B00C49" w:rsidRPr="00093364" w:rsidRDefault="00B00C49" w:rsidP="00B00C49">
      <w:pPr>
        <w:pStyle w:val="Bezodstpw"/>
        <w:numPr>
          <w:ilvl w:val="0"/>
          <w:numId w:val="13"/>
        </w:numPr>
        <w:ind w:left="714" w:hanging="357"/>
        <w:jc w:val="both"/>
      </w:pPr>
      <w:r w:rsidRPr="00093364">
        <w:t>dla pozostałych miast – 0,32 V/m,</w:t>
      </w:r>
    </w:p>
    <w:p w:rsidR="00B00C49" w:rsidRPr="00093364" w:rsidRDefault="00B00C49" w:rsidP="00B00C49">
      <w:pPr>
        <w:pStyle w:val="Akapitzlist"/>
        <w:numPr>
          <w:ilvl w:val="0"/>
          <w:numId w:val="13"/>
        </w:numPr>
        <w:spacing w:after="0" w:line="240" w:lineRule="auto"/>
        <w:ind w:left="714" w:hanging="357"/>
        <w:jc w:val="both"/>
      </w:pPr>
      <w:r w:rsidRPr="00093364">
        <w:t>dla terenów wiejskich – 0,22 V/m.</w:t>
      </w:r>
    </w:p>
    <w:p w:rsidR="00B00C49" w:rsidRPr="00093364" w:rsidRDefault="00B00C49" w:rsidP="00B00C49">
      <w:pPr>
        <w:spacing w:after="0"/>
        <w:jc w:val="both"/>
      </w:pPr>
    </w:p>
    <w:p w:rsidR="00B00C49" w:rsidRPr="00093364" w:rsidRDefault="00B00C49" w:rsidP="00B00C49">
      <w:pPr>
        <w:spacing w:after="0"/>
        <w:jc w:val="both"/>
      </w:pPr>
      <w:r w:rsidRPr="00093364">
        <w:t>Analizując wyniki monitoringu od 2008 roku, obserwuje się dość stabilny poziom pól elektromagnetycznych w środowisku. Wartości składowej elektrycznej dla poszczególnych obszarów na przestrzeni lat nie odbiegają znacząco od siebie. Tendencją jest, że na obszarach silnie zurbanizowanych poziomy PEM są zdecydowanie wyższe niż na pozostałych obszarach, co związane jest z większą liczbą instalacji emitujących PEM do środowiska.</w:t>
      </w:r>
    </w:p>
    <w:p w:rsidR="00B00C49" w:rsidRPr="00093364" w:rsidRDefault="00B00C49" w:rsidP="00B00C49">
      <w:pPr>
        <w:spacing w:after="0"/>
      </w:pPr>
    </w:p>
    <w:tbl>
      <w:tblPr>
        <w:tblW w:w="0" w:type="auto"/>
        <w:tblLook w:val="04A0" w:firstRow="1" w:lastRow="0" w:firstColumn="1" w:lastColumn="0" w:noHBand="0" w:noVBand="1"/>
      </w:tblPr>
      <w:tblGrid>
        <w:gridCol w:w="9072"/>
      </w:tblGrid>
      <w:tr w:rsidR="00B00C49" w:rsidRPr="00C16CFC" w:rsidTr="00B00C49">
        <w:tc>
          <w:tcPr>
            <w:tcW w:w="9072" w:type="dxa"/>
          </w:tcPr>
          <w:p w:rsidR="00B00C49" w:rsidRPr="00C16CFC" w:rsidRDefault="00B00C49" w:rsidP="0077038F">
            <w:pPr>
              <w:spacing w:after="0" w:line="240" w:lineRule="auto"/>
              <w:ind w:left="851" w:hanging="851"/>
              <w:rPr>
                <w:rFonts w:eastAsia="Times New Roman" w:cs="Calibri"/>
                <w:i/>
                <w:lang w:eastAsia="pl-PL"/>
              </w:rPr>
            </w:pPr>
            <w:r w:rsidRPr="0077038F">
              <w:rPr>
                <w:rFonts w:eastAsia="Times New Roman" w:cs="Calibri"/>
                <w:bCs/>
                <w:i/>
                <w:lang w:eastAsia="pl-PL"/>
              </w:rPr>
              <w:t xml:space="preserve">Rys. </w:t>
            </w:r>
            <w:r w:rsidR="0077038F">
              <w:rPr>
                <w:rFonts w:eastAsia="Times New Roman" w:cs="Calibri"/>
                <w:bCs/>
                <w:i/>
                <w:lang w:eastAsia="pl-PL"/>
              </w:rPr>
              <w:t>5.3.</w:t>
            </w:r>
            <w:r w:rsidRPr="00B00C49">
              <w:rPr>
                <w:rFonts w:eastAsia="Times New Roman" w:cs="Calibri"/>
                <w:bCs/>
                <w:i/>
                <w:lang w:eastAsia="pl-PL"/>
              </w:rPr>
              <w:t xml:space="preserve"> Średnie wartości natężenia pól elektromagnetycznych w środowisku uzyskane w ramach państwowego monitoringu środowiska w latach 2008–201</w:t>
            </w:r>
            <w:r w:rsidR="00AC5F41">
              <w:rPr>
                <w:rFonts w:eastAsia="Times New Roman" w:cs="Calibri"/>
                <w:bCs/>
                <w:i/>
                <w:lang w:eastAsia="pl-PL"/>
              </w:rPr>
              <w:t>6</w:t>
            </w:r>
            <w:r w:rsidRPr="00B00C49">
              <w:rPr>
                <w:rFonts w:eastAsia="Times New Roman" w:cs="Calibri"/>
                <w:bCs/>
                <w:i/>
                <w:lang w:eastAsia="pl-PL"/>
              </w:rPr>
              <w:t xml:space="preserve"> (źródło: GIOŚ/PMŚ).</w:t>
            </w:r>
          </w:p>
        </w:tc>
      </w:tr>
    </w:tbl>
    <w:p w:rsidR="00B00C49" w:rsidRPr="00093364" w:rsidRDefault="00B00C49" w:rsidP="00B00C49">
      <w:pPr>
        <w:jc w:val="both"/>
        <w:rPr>
          <w:b/>
        </w:rPr>
      </w:pPr>
      <w:r>
        <w:rPr>
          <w:noProof/>
          <w:lang w:eastAsia="pl-PL"/>
        </w:rPr>
        <w:drawing>
          <wp:inline distT="0" distB="0" distL="0" distR="0" wp14:anchorId="7DC29A20" wp14:editId="2D9FB2D0">
            <wp:extent cx="6010275" cy="3543300"/>
            <wp:effectExtent l="0" t="0" r="0" b="0"/>
            <wp:docPr id="38" name="Wykres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00C49" w:rsidRPr="003E4F83" w:rsidRDefault="00B00C49" w:rsidP="00B00C49">
      <w:pPr>
        <w:jc w:val="both"/>
      </w:pPr>
      <w:r w:rsidRPr="00093364">
        <w:t xml:space="preserve">Fakt, że PEM wpływają na organizmy żywe jest oczywisty, natomiast wyniki licznych badań epidemiologicznych prowadzonych od wielu lat nadal nie są jednoznaczne. Mimo to pola magnetyczne </w:t>
      </w:r>
      <w:r w:rsidRPr="002B7ECF">
        <w:t>niskiej częstotliwości oraz pola elektromagnetyczne częstotliwości radiowych sklasyfikowane są przez</w:t>
      </w:r>
      <w:r w:rsidRPr="00093364">
        <w:t xml:space="preserve"> Międzynarodową Agencję Badań nad Rakiem (IARC) do </w:t>
      </w:r>
      <w:r w:rsidRPr="003E4F83">
        <w:t xml:space="preserve">grupy 2B jako możliwie rakotwórcze dla ludzi (possibly carcinogenic to humans). Do grupy </w:t>
      </w:r>
      <w:r w:rsidRPr="003E4F83">
        <w:rPr>
          <w:rFonts w:eastAsia="Times New Roman"/>
          <w:lang w:eastAsia="pl-PL"/>
        </w:rPr>
        <w:t>2B należą czynniki (mieszaniny) lub zespoły czynników charakterystycznych dla określonego procesu technologicznego (zwanego również warunkami narażenia), które są przypuszczalnie rakotwórcze dla ludzi (istnieje ograniczony dowód działania rakotwórczego na ludzi przy braku wystarczającego dowodu rakotwórczości u zwierząt doświadczalnych).</w:t>
      </w:r>
    </w:p>
    <w:p w:rsidR="00B00C49" w:rsidRDefault="00B00C49" w:rsidP="00B00C49">
      <w:pPr>
        <w:jc w:val="both"/>
      </w:pPr>
      <w:r>
        <w:t>Mimo, że wyniki monitoringu pokazują, że wartości PEM w środowisku znajdują się na niskim poziomie, to jednak ze względu na stale rosnącą ilość źródeł emitujących PEM do środowiska, zmieniające się technologie, moce nadawcze oraz zagęszczenie źródeł mogą pojawić się miejsca gdzie wartości dopuszczalne PEM zostaną przekroczone. Ten fakt oraz i</w:t>
      </w:r>
      <w:r w:rsidRPr="00D629F0">
        <w:rPr>
          <w:rFonts w:eastAsia="Times New Roman"/>
          <w:bCs/>
          <w:kern w:val="36"/>
          <w:lang w:eastAsia="pl-PL"/>
        </w:rPr>
        <w:t>stni</w:t>
      </w:r>
      <w:r w:rsidRPr="00D629F0">
        <w:t>ejące (choć</w:t>
      </w:r>
      <w:r>
        <w:t xml:space="preserve"> </w:t>
      </w:r>
      <w:r w:rsidRPr="006A732F">
        <w:t>ograniczone)</w:t>
      </w:r>
      <w:r w:rsidRPr="00663DF4">
        <w:t xml:space="preserve"> dowody </w:t>
      </w:r>
      <w:r>
        <w:t>świadczące o</w:t>
      </w:r>
      <w:r w:rsidRPr="00663DF4">
        <w:t xml:space="preserve"> możliw</w:t>
      </w:r>
      <w:r>
        <w:t>ości</w:t>
      </w:r>
      <w:r w:rsidRPr="00663DF4">
        <w:t xml:space="preserve"> szkodliwego oddziaływania PEM na ludzi</w:t>
      </w:r>
      <w:r>
        <w:t xml:space="preserve"> może budzić obawy społeczeństwa, dlatego też konieczne jest </w:t>
      </w:r>
      <w:r w:rsidRPr="00663DF4">
        <w:t>stałe monitorowanie poziomów PEM w środowisku</w:t>
      </w:r>
      <w:r>
        <w:t>.</w:t>
      </w:r>
    </w:p>
    <w:p w:rsidR="00B00C49" w:rsidRDefault="00B00C49" w:rsidP="00E86E91">
      <w:pPr>
        <w:jc w:val="both"/>
      </w:pPr>
      <w:r w:rsidRPr="00B00C49">
        <w:t>Ponadto, informacja o średnich poziomach pól elektromagnetycznych jest niezbędna do właściwego prowadzenia procedur lokalizacji nowych instalacji emitujących pola elektromagnetyczne, a także projektowania zmian konfiguracji urządzeń nadawczych instalacji już istniejących.</w:t>
      </w:r>
    </w:p>
    <w:p w:rsidR="002C274A" w:rsidRDefault="002C274A" w:rsidP="00E86E91">
      <w:pPr>
        <w:jc w:val="both"/>
      </w:pPr>
    </w:p>
    <w:p w:rsidR="002C274A" w:rsidRPr="00B00C49" w:rsidRDefault="002C274A" w:rsidP="00E86E91">
      <w:pPr>
        <w:jc w:val="both"/>
      </w:pPr>
    </w:p>
    <w:p w:rsidR="00A0064B" w:rsidRPr="003B1DFB" w:rsidRDefault="00A0064B" w:rsidP="003B1DFB">
      <w:pPr>
        <w:pStyle w:val="Nagwek2"/>
      </w:pPr>
      <w:bookmarkStart w:id="52" w:name="_Toc505604927"/>
      <w:bookmarkStart w:id="53" w:name="_Toc505605320"/>
      <w:r w:rsidRPr="003B1DFB">
        <w:lastRenderedPageBreak/>
        <w:t>Promieniowanie jonizujące</w:t>
      </w:r>
      <w:bookmarkEnd w:id="52"/>
      <w:bookmarkEnd w:id="53"/>
    </w:p>
    <w:p w:rsidR="002C274A" w:rsidRPr="002C274A" w:rsidRDefault="002C274A" w:rsidP="002C274A">
      <w:pPr>
        <w:spacing w:after="160" w:line="259" w:lineRule="auto"/>
        <w:jc w:val="both"/>
        <w:rPr>
          <w:rFonts w:ascii="Calibri" w:eastAsia="Calibri" w:hAnsi="Calibri" w:cs="Times New Roman"/>
        </w:rPr>
      </w:pPr>
      <w:r w:rsidRPr="002C274A">
        <w:rPr>
          <w:rFonts w:ascii="Calibri" w:eastAsia="Calibri" w:hAnsi="Calibri" w:cs="Times New Roman"/>
        </w:rPr>
        <w:t>Promieniowanie jonizujące jest obecne na naszej planecie od początku jej powstania i towarzyszy nam w postaci otaczającego nas tła promieniotwórczego. Jest ono niezbędne do funkcjonowania wszystkich organizmów żywych. Naturalne izotopy promieniotwórcze obecne w skorupie ziemskiej ulegają stałym przemianom. Oprócz izotopów promieniotwórczych obecnych stale w środowisku, w wyniku działalności człowieka uwalniane są dalsze, zarówno naturalne, jak i sztuczne radionuklidy. W Polsce ok. 68%</w:t>
      </w:r>
      <w:r w:rsidRPr="002C274A">
        <w:rPr>
          <w:rFonts w:ascii="Calibri" w:eastAsia="Calibri" w:hAnsi="Calibri" w:cs="Times New Roman"/>
          <w:vertAlign w:val="superscript"/>
        </w:rPr>
        <w:footnoteReference w:id="36"/>
      </w:r>
      <w:r w:rsidRPr="002C274A">
        <w:rPr>
          <w:rFonts w:ascii="Calibri" w:eastAsia="Calibri" w:hAnsi="Calibri" w:cs="Times New Roman"/>
        </w:rPr>
        <w:t xml:space="preserve"> promieniowania oddziałującego na człowieka to promieniowanie jonizujące wynikające z naturalnego tła promieniowania.  Naturalne radionuklidy uwalniane są m. in. przez przemysł wydobywczy i energetyczny (różnego rodzaju składowiska, hałdy i stawy osadowe) jak również podczas nawożenia związkami fosforu i potasu. Sztuczne izotopy promieniotwórcze uwalniane są w sposób kontrolowany np. podczas normalnej pracy reaktorów jądrowych (energetycznych i badawczych) oraz podczas użytkowania urządzeń diagnostycznych i laboratoriów wykorzystujących radioizotopy. Do niekontrolowanego uwalniania sztucznych izotopów promieniotwórczych dochodziło w okresie prowadzenia doświadczalnych wybuchów jądrowych, szczególnie pod koniec lat 50. i na początku lat 60. ubiegłego wieku, a także podczas awarii jądrowych.</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W Polsce promieniowanie jonizujące jest wykorzystywane do zastosowań medycznych, naukowych i przemysłowych. Istotna dla tych zastosowań jest działalność obiektu jądrowego - reaktora badawczego MARIA, zlokalizowanego w Narodowym Centrum Badań Jądrowych w Świerku. Na terenie kraju znajduje się ponad 25 tys. źródeł promieniotwórczych, których potencjał wykorzystywany jest szeroko w leczeniu onkologicznym, diagnostyce medycznej, wielu projektach badawczych i przemysłowych. Nadzór nad wykorzystaniem promieniowania sprawuje Prezes Państwowej Agencji Atomistyki poprzez system zezwoleń, kontroli, oceny oraz egzekwowania wymogów bezpieczeństwa jądrowego i ochrony radiologicznej.</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Monitoring skażeń promieniotwórczych pozwala na stwierdzenie, że sytuacja radiacyjna w Polsce jest stabilna i nie zagraża zdrowiu ludzi i środowisku. Działalności związane z narażeniem na promieniowanie jonizujące, w tym obiekty jądrowe (reaktor badawczy Maria i przechowalniki wypalonego paliwa jądrowego) oraz Krajowe Składowisko Odpadów Promieniotwórczych zlokalizowane na terenie Polski nie oddziałują negatywnie na zdrowie społeczeństwa.</w:t>
      </w:r>
    </w:p>
    <w:p w:rsidR="002C274A" w:rsidRPr="002C274A" w:rsidRDefault="002C274A" w:rsidP="002C274A">
      <w:pPr>
        <w:spacing w:after="160" w:line="259" w:lineRule="auto"/>
        <w:jc w:val="both"/>
        <w:rPr>
          <w:rFonts w:ascii="Calibri" w:eastAsia="Calibri" w:hAnsi="Calibri" w:cs="Times New Roman"/>
        </w:rPr>
      </w:pPr>
      <w:r w:rsidRPr="002C274A">
        <w:rPr>
          <w:rFonts w:ascii="Calibri" w:eastAsia="Calibri" w:hAnsi="Calibri" w:cs="Times New Roman"/>
        </w:rPr>
        <w:t xml:space="preserve">Wszystkie dostępne wyniki pomiarów mocy dawki promieniowania jonizującego, jak również stężeń poszczególnych naturalnych oraz sztucznych izotopów promieniotwórczych, we wszystkich komponentach środowiska są gromadzone i analizowane przez Prezesa Państwowej Agencji Atomistyki. Wyniki te pochodzą ze wszystkich systemów monitoringu i programów pomiarowych (w szczególności wykonywanych w ramach Państwowego Monitoringu Środowiska oraz realizowanych ze środków PAA). Zebrane dane i informacje pozwalają na dokonanie przez Prezesa Państwowej Agencji Atomistyki oceny aktualnej sytuacji radiacyjnej w Polsce.   </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Times New Roman"/>
        </w:rPr>
        <w:t>Monitoring promieniowania jonizującego jest częściowo realizowany przez Prezesa Państwowej Agencji Atomistyki, jest również elementem</w:t>
      </w:r>
      <w:r w:rsidRPr="002C274A">
        <w:rPr>
          <w:rFonts w:ascii="Calibri" w:eastAsia="Calibri" w:hAnsi="Calibri" w:cs="Calibri"/>
        </w:rPr>
        <w:t xml:space="preserve"> Państwowego Monitoringu Środowiska koordynowanego przez organy Inspekcji Ochrony Środowiska</w:t>
      </w:r>
      <w:r w:rsidRPr="002C274A">
        <w:rPr>
          <w:rFonts w:ascii="Calibri" w:eastAsia="Calibri" w:hAnsi="Calibri" w:cs="Calibri"/>
          <w:vertAlign w:val="superscript"/>
        </w:rPr>
        <w:footnoteReference w:id="37"/>
      </w:r>
      <w:r w:rsidRPr="002C274A">
        <w:rPr>
          <w:rFonts w:ascii="Calibri" w:eastAsia="Calibri" w:hAnsi="Calibri" w:cs="Calibri"/>
        </w:rPr>
        <w:t>. W skład tego podsystemu monitoringu środowiska wchodzi:</w:t>
      </w:r>
    </w:p>
    <w:p w:rsidR="002C274A" w:rsidRPr="002C274A" w:rsidRDefault="002C274A" w:rsidP="002C274A">
      <w:pPr>
        <w:numPr>
          <w:ilvl w:val="0"/>
          <w:numId w:val="33"/>
        </w:numPr>
        <w:spacing w:after="160" w:line="259" w:lineRule="auto"/>
        <w:contextualSpacing/>
        <w:jc w:val="both"/>
        <w:rPr>
          <w:rFonts w:ascii="Calibri" w:eastAsia="Calibri" w:hAnsi="Calibri" w:cs="Times New Roman"/>
        </w:rPr>
      </w:pPr>
      <w:r w:rsidRPr="002C274A">
        <w:rPr>
          <w:rFonts w:ascii="Calibri" w:eastAsia="Calibri" w:hAnsi="Calibri" w:cs="Times New Roman"/>
        </w:rPr>
        <w:t>wykonywanie pomiarów na stacjach wczesnego wykrywania skażeń promieniotwórczych;</w:t>
      </w:r>
    </w:p>
    <w:p w:rsidR="002C274A" w:rsidRPr="002C274A" w:rsidRDefault="002C274A" w:rsidP="002C274A">
      <w:pPr>
        <w:numPr>
          <w:ilvl w:val="0"/>
          <w:numId w:val="33"/>
        </w:numPr>
        <w:spacing w:after="160" w:line="259" w:lineRule="auto"/>
        <w:contextualSpacing/>
        <w:jc w:val="both"/>
        <w:rPr>
          <w:rFonts w:ascii="Calibri" w:eastAsia="Calibri" w:hAnsi="Calibri" w:cs="Times New Roman"/>
        </w:rPr>
      </w:pPr>
      <w:r w:rsidRPr="002C274A">
        <w:rPr>
          <w:rFonts w:ascii="Calibri" w:eastAsia="Calibri" w:hAnsi="Calibri" w:cs="Times New Roman"/>
        </w:rPr>
        <w:lastRenderedPageBreak/>
        <w:t>monitoring stężenia Cs-173 w glebie;</w:t>
      </w:r>
    </w:p>
    <w:p w:rsidR="002C274A" w:rsidRPr="002C274A" w:rsidRDefault="002C274A" w:rsidP="002C274A">
      <w:pPr>
        <w:numPr>
          <w:ilvl w:val="0"/>
          <w:numId w:val="33"/>
        </w:numPr>
        <w:spacing w:after="160" w:line="259" w:lineRule="auto"/>
        <w:contextualSpacing/>
        <w:jc w:val="both"/>
        <w:rPr>
          <w:rFonts w:ascii="Calibri" w:eastAsia="Calibri" w:hAnsi="Calibri" w:cs="Times New Roman"/>
        </w:rPr>
      </w:pPr>
      <w:r w:rsidRPr="002C274A">
        <w:rPr>
          <w:rFonts w:ascii="Calibri" w:eastAsia="Calibri" w:hAnsi="Calibri" w:cs="Times New Roman"/>
        </w:rPr>
        <w:t>monitoring skażeń promieniotwórczych wód powierzchniowych i osadów dennych.</w:t>
      </w:r>
    </w:p>
    <w:p w:rsidR="002C274A" w:rsidRPr="002C274A" w:rsidRDefault="002C274A" w:rsidP="002C274A">
      <w:pPr>
        <w:spacing w:after="160" w:line="259" w:lineRule="auto"/>
        <w:jc w:val="both"/>
        <w:rPr>
          <w:rFonts w:ascii="Calibri" w:eastAsia="Calibri" w:hAnsi="Calibri" w:cs="Times New Roman"/>
        </w:rPr>
      </w:pPr>
      <w:r w:rsidRPr="002C274A">
        <w:rPr>
          <w:rFonts w:ascii="Calibri" w:eastAsia="Calibri" w:hAnsi="Calibri" w:cs="Times New Roman"/>
        </w:rPr>
        <w:t xml:space="preserve">W Polsce funkcjonuje sieć stacji wczesnego wykrywania skażeń promieniotwórczych należących do Państwowej Agencji Atomistyki, Centralnego Laboratorium Ochrony Radiologicznej, </w:t>
      </w:r>
      <w:r w:rsidRPr="002C274A">
        <w:rPr>
          <w:rFonts w:ascii="Calibri" w:eastAsia="Calibri" w:hAnsi="Calibri" w:cs="Calibri"/>
        </w:rPr>
        <w:t>Instytutu Meteorologii i Gospodarki Wodnej oraz Ministerstwa Obrony Narodowej</w:t>
      </w:r>
      <w:r w:rsidRPr="002C274A">
        <w:rPr>
          <w:rFonts w:ascii="Calibri" w:eastAsia="Calibri" w:hAnsi="Calibri" w:cs="Times New Roman"/>
        </w:rPr>
        <w:t xml:space="preserve">. W stacjach tych prowadzi się pomiary mocy dawki promieniowania gamma w środowisku oraz oznacza się stężenia aktywności izotopów promieniotwórczych w aerozolach powietrza i w opadzie atmosferycznym. Monitoring skażeń promieniotwórczych żywności, wody pitnej oraz pasz jest prowadzony przez tzw. placówki podstawowe (Stacje Sanitarno-Epidemiologiczne) oraz wybrane placówki inspekcji weterynaryjnej. </w:t>
      </w:r>
    </w:p>
    <w:p w:rsidR="002C274A" w:rsidRPr="002C274A" w:rsidRDefault="002C274A" w:rsidP="002C274A">
      <w:pPr>
        <w:spacing w:after="160" w:line="259" w:lineRule="auto"/>
        <w:jc w:val="both"/>
        <w:rPr>
          <w:rFonts w:ascii="Calibri" w:eastAsia="Calibri" w:hAnsi="Calibri" w:cs="Times New Roman"/>
        </w:rPr>
      </w:pPr>
      <w:r w:rsidRPr="002C274A">
        <w:rPr>
          <w:rFonts w:ascii="Calibri" w:eastAsia="Calibri" w:hAnsi="Calibri" w:cs="Times New Roman"/>
        </w:rPr>
        <w:t>W 2016 r. średnie dobowe wartości mocy dawki promieniowania gamma w powietrzu, uwzględniając promieniowanie kosmiczne oraz promieniowanie pochodzące od radionuklidów zawartych w glebie, wahały się w naszym kraju w granicach od 68 do 141 nSv/h</w:t>
      </w:r>
      <w:r w:rsidRPr="002C274A">
        <w:rPr>
          <w:rFonts w:ascii="Calibri" w:eastAsia="Calibri" w:hAnsi="Calibri" w:cs="Times New Roman"/>
          <w:vertAlign w:val="superscript"/>
        </w:rPr>
        <w:footnoteReference w:id="38"/>
      </w:r>
      <w:r w:rsidRPr="002C274A">
        <w:rPr>
          <w:rFonts w:ascii="Calibri" w:eastAsia="Calibri" w:hAnsi="Calibri" w:cs="Times New Roman"/>
        </w:rPr>
        <w:t xml:space="preserve">, przy średniej rocznej wynoszącej 93 nSv/h. </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Times New Roman"/>
        </w:rPr>
        <w:t xml:space="preserve">W powietrzu atmosferycznym, oprócz naturalnych izotopów promieniotwórczych, rejestrowane są niewielkie stężenia innych izotopów, w szczególności Cs-137, który jest pozostałością po wybuchach jądrowych przeprowadzanych w atmosferze oraz awariach jądrowych. Z powodu dość długiego czasu jego rozpadu (30 lat) jest on izotopem promieniotwórczym będącym znacznikiem </w:t>
      </w:r>
      <w:r w:rsidRPr="002C274A">
        <w:rPr>
          <w:rFonts w:ascii="Calibri" w:eastAsia="Calibri" w:hAnsi="Calibri" w:cs="Calibri"/>
        </w:rPr>
        <w:t>skażenia środowiska sztucznymi radionuklidami. W ramach Państwowego Monitoringu Środowiska prowadzone są badania radionuklidu Cs-137 w powietrzu, wodach i osadach oraz w glebie.</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 xml:space="preserve">Badania opadu całkowitego prowadzone są w </w:t>
      </w:r>
      <w:r w:rsidRPr="002C274A">
        <w:rPr>
          <w:rFonts w:ascii="Calibri" w:eastAsia="Calibri" w:hAnsi="Calibri" w:cs="Calibri"/>
          <w:color w:val="000000"/>
        </w:rPr>
        <w:t>sieci wczesnego wykrywania skażeń promieniotwórczych</w:t>
      </w:r>
      <w:r w:rsidRPr="002C274A">
        <w:rPr>
          <w:rFonts w:ascii="Calibri" w:eastAsia="Calibri" w:hAnsi="Calibri" w:cs="Calibri"/>
        </w:rPr>
        <w:t xml:space="preserve"> na stacjach Instytutu Meteorologii i Gospodarki Wodnej – PIB, zlokalizowanych w Warszawie, Gdyni, Włodawie, Świnoujściu, Gorzowie Wlkp., Poznaniu, Lesku, Zakopanem, Legnicy i Mikołajkach. W ramach tych badań oznaczana jest stężenie izotopu Cs-137 w miesięcznym opadzie całkowitym. Wyniki pomiarów wskazują, że stężenie Cs-137 w średnim opadzie rocznym w 2016 r. była na poziomie obserwowanym w poprzednich latach.</w:t>
      </w:r>
    </w:p>
    <w:p w:rsidR="002C274A" w:rsidRPr="002C274A" w:rsidRDefault="002C274A" w:rsidP="002C274A">
      <w:pPr>
        <w:spacing w:after="160" w:line="259" w:lineRule="auto"/>
        <w:jc w:val="both"/>
        <w:rPr>
          <w:rFonts w:ascii="Calibri" w:eastAsia="Calibri" w:hAnsi="Calibri" w:cs="Calibri"/>
        </w:rPr>
      </w:pPr>
    </w:p>
    <w:p w:rsidR="002C274A" w:rsidRP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Default="002C274A" w:rsidP="002C274A">
      <w:pPr>
        <w:spacing w:after="160" w:line="259" w:lineRule="auto"/>
        <w:jc w:val="both"/>
        <w:rPr>
          <w:rFonts w:ascii="Calibri" w:eastAsia="Calibri" w:hAnsi="Calibri" w:cs="Calibri"/>
        </w:rPr>
      </w:pPr>
    </w:p>
    <w:p w:rsidR="002C274A" w:rsidRPr="002C274A" w:rsidRDefault="002C274A" w:rsidP="002C274A">
      <w:pPr>
        <w:spacing w:after="160" w:line="259" w:lineRule="auto"/>
        <w:jc w:val="both"/>
        <w:rPr>
          <w:rFonts w:ascii="Calibri" w:eastAsia="Calibri" w:hAnsi="Calibri" w:cs="Calibri"/>
        </w:rPr>
      </w:pPr>
    </w:p>
    <w:p w:rsidR="002C274A" w:rsidRPr="002C274A" w:rsidRDefault="002C274A" w:rsidP="002C274A">
      <w:pPr>
        <w:spacing w:after="160" w:line="259" w:lineRule="auto"/>
        <w:jc w:val="both"/>
        <w:rPr>
          <w:rFonts w:ascii="Calibri" w:eastAsia="Calibri" w:hAnsi="Calibri" w:cs="Calibri"/>
        </w:rPr>
      </w:pPr>
    </w:p>
    <w:p w:rsidR="002C274A" w:rsidRPr="002C274A" w:rsidRDefault="002C274A" w:rsidP="002C274A">
      <w:pPr>
        <w:spacing w:after="160" w:line="259" w:lineRule="auto"/>
        <w:ind w:left="993" w:hanging="993"/>
        <w:jc w:val="both"/>
        <w:rPr>
          <w:rFonts w:ascii="Calibri" w:eastAsia="Calibri" w:hAnsi="Calibri" w:cs="Calibri"/>
          <w:i/>
        </w:rPr>
      </w:pPr>
      <w:r w:rsidRPr="002C274A">
        <w:rPr>
          <w:rFonts w:ascii="Calibri" w:eastAsia="Calibri" w:hAnsi="Calibri" w:cs="Calibri"/>
          <w:i/>
        </w:rPr>
        <w:lastRenderedPageBreak/>
        <w:t xml:space="preserve">Rys. </w:t>
      </w:r>
      <w:r w:rsidR="0077038F">
        <w:rPr>
          <w:rFonts w:ascii="Calibri" w:eastAsia="Calibri" w:hAnsi="Calibri" w:cs="Calibri"/>
          <w:i/>
        </w:rPr>
        <w:t xml:space="preserve">5.4. </w:t>
      </w:r>
      <w:r w:rsidRPr="002C274A">
        <w:rPr>
          <w:rFonts w:ascii="Calibri" w:eastAsia="Calibri" w:hAnsi="Calibri" w:cs="Calibri"/>
          <w:i/>
        </w:rPr>
        <w:t>Aktywność Cs-137 w średnim rocznym opadzie całkowitym w Polsce w latach 1985–2016 (źródło: GIOŚ/PMŚ).</w:t>
      </w:r>
    </w:p>
    <w:p w:rsidR="002C274A" w:rsidRPr="002C274A" w:rsidRDefault="002C274A" w:rsidP="002C274A">
      <w:pPr>
        <w:spacing w:after="160" w:line="259" w:lineRule="auto"/>
        <w:jc w:val="both"/>
        <w:rPr>
          <w:rFonts w:ascii="Calibri" w:eastAsia="Calibri" w:hAnsi="Calibri" w:cs="Times New Roman"/>
          <w:b/>
        </w:rPr>
      </w:pPr>
    </w:p>
    <w:p w:rsidR="002C274A" w:rsidRPr="002C274A" w:rsidRDefault="002C274A" w:rsidP="002C274A">
      <w:pPr>
        <w:spacing w:after="160" w:line="259" w:lineRule="auto"/>
        <w:jc w:val="both"/>
        <w:rPr>
          <w:rFonts w:ascii="Calibri" w:eastAsia="Calibri" w:hAnsi="Calibri" w:cs="Calibri"/>
          <w:noProof/>
          <w:lang w:eastAsia="pl-PL"/>
        </w:rPr>
      </w:pPr>
      <w:r>
        <w:rPr>
          <w:rFonts w:ascii="Calibri" w:eastAsia="Calibri" w:hAnsi="Calibri" w:cs="Calibri"/>
          <w:noProof/>
          <w:lang w:eastAsia="pl-PL"/>
        </w:rPr>
        <w:drawing>
          <wp:inline distT="0" distB="0" distL="0" distR="0" wp14:anchorId="629BB2B2" wp14:editId="0A234E67">
            <wp:extent cx="5847715" cy="2333625"/>
            <wp:effectExtent l="0" t="0" r="635" b="952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7715" cy="2333625"/>
                    </a:xfrm>
                    <a:prstGeom prst="rect">
                      <a:avLst/>
                    </a:prstGeom>
                    <a:noFill/>
                  </pic:spPr>
                </pic:pic>
              </a:graphicData>
            </a:graphic>
          </wp:inline>
        </w:drawing>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 xml:space="preserve">Monitoring skażeń promieniotwórczych </w:t>
      </w:r>
      <w:r w:rsidRPr="002C274A">
        <w:rPr>
          <w:rFonts w:ascii="Calibri" w:eastAsia="Calibri" w:hAnsi="Calibri" w:cs="Calibri"/>
          <w:b/>
        </w:rPr>
        <w:t>wód powierzchniowych i osadów dennych</w:t>
      </w:r>
      <w:r w:rsidRPr="002C274A">
        <w:rPr>
          <w:rFonts w:ascii="Calibri" w:eastAsia="Calibri" w:hAnsi="Calibri" w:cs="Calibri"/>
        </w:rPr>
        <w:t xml:space="preserve"> w ramach PMŚ prowadzony jest w 18 punktach pomiarowych, usytuowanych w dorzeczu Wisły (7 punktów), w dorzeczu Odry (5 punktów) oraz sześciu jeziorach. Wyniki uzyskane w ramach jego realizacji pozwalają na stwierdzenie, że poziomy Cs-137 w wodach powierzchniowych i osadach są bardzo niskie i nie zagrażają zdrowiu ludzi i środowisku (X.).</w:t>
      </w:r>
    </w:p>
    <w:p w:rsidR="002C274A" w:rsidRPr="002C274A" w:rsidRDefault="002C274A" w:rsidP="002C274A">
      <w:pPr>
        <w:spacing w:after="160" w:line="259" w:lineRule="auto"/>
        <w:jc w:val="both"/>
        <w:rPr>
          <w:rFonts w:ascii="Calibri" w:eastAsia="Calibri" w:hAnsi="Calibri" w:cs="Calibri"/>
        </w:rPr>
      </w:pPr>
    </w:p>
    <w:tbl>
      <w:tblPr>
        <w:tblW w:w="0" w:type="auto"/>
        <w:tblLook w:val="04A0" w:firstRow="1" w:lastRow="0" w:firstColumn="1" w:lastColumn="0" w:noHBand="0" w:noVBand="1"/>
      </w:tblPr>
      <w:tblGrid>
        <w:gridCol w:w="9062"/>
      </w:tblGrid>
      <w:tr w:rsidR="002C274A" w:rsidRPr="002C274A" w:rsidTr="002C274A">
        <w:tc>
          <w:tcPr>
            <w:tcW w:w="9062" w:type="dxa"/>
          </w:tcPr>
          <w:p w:rsidR="002C274A" w:rsidRPr="002C274A" w:rsidRDefault="002C274A" w:rsidP="0077038F">
            <w:pPr>
              <w:spacing w:after="0" w:line="240" w:lineRule="auto"/>
              <w:ind w:left="993" w:hanging="993"/>
              <w:jc w:val="both"/>
              <w:rPr>
                <w:rFonts w:ascii="Calibri" w:eastAsia="Times New Roman" w:hAnsi="Calibri" w:cs="Calibri"/>
                <w:i/>
                <w:lang w:eastAsia="pl-PL"/>
              </w:rPr>
            </w:pPr>
            <w:r w:rsidRPr="002C274A">
              <w:rPr>
                <w:rFonts w:ascii="Calibri" w:eastAsia="Times New Roman" w:hAnsi="Calibri" w:cs="Calibri"/>
                <w:i/>
                <w:lang w:eastAsia="pl-PL"/>
              </w:rPr>
              <w:t xml:space="preserve">Rys. </w:t>
            </w:r>
            <w:r w:rsidR="0077038F">
              <w:rPr>
                <w:rFonts w:ascii="Calibri" w:eastAsia="Times New Roman" w:hAnsi="Calibri" w:cs="Calibri"/>
                <w:i/>
                <w:lang w:eastAsia="pl-PL"/>
              </w:rPr>
              <w:t>5.5.</w:t>
            </w:r>
            <w:r w:rsidRPr="002C274A">
              <w:rPr>
                <w:rFonts w:ascii="Calibri" w:eastAsia="Times New Roman" w:hAnsi="Calibri" w:cs="Calibri"/>
                <w:i/>
                <w:lang w:eastAsia="pl-PL"/>
              </w:rPr>
              <w:t xml:space="preserve"> Średnie roczne stężenia promieniotwórcze Cs-137 w wodach dorzeczach Wisły, Odry i jezior w latach 2007–2016 (źródło: GIOŚ/PMŚ)</w:t>
            </w:r>
          </w:p>
        </w:tc>
      </w:tr>
    </w:tbl>
    <w:p w:rsidR="002C274A" w:rsidRDefault="002C274A" w:rsidP="002C274A">
      <w:pPr>
        <w:spacing w:after="160" w:line="259" w:lineRule="auto"/>
        <w:jc w:val="both"/>
        <w:rPr>
          <w:rFonts w:ascii="Calibri" w:eastAsia="Calibri" w:hAnsi="Calibri" w:cs="Calibri"/>
          <w:noProof/>
          <w:lang w:eastAsia="pl-PL"/>
        </w:rPr>
      </w:pPr>
      <w:r>
        <w:rPr>
          <w:rFonts w:ascii="Calibri" w:eastAsia="Calibri" w:hAnsi="Calibri" w:cs="Calibri"/>
          <w:noProof/>
          <w:lang w:eastAsia="pl-PL"/>
        </w:rPr>
        <w:drawing>
          <wp:inline distT="0" distB="0" distL="0" distR="0" wp14:anchorId="078382F0" wp14:editId="5B42E988">
            <wp:extent cx="6000115" cy="2723515"/>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00115" cy="2723515"/>
                    </a:xfrm>
                    <a:prstGeom prst="rect">
                      <a:avLst/>
                    </a:prstGeom>
                    <a:noFill/>
                  </pic:spPr>
                </pic:pic>
              </a:graphicData>
            </a:graphic>
          </wp:inline>
        </w:drawing>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 xml:space="preserve">Monitoring stężenia Cs-137 w </w:t>
      </w:r>
      <w:r w:rsidRPr="002C274A">
        <w:rPr>
          <w:rFonts w:ascii="Calibri" w:eastAsia="Calibri" w:hAnsi="Calibri" w:cs="Calibri"/>
          <w:b/>
        </w:rPr>
        <w:t>glebie</w:t>
      </w:r>
      <w:r w:rsidRPr="002C274A">
        <w:rPr>
          <w:rFonts w:ascii="Calibri" w:eastAsia="Calibri" w:hAnsi="Calibri" w:cs="Calibri"/>
        </w:rPr>
        <w:t xml:space="preserve"> realizowany jest w 254 punktach poboru próbek gleby rozmieszczonych na terenie całej Polski. Punkty są zlokalizowane w ogródkach meteorologicznych stacji i posterunków Instytutu Meteorologii i Gospodarki Wodnej – PIB.</w:t>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Średnie dla Polski stężenie Cs-137 w glebie malało od wartości 4,64 kBq/m</w:t>
      </w:r>
      <w:r w:rsidRPr="002C274A">
        <w:rPr>
          <w:rFonts w:ascii="Calibri" w:eastAsia="Calibri" w:hAnsi="Calibri" w:cs="Calibri"/>
          <w:vertAlign w:val="superscript"/>
        </w:rPr>
        <w:t>2</w:t>
      </w:r>
      <w:r w:rsidRPr="002C274A">
        <w:rPr>
          <w:rFonts w:ascii="Calibri" w:eastAsia="Calibri" w:hAnsi="Calibri" w:cs="Calibri"/>
        </w:rPr>
        <w:t xml:space="preserve"> w roku 1988 </w:t>
      </w:r>
      <w:r w:rsidRPr="002C274A">
        <w:rPr>
          <w:rFonts w:ascii="Calibri" w:eastAsia="Calibri" w:hAnsi="Calibri" w:cs="Calibri"/>
        </w:rPr>
        <w:br/>
        <w:t>do 1,33 kBq/m</w:t>
      </w:r>
      <w:r w:rsidRPr="002C274A">
        <w:rPr>
          <w:rFonts w:ascii="Calibri" w:eastAsia="Calibri" w:hAnsi="Calibri" w:cs="Calibri"/>
          <w:vertAlign w:val="superscript"/>
        </w:rPr>
        <w:t>2</w:t>
      </w:r>
      <w:r w:rsidRPr="002C274A">
        <w:rPr>
          <w:rFonts w:ascii="Calibri" w:eastAsia="Calibri" w:hAnsi="Calibri" w:cs="Calibri"/>
        </w:rPr>
        <w:t xml:space="preserve"> w roku 2014. Zmiany stężenia Cs-137 spowodowane są rozpadem </w:t>
      </w:r>
      <w:r w:rsidRPr="002C274A">
        <w:rPr>
          <w:rFonts w:ascii="Calibri" w:eastAsia="Calibri" w:hAnsi="Calibri" w:cs="Calibri"/>
        </w:rPr>
        <w:lastRenderedPageBreak/>
        <w:t>promieniotwórczym tego izotopu (okres połowicznego rozpadu T1/2 wynosi 30,15 lat) oraz procesami migracji zachodzącymi w środowisku, głównie wnikaniem cezu w głębsze warstwy gleby.</w:t>
      </w:r>
    </w:p>
    <w:tbl>
      <w:tblPr>
        <w:tblW w:w="0" w:type="auto"/>
        <w:tblLook w:val="04A0" w:firstRow="1" w:lastRow="0" w:firstColumn="1" w:lastColumn="0" w:noHBand="0" w:noVBand="1"/>
      </w:tblPr>
      <w:tblGrid>
        <w:gridCol w:w="9062"/>
      </w:tblGrid>
      <w:tr w:rsidR="002C274A" w:rsidRPr="002C274A" w:rsidTr="002C274A">
        <w:tc>
          <w:tcPr>
            <w:tcW w:w="9062" w:type="dxa"/>
          </w:tcPr>
          <w:p w:rsidR="002C274A" w:rsidRPr="002C274A" w:rsidRDefault="002C274A" w:rsidP="0077038F">
            <w:pPr>
              <w:spacing w:after="0" w:line="240" w:lineRule="auto"/>
              <w:ind w:left="993" w:hanging="993"/>
              <w:jc w:val="both"/>
              <w:rPr>
                <w:rFonts w:ascii="Calibri" w:eastAsia="Times New Roman" w:hAnsi="Calibri" w:cs="Calibri"/>
                <w:i/>
                <w:lang w:eastAsia="pl-PL"/>
              </w:rPr>
            </w:pPr>
            <w:r w:rsidRPr="002C274A">
              <w:rPr>
                <w:rFonts w:ascii="Calibri" w:eastAsia="Times New Roman" w:hAnsi="Calibri" w:cs="Calibri"/>
                <w:i/>
                <w:lang w:eastAsia="pl-PL"/>
              </w:rPr>
              <w:t xml:space="preserve">Rys. </w:t>
            </w:r>
            <w:r w:rsidR="0077038F">
              <w:rPr>
                <w:rFonts w:ascii="Calibri" w:eastAsia="Times New Roman" w:hAnsi="Calibri" w:cs="Calibri"/>
                <w:i/>
                <w:lang w:eastAsia="pl-PL"/>
              </w:rPr>
              <w:t xml:space="preserve">5.6. </w:t>
            </w:r>
            <w:r w:rsidRPr="002C274A">
              <w:rPr>
                <w:rFonts w:ascii="Calibri" w:eastAsia="Times New Roman" w:hAnsi="Calibri" w:cs="Calibri"/>
                <w:i/>
                <w:lang w:eastAsia="pl-PL"/>
              </w:rPr>
              <w:t xml:space="preserve"> Stężenia Cs-137 w powierzchniowej warstwie gleby w latach 1989–2014 (źródło: GIOŚ/PMS).</w:t>
            </w:r>
          </w:p>
        </w:tc>
      </w:tr>
    </w:tbl>
    <w:p w:rsidR="002C274A" w:rsidRPr="002C274A" w:rsidRDefault="002C274A" w:rsidP="002C274A">
      <w:pPr>
        <w:spacing w:after="160" w:line="259" w:lineRule="auto"/>
        <w:rPr>
          <w:rFonts w:ascii="Calibri" w:eastAsia="Calibri" w:hAnsi="Calibri" w:cs="Calibri"/>
        </w:rPr>
      </w:pPr>
    </w:p>
    <w:p w:rsidR="002C274A" w:rsidRDefault="002C274A" w:rsidP="002C274A">
      <w:pPr>
        <w:spacing w:after="160" w:line="259" w:lineRule="auto"/>
        <w:jc w:val="both"/>
        <w:rPr>
          <w:rFonts w:ascii="Calibri" w:eastAsia="Calibri" w:hAnsi="Calibri" w:cs="Calibri"/>
        </w:rPr>
      </w:pPr>
      <w:r>
        <w:rPr>
          <w:rFonts w:ascii="Calibri" w:eastAsia="Calibri" w:hAnsi="Calibri" w:cs="Calibri"/>
          <w:noProof/>
          <w:lang w:eastAsia="pl-PL"/>
        </w:rPr>
        <w:drawing>
          <wp:inline distT="0" distB="0" distL="0" distR="0" wp14:anchorId="3105F706" wp14:editId="4CE27B3E">
            <wp:extent cx="5761990" cy="241935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1990" cy="2419350"/>
                    </a:xfrm>
                    <a:prstGeom prst="rect">
                      <a:avLst/>
                    </a:prstGeom>
                    <a:noFill/>
                  </pic:spPr>
                </pic:pic>
              </a:graphicData>
            </a:graphic>
          </wp:inline>
        </w:drawing>
      </w:r>
    </w:p>
    <w:p w:rsidR="002C274A" w:rsidRPr="002C274A" w:rsidRDefault="002C274A" w:rsidP="002C274A">
      <w:pPr>
        <w:spacing w:after="160" w:line="259" w:lineRule="auto"/>
        <w:jc w:val="both"/>
        <w:rPr>
          <w:rFonts w:ascii="Calibri" w:eastAsia="Calibri" w:hAnsi="Calibri" w:cs="Calibri"/>
        </w:rPr>
      </w:pPr>
      <w:r w:rsidRPr="002C274A">
        <w:rPr>
          <w:rFonts w:ascii="Calibri" w:eastAsia="Calibri" w:hAnsi="Calibri" w:cs="Calibri"/>
        </w:rPr>
        <w:t xml:space="preserve">Monitoring skażeń promieniotwórczych prowadzony w ramach Państwowego Monitoringu Środowiska pozwala na stwierdzenie, że poziomy Cs-137 w powietrzu, wodach powierzchniowych i osadach oraz glebie są niewielkie i nie zagrażają zdrowiu ludzi i środowisku, a uzyskane wyniki wskazują, że nie wystąpiły nowe uwolnienia izotopów promieniotwórczych do środowiska. </w:t>
      </w:r>
    </w:p>
    <w:p w:rsidR="002C274A" w:rsidRPr="002C274A" w:rsidRDefault="002C274A" w:rsidP="00A0064B">
      <w:pPr>
        <w:autoSpaceDE w:val="0"/>
        <w:autoSpaceDN w:val="0"/>
        <w:adjustRightInd w:val="0"/>
        <w:spacing w:line="240" w:lineRule="auto"/>
      </w:pPr>
    </w:p>
    <w:p w:rsidR="00B00C49" w:rsidRPr="00E22A77" w:rsidRDefault="00B00C49" w:rsidP="00B00C49">
      <w:pPr>
        <w:pStyle w:val="Nagwek1"/>
        <w:numPr>
          <w:ilvl w:val="0"/>
          <w:numId w:val="5"/>
        </w:numPr>
        <w:spacing w:after="240"/>
      </w:pPr>
      <w:bookmarkStart w:id="54" w:name="_Toc505604928"/>
      <w:bookmarkStart w:id="55" w:name="_Toc505605321"/>
      <w:r>
        <w:t>P</w:t>
      </w:r>
      <w:r w:rsidRPr="00E22A77">
        <w:t>owierzchnia ziemi w tym gleb</w:t>
      </w:r>
      <w:r w:rsidR="00CE7329">
        <w:rPr>
          <w:rStyle w:val="Odwoanieprzypisudolnego"/>
        </w:rPr>
        <w:footnoteReference w:id="39"/>
      </w:r>
      <w:bookmarkEnd w:id="54"/>
      <w:bookmarkEnd w:id="55"/>
    </w:p>
    <w:p w:rsidR="007B1D67" w:rsidRPr="00524A28" w:rsidRDefault="007B1D67" w:rsidP="007B1D67">
      <w:pPr>
        <w:jc w:val="both"/>
        <w:rPr>
          <w:rFonts w:cs="Times New Roman"/>
        </w:rPr>
      </w:pPr>
      <w:r w:rsidRPr="00524A28">
        <w:rPr>
          <w:rFonts w:cs="Times New Roman"/>
          <w:b/>
        </w:rPr>
        <w:t>Gleba</w:t>
      </w:r>
      <w:r w:rsidRPr="00524A28">
        <w:rPr>
          <w:rFonts w:cs="Times New Roman"/>
        </w:rPr>
        <w:t xml:space="preserve"> stanowi istotny i zwykle nieodnawialny zasób naturalny i definiowana jest jako powierzchniowa, biologicznie czynna warstwa skorupy ziemskiej, powstała w wyniku procesu glebotwórczego z utworu geologicznego, w wyniku procesów wietrzenia</w:t>
      </w:r>
      <w:r>
        <w:rPr>
          <w:rFonts w:cs="Times New Roman"/>
        </w:rPr>
        <w:t xml:space="preserve">. Gleba </w:t>
      </w:r>
      <w:r w:rsidRPr="00524A28">
        <w:rPr>
          <w:rFonts w:cs="Times New Roman"/>
        </w:rPr>
        <w:t>składa się z cząstek mineralnych, materii organicznej, wody, powietrza i organizmów żywych.</w:t>
      </w:r>
      <w:r w:rsidRPr="00524A28">
        <w:t xml:space="preserve"> </w:t>
      </w:r>
      <w:r>
        <w:rPr>
          <w:rFonts w:cs="Times New Roman"/>
        </w:rPr>
        <w:t>J</w:t>
      </w:r>
      <w:r w:rsidRPr="00524A28">
        <w:rPr>
          <w:rFonts w:cs="Times New Roman"/>
        </w:rPr>
        <w:t>est jednym z głównych elementów środowiska przyrodniczego i siedliskiem ogromnej ilości organizmów żywych.</w:t>
      </w:r>
    </w:p>
    <w:p w:rsidR="007B1D67" w:rsidRPr="00524A28" w:rsidRDefault="007B1D67" w:rsidP="007B1D67">
      <w:pPr>
        <w:spacing w:line="288" w:lineRule="auto"/>
        <w:jc w:val="both"/>
        <w:rPr>
          <w:rFonts w:cs="Times New Roman"/>
        </w:rPr>
      </w:pPr>
      <w:r w:rsidRPr="00524A28">
        <w:rPr>
          <w:rFonts w:cs="Times New Roman"/>
        </w:rPr>
        <w:t xml:space="preserve">W polskim systemie prawnym ochrona gleb jest powiązana z szerszym pojęciem </w:t>
      </w:r>
      <w:r w:rsidRPr="00524A28">
        <w:rPr>
          <w:rFonts w:cs="Times New Roman"/>
          <w:b/>
        </w:rPr>
        <w:t>ochrony powierzchni ziemi</w:t>
      </w:r>
      <w:r w:rsidRPr="00524A28">
        <w:rPr>
          <w:rFonts w:cs="Times New Roman"/>
        </w:rPr>
        <w:t xml:space="preserve"> i obejmuje również ochronę przed zanieczyszczeniem oraz innymi formami degradacji także warstwy gruntu znajdujące się pod glebą. Zgodnie z przepisami ustawy</w:t>
      </w:r>
      <w:r w:rsidRPr="00524A28">
        <w:t xml:space="preserve"> z dnia 27 kwietnia 2001 r. - </w:t>
      </w:r>
      <w:r w:rsidRPr="00524A28">
        <w:rPr>
          <w:i/>
        </w:rPr>
        <w:t>Prawo ochrony środowiska</w:t>
      </w:r>
      <w:r w:rsidRPr="00524A28">
        <w:t xml:space="preserve"> (Dz. U. z 2016 r. poz. 672, 831, 903 i 1250), </w:t>
      </w:r>
      <w:r w:rsidRPr="00524A28">
        <w:rPr>
          <w:rFonts w:cs="Times New Roman"/>
        </w:rPr>
        <w:t xml:space="preserve"> </w:t>
      </w:r>
      <w:r w:rsidRPr="00524A28">
        <w:rPr>
          <w:rFonts w:cs="Times New Roman"/>
          <w:b/>
        </w:rPr>
        <w:t xml:space="preserve">powierzchnia ziemi zdefiniowana jest jako </w:t>
      </w:r>
      <w:r w:rsidRPr="00524A28">
        <w:rPr>
          <w:rFonts w:eastAsia="Times New Roman" w:cs="Times New Roman"/>
          <w:b/>
          <w:lang w:eastAsia="ar-SA"/>
        </w:rPr>
        <w:t>ukształtowanie terenu, gleba, ziemia oraz wody gruntowe</w:t>
      </w:r>
      <w:r w:rsidRPr="00524A28">
        <w:rPr>
          <w:rFonts w:eastAsia="Times New Roman" w:cs="Times New Roman"/>
          <w:lang w:eastAsia="ar-SA"/>
        </w:rPr>
        <w:t xml:space="preserve">, z tym że gleba oznacza górną warstwę litosfery, złożoną z części mineralnych, materii organicznej, wody glebowej, powietrza glebowego i organizmów, obejmującą wierzchnią warstwę gleby i podglebie, ziemia – oznacza górną warstwę litosfery, znajdującą się poniżej gleby, do głębokości oddziaływania człowieka, natomiast </w:t>
      </w:r>
      <w:r w:rsidRPr="00524A28">
        <w:rPr>
          <w:rFonts w:cs="Times New Roman"/>
        </w:rPr>
        <w:t xml:space="preserve"> wody gruntowe – oznaczają wody podziemne w </w:t>
      </w:r>
      <w:r w:rsidRPr="00524A28">
        <w:rPr>
          <w:rFonts w:cs="Times New Roman"/>
        </w:rPr>
        <w:lastRenderedPageBreak/>
        <w:t>rozumieniu art. 16 pkt 68 ustawy z dnia 20 lipca 2017 r. – Prawo wodne (Dz. U. z 2017 r., poz. 1566), które znajdują się w strefie nasycenia i pozostają w bezpośredniej styczności z gruntem lub podglebiem.</w:t>
      </w:r>
    </w:p>
    <w:p w:rsidR="007B1D67" w:rsidRPr="00524A28" w:rsidRDefault="007B1D67" w:rsidP="007B1D67">
      <w:pPr>
        <w:spacing w:before="120" w:after="0"/>
        <w:jc w:val="both"/>
        <w:rPr>
          <w:rFonts w:cs="Times New Roman"/>
        </w:rPr>
      </w:pPr>
      <w:r w:rsidRPr="00524A28">
        <w:rPr>
          <w:rFonts w:cs="Times New Roman"/>
        </w:rPr>
        <w:t xml:space="preserve">W tradycyjnym podejściu znaczenie gleb ograniczało się do ich funkcji produkcyjnych w rolnictwie </w:t>
      </w:r>
      <w:r>
        <w:rPr>
          <w:rFonts w:cs="Times New Roman"/>
        </w:rPr>
        <w:br/>
      </w:r>
      <w:r w:rsidRPr="00524A28">
        <w:rPr>
          <w:rFonts w:cs="Times New Roman"/>
        </w:rPr>
        <w:t xml:space="preserve">i gospodarce leśnej. Tymczasem, </w:t>
      </w:r>
      <w:r w:rsidRPr="00524A28">
        <w:rPr>
          <w:rFonts w:cs="Times New Roman"/>
          <w:b/>
        </w:rPr>
        <w:t>poza dostarczaniem nam pożywienia, biomasy i surowców,</w:t>
      </w:r>
      <w:r w:rsidRPr="00524A28">
        <w:rPr>
          <w:rFonts w:cs="Times New Roman"/>
        </w:rPr>
        <w:t xml:space="preserve"> </w:t>
      </w:r>
      <w:r w:rsidRPr="00524A28">
        <w:rPr>
          <w:rFonts w:cs="Times New Roman"/>
          <w:b/>
        </w:rPr>
        <w:t>gleba pełni inne liczne funkcje środowiskowe, gospodarcze, społeczne i kulturowe</w:t>
      </w:r>
      <w:r w:rsidRPr="00524A28">
        <w:rPr>
          <w:rFonts w:cs="Times New Roman"/>
        </w:rPr>
        <w:t>.</w:t>
      </w:r>
    </w:p>
    <w:p w:rsidR="007B1D67" w:rsidRPr="00524A28" w:rsidRDefault="007B1D67" w:rsidP="007B1D67">
      <w:pPr>
        <w:spacing w:before="120" w:after="0"/>
        <w:jc w:val="both"/>
        <w:rPr>
          <w:rFonts w:cs="Times New Roman"/>
        </w:rPr>
      </w:pPr>
      <w:r w:rsidRPr="00524A28">
        <w:rPr>
          <w:rFonts w:cs="Times New Roman"/>
        </w:rPr>
        <w:t>Gleba jest podstawą rozwoju życia i różnorodności biologicznej. Odgrywa istotną rolę w magazynowaniu, filtrowaniu i przekształcaniu składników odżywczych, substancji i wody. Stanowi rezerwuar pierwiastka węgla. Nie bez znaczenia jest również rola gleby w kształtowaniu krajobrazu oraz w ochronie dziedzictwa geologicznego, geomorfologicznego i archeologicznego.</w:t>
      </w:r>
    </w:p>
    <w:p w:rsidR="007B1D67" w:rsidRPr="00524A28" w:rsidRDefault="007B1D67" w:rsidP="007B1D67">
      <w:pPr>
        <w:spacing w:before="120" w:after="0"/>
        <w:jc w:val="both"/>
        <w:rPr>
          <w:rFonts w:cs="Times New Roman"/>
        </w:rPr>
      </w:pPr>
      <w:r w:rsidRPr="00524A28">
        <w:rPr>
          <w:rFonts w:cs="Times New Roman"/>
        </w:rPr>
        <w:t>Powierzchnia ziemi, w tym gleba zapewnia przestrzeń i zasoby dla życia człowieka i rozwoju gospodarki. Jest ona niezbędna do prowadzenia różnorodnych procesów produkcyjnych (np. uprawy roślin, wydobycia surowców), a także jest miejscem prowadzenia różnych aktywności społeczno-gospodarczych (np. budowy infrastruktury drogowej, przemysłowej, usługowej i mieszkaniowej).</w:t>
      </w:r>
    </w:p>
    <w:p w:rsidR="007B1D67" w:rsidRPr="00524A28" w:rsidRDefault="007B1D67" w:rsidP="007B1D67">
      <w:pPr>
        <w:spacing w:before="120" w:after="0"/>
        <w:jc w:val="both"/>
        <w:rPr>
          <w:rFonts w:cs="Times New Roman"/>
        </w:rPr>
      </w:pPr>
      <w:r w:rsidRPr="00524A28">
        <w:rPr>
          <w:rFonts w:cs="Times New Roman"/>
        </w:rPr>
        <w:t>Korzystanie z zasobów glebowych powinno odbywać się w taki sposób, aby zapewnić jak najlepszy jej stan dla przyszłych pokoleń.</w:t>
      </w:r>
    </w:p>
    <w:p w:rsidR="007B1D67" w:rsidRPr="00524A28" w:rsidRDefault="007B1D67" w:rsidP="007B1D67">
      <w:pPr>
        <w:spacing w:before="120" w:after="0"/>
        <w:jc w:val="both"/>
        <w:rPr>
          <w:rFonts w:cs="Times New Roman"/>
        </w:rPr>
      </w:pPr>
      <w:r w:rsidRPr="00524A28">
        <w:rPr>
          <w:rFonts w:cs="Times New Roman"/>
        </w:rPr>
        <w:t xml:space="preserve">Strukturę użytkowania powierzchni ziemi w Polsce (wg GUS) determinują funkcje rolnicze i leśne, stanowiąc największy udział w powierzchni kraju (ok. 61%), natomiast lasy wraz z zadrzewieniami </w:t>
      </w:r>
      <w:r>
        <w:rPr>
          <w:rFonts w:cs="Times New Roman"/>
        </w:rPr>
        <w:br/>
      </w:r>
      <w:r w:rsidRPr="00524A28">
        <w:rPr>
          <w:rFonts w:cs="Times New Roman"/>
        </w:rPr>
        <w:t>i zakrzewieniami stanowią ok. 30%. Tereny zurbanizowane i zabudowane zajmują ok. 5% powierzchni kraju, a wśród nich dominującą grupę stanowią tereny o funkcji komunikacyjnej. Pozostała powierzchnia, ok. 4% przypada na grunty pod wodami (2%), użytki ekologiczne (0,1%), nieużytki (1,6%) i tereny różne (0,4%).</w:t>
      </w:r>
    </w:p>
    <w:p w:rsidR="007B1D67" w:rsidRPr="00524A28" w:rsidRDefault="007B1D67" w:rsidP="007B1D67">
      <w:pPr>
        <w:pStyle w:val="NormalnyWeb"/>
        <w:kinsoku w:val="0"/>
        <w:overflowPunct w:val="0"/>
        <w:spacing w:before="106" w:beforeAutospacing="0" w:after="0" w:afterAutospacing="0"/>
        <w:textAlignment w:val="baseline"/>
        <w:rPr>
          <w:rFonts w:asciiTheme="minorHAnsi" w:hAnsiTheme="minorHAnsi"/>
          <w:color w:val="FF0000"/>
          <w:sz w:val="22"/>
          <w:szCs w:val="22"/>
        </w:rPr>
      </w:pPr>
      <w:r w:rsidRPr="00524A28">
        <w:rPr>
          <w:rFonts w:asciiTheme="minorHAnsi" w:hAnsiTheme="minorHAnsi"/>
          <w:noProof/>
          <w:sz w:val="22"/>
          <w:szCs w:val="22"/>
          <w:lang w:val="pl-PL" w:eastAsia="pl-PL"/>
        </w:rPr>
        <w:drawing>
          <wp:inline distT="0" distB="0" distL="0" distR="0" wp14:anchorId="279EE01A" wp14:editId="15081279">
            <wp:extent cx="5760720" cy="3264980"/>
            <wp:effectExtent l="0" t="0" r="0"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B1D67" w:rsidRPr="00524A28" w:rsidRDefault="007B1D67" w:rsidP="007B1D67">
      <w:pPr>
        <w:pStyle w:val="NormalnyWeb"/>
        <w:kinsoku w:val="0"/>
        <w:overflowPunct w:val="0"/>
        <w:spacing w:before="106" w:beforeAutospacing="0" w:after="0" w:afterAutospacing="0"/>
        <w:textAlignment w:val="baseline"/>
        <w:rPr>
          <w:rFonts w:asciiTheme="minorHAnsi" w:hAnsiTheme="minorHAnsi"/>
          <w:i/>
          <w:sz w:val="22"/>
          <w:szCs w:val="22"/>
        </w:rPr>
      </w:pPr>
      <w:r w:rsidRPr="007B1D67">
        <w:rPr>
          <w:rFonts w:asciiTheme="minorHAnsi" w:hAnsiTheme="minorHAnsi"/>
          <w:i/>
          <w:sz w:val="22"/>
          <w:szCs w:val="22"/>
        </w:rPr>
        <w:t xml:space="preserve">Rys. </w:t>
      </w:r>
      <w:r w:rsidR="004538EE">
        <w:rPr>
          <w:rFonts w:asciiTheme="minorHAnsi" w:hAnsiTheme="minorHAnsi"/>
          <w:i/>
          <w:sz w:val="22"/>
          <w:szCs w:val="22"/>
        </w:rPr>
        <w:t>6</w:t>
      </w:r>
      <w:r w:rsidRPr="007B1D67">
        <w:rPr>
          <w:rFonts w:asciiTheme="minorHAnsi" w:hAnsiTheme="minorHAnsi"/>
          <w:i/>
          <w:sz w:val="22"/>
          <w:szCs w:val="22"/>
        </w:rPr>
        <w:t>.1 Struktura użytkowania powierzchni ziemi (</w:t>
      </w:r>
      <w:r w:rsidRPr="00524A28">
        <w:rPr>
          <w:rFonts w:asciiTheme="minorHAnsi" w:hAnsiTheme="minorHAnsi"/>
          <w:i/>
          <w:sz w:val="22"/>
          <w:szCs w:val="22"/>
        </w:rPr>
        <w:t>Opracowano na podstawie danych GUS</w:t>
      </w:r>
      <w:r>
        <w:rPr>
          <w:rFonts w:asciiTheme="minorHAnsi" w:hAnsiTheme="minorHAnsi"/>
          <w:i/>
          <w:sz w:val="22"/>
          <w:szCs w:val="22"/>
        </w:rPr>
        <w:t>)</w:t>
      </w:r>
    </w:p>
    <w:p w:rsidR="007B1D67" w:rsidRPr="007B1D67" w:rsidRDefault="007B1D67" w:rsidP="007B1D67">
      <w:pPr>
        <w:pStyle w:val="NormalnyWeb"/>
        <w:kinsoku w:val="0"/>
        <w:overflowPunct w:val="0"/>
        <w:spacing w:before="106" w:beforeAutospacing="0" w:after="0" w:afterAutospacing="0"/>
        <w:textAlignment w:val="baseline"/>
        <w:rPr>
          <w:rFonts w:asciiTheme="minorHAnsi" w:hAnsiTheme="minorHAnsi"/>
          <w:i/>
          <w:sz w:val="22"/>
          <w:szCs w:val="22"/>
        </w:rPr>
      </w:pPr>
    </w:p>
    <w:p w:rsidR="007B1D67" w:rsidRPr="00524A28" w:rsidRDefault="007B1D67" w:rsidP="007B1D67">
      <w:pPr>
        <w:jc w:val="both"/>
        <w:rPr>
          <w:rFonts w:cs="Times New Roman"/>
        </w:rPr>
      </w:pPr>
      <w:r w:rsidRPr="00524A28">
        <w:rPr>
          <w:rFonts w:cs="Times New Roman"/>
        </w:rPr>
        <w:lastRenderedPageBreak/>
        <w:t>Na przestrzeni ostatnich dwóch dekad nie odnotowuje się istotnych zmian sposobu użytkowania powierzchni ziemi w Polsce. Istotne znaczenie dla ochrony gleb  należy przypisać zasadom planowania przestrzennego mających wpływ na ponowne wykorzystaniu obszarów poprzemysłowych, w celu zapobiegania wyłączeniem gleb z użytkowania rolniczego i leśnego.</w:t>
      </w:r>
    </w:p>
    <w:p w:rsidR="007B1D67" w:rsidRDefault="007B1D67" w:rsidP="007B1D67">
      <w:pPr>
        <w:jc w:val="both"/>
      </w:pPr>
      <w:r>
        <w:t xml:space="preserve">Gleba jest podstawowym zasobem produkcyjnym rolnictwa, toteż dobry stan polskich gleb stanowi potencjał dla produkcji żywności wysokiej jakości. </w:t>
      </w:r>
      <w:r w:rsidRPr="009F6906">
        <w:t>Na terenie Polski występują głównie gleby płowe</w:t>
      </w:r>
      <w:r>
        <w:t>,</w:t>
      </w:r>
      <w:r w:rsidRPr="009F6906">
        <w:t xml:space="preserve"> brunatne, bielicowe i rdzawe</w:t>
      </w:r>
      <w:r>
        <w:t>,</w:t>
      </w:r>
      <w:r w:rsidRPr="009F6906">
        <w:t xml:space="preserve"> wytworzone głównie z utworów polodowcowych.</w:t>
      </w:r>
      <w:r>
        <w:t xml:space="preserve"> Pokrywa glebowa w Polsce charakteryzuje się układem mozaikowatym z przewagą gleb klasy średniej jakości (IVa i IVb) – 35,2% oraz gleb słabych i bardzo słabych (V i VI) – 37,3%.  Gruntów rolnych o wysokiej przydatności dla produkcji rolniczej jest stosunkowo niewiele: grunty klas I–III stanowią około 25% ogółu areału, </w:t>
      </w:r>
      <w:r>
        <w:br/>
        <w:t xml:space="preserve">i z tego względu </w:t>
      </w:r>
      <w:r w:rsidRPr="002A4BDC">
        <w:t xml:space="preserve">powinny </w:t>
      </w:r>
      <w:r>
        <w:t xml:space="preserve">one </w:t>
      </w:r>
      <w:r w:rsidRPr="002A4BDC">
        <w:t>podlegać szczególnej ochronie</w:t>
      </w:r>
      <w:r>
        <w:t xml:space="preserve">. </w:t>
      </w:r>
    </w:p>
    <w:p w:rsidR="007B1D67" w:rsidRPr="00524A28" w:rsidRDefault="007B1D67" w:rsidP="007B1D67">
      <w:pPr>
        <w:jc w:val="both"/>
        <w:rPr>
          <w:rFonts w:cs="Times New Roman"/>
        </w:rPr>
      </w:pPr>
      <w:r w:rsidRPr="00524A28">
        <w:rPr>
          <w:rFonts w:cs="Times New Roman"/>
        </w:rPr>
        <w:t>Obok przebiegających bardzo powoli procesów tworzenia gleb, podlegają one równocześnie procesom degradacji (chemicznej, fizycznej i biologicznej). Działalność człowieka modyfikuje wielokierunkowo właściwości gleb, co wpływa na pełnione przez glebę funkcje. Do procesów degradacji należą zjawiska takie jak m.in. zanieczyszczenie, erozja, spadek zawartości materii organicznej, zagęszczanie, zasolenie, zakwaszenie, zasklepienie.</w:t>
      </w:r>
      <w:r w:rsidRPr="00524A28">
        <w:rPr>
          <w:rFonts w:cs="Times New Roman"/>
          <w:color w:val="FF0000"/>
        </w:rPr>
        <w:t xml:space="preserve"> </w:t>
      </w:r>
      <w:r w:rsidRPr="00524A28">
        <w:rPr>
          <w:rFonts w:cs="Times New Roman"/>
        </w:rPr>
        <w:t>Istotnym skutkiem tych procesów jest utrata żyzności gleb, zmniejszenie różnorodności biologicznej gleb, niższa zdolność do retencji wody, zakłócenie w obiegu gazów i składników odżywczych oraz spowolnienie rozkładu substancji zanieczyszczających.</w:t>
      </w:r>
      <w:r w:rsidRPr="00524A28">
        <w:rPr>
          <w:rFonts w:cs="Times New Roman"/>
          <w:color w:val="FF0000"/>
        </w:rPr>
        <w:t xml:space="preserve"> </w:t>
      </w:r>
      <w:r w:rsidRPr="00524A28">
        <w:rPr>
          <w:rFonts w:cs="Times New Roman"/>
        </w:rPr>
        <w:t>Wśród zidentyfikowanych licznych zagrożeń dla gleb, kwestia zanieczyszczenia gleb oraz problematyka utarty zawartości materii organicznej i erozji wydają się mieć z punktu widzenia ochrony środowiska w Polsce najwyższy priorytet. W chwili obecnej słabo dostrzegalne zjawisko zasklepiania może stać się problemem w przyszłości.</w:t>
      </w:r>
    </w:p>
    <w:p w:rsidR="007B1D67" w:rsidRPr="00524A28" w:rsidRDefault="007B1D67" w:rsidP="007B1D67">
      <w:pPr>
        <w:jc w:val="both"/>
        <w:rPr>
          <w:rFonts w:cs="Times New Roman"/>
        </w:rPr>
      </w:pPr>
      <w:r w:rsidRPr="00524A28">
        <w:rPr>
          <w:rFonts w:cs="Times New Roman"/>
          <w:color w:val="000000" w:themeColor="text1"/>
        </w:rPr>
        <w:t xml:space="preserve">Zanieczyszczenie powierzchni ziemi ocenia się na podstawie przekroczenia dopuszczalnych zawartości substancji powodujących ryzyko w glebie lub w ziemi. </w:t>
      </w:r>
      <w:r w:rsidRPr="00524A28">
        <w:rPr>
          <w:rFonts w:cs="Times New Roman"/>
        </w:rPr>
        <w:t>Za dopuszczalną zawartość w glebie i w ziemi substancji powodującej ryzyko uznaje się taką zawartość, poniżej której żadna z funkcji pełnionych przez powierzchnię ziemi nie jest znacząco naruszona.</w:t>
      </w:r>
    </w:p>
    <w:p w:rsidR="007B1D67" w:rsidRPr="00524A28" w:rsidRDefault="007B1D67" w:rsidP="007B1D67">
      <w:pPr>
        <w:jc w:val="both"/>
        <w:rPr>
          <w:rFonts w:cs="Times New Roman"/>
        </w:rPr>
      </w:pPr>
      <w:r w:rsidRPr="00524A28">
        <w:rPr>
          <w:rFonts w:cs="Times New Roman"/>
        </w:rPr>
        <w:t>Zanieczyszczenia wykazują toksyczne oddziaływanie na organizmy glebowe potencjalnie zakłócając funkcje siedliskowe i ograniczając bioróżnorodność. Transport zanieczyszczeń do wód i ich pobieranie przez rośliny może powodować powstanie zagrożeń zdrowotnych w wyniku ich przedostawania się do łańcucha żywieniowego. Na podstawie  dokonywanej przez właściwe organy oceny jakości płodów rolnych, można stwierdzić, że potwierdzają one brak istotnych przekroczeń dopuszczalnych stężeń pozostałości różnego typu związków organicznych.</w:t>
      </w:r>
    </w:p>
    <w:p w:rsidR="007B1D67" w:rsidRPr="00524A28" w:rsidRDefault="007B1D67" w:rsidP="007B1D67">
      <w:pPr>
        <w:jc w:val="both"/>
        <w:rPr>
          <w:rFonts w:cs="Times New Roman"/>
        </w:rPr>
      </w:pPr>
      <w:r w:rsidRPr="00524A28">
        <w:rPr>
          <w:rFonts w:cs="Times New Roman"/>
        </w:rPr>
        <w:t xml:space="preserve">Do sektorów gospodarki mających wpływ na zanieczyszczenie gleb zalicza się głównie gospodarkę odpadami, przemysł, transport, energetykę, górnictwo oraz rolnictwo. Zanieczyszczenie gleb jest w Polsce silnie zróżnicowane ze względu na różną intensywność produkcji przemysłowej i jej charakter. </w:t>
      </w:r>
    </w:p>
    <w:p w:rsidR="007B1D67" w:rsidRPr="00524A28" w:rsidRDefault="007B1D67" w:rsidP="007B1D67">
      <w:pPr>
        <w:jc w:val="both"/>
        <w:rPr>
          <w:rFonts w:cs="Times New Roman"/>
        </w:rPr>
      </w:pPr>
      <w:r w:rsidRPr="00524A28">
        <w:rPr>
          <w:rFonts w:cs="Times New Roman"/>
        </w:rPr>
        <w:t xml:space="preserve">W ramach Państwowego Monitoringu Środowiska w zakresie jakości gleb i ziemi, prowadzone są badania w celu obserwacji zmian szerokiego zakresu właściwości chemicznych gleb użytkowanych rolniczo, zachodzących pod wpływem rolniczej i pozarolniczej działalności człowieka. Monitoring chemizmu gleb ornych w Polsce jest realizowany od roku 1995 w 5-letnich odstępach czasowych pobierane i analizowane są próbki glebowe, w stałych punktów kontrolnych zlokalizowanych w całym kraju.  Jak wynika z podsumowania danych uzyskanych w piątej edycji pobierania próbek w 2015 </w:t>
      </w:r>
      <w:r w:rsidRPr="00524A28">
        <w:rPr>
          <w:rFonts w:cs="Times New Roman"/>
        </w:rPr>
        <w:lastRenderedPageBreak/>
        <w:t>roku, w przypadku większości cech opisujących właściwości i jakość gleby nie doszło do istotnych zmian na przestrzeni 25 lat w porównaniu ze stanem wyjściowym.</w:t>
      </w:r>
      <w:r w:rsidRPr="00524A28">
        <w:t xml:space="preserve"> </w:t>
      </w:r>
      <w:r w:rsidRPr="00524A28">
        <w:rPr>
          <w:rFonts w:cs="Times New Roman"/>
        </w:rPr>
        <w:t xml:space="preserve">Analiza danych z 2015 r. wskazuje, że 98% gleb ornych terenów rolniczych w Polsce, to gleby nie zanieczyszczone pierwiastkami śladowym, stosując kryteria oceny zanieczyszczenia określone w przepisach prawnych. Ponadto, </w:t>
      </w:r>
      <w:r>
        <w:rPr>
          <w:rFonts w:cs="Times New Roman"/>
        </w:rPr>
        <w:br/>
      </w:r>
      <w:r w:rsidRPr="00524A28">
        <w:rPr>
          <w:rFonts w:cs="Times New Roman"/>
        </w:rPr>
        <w:t xml:space="preserve">w przypadku żadnego z analizowanych pierwiastków śladowych nie zaobserwowano trendu akumulacji w warstwie powierzchniowej gleb obszarów użytkowanych rolniczo. </w:t>
      </w:r>
    </w:p>
    <w:p w:rsidR="007B1D67" w:rsidRPr="00524A28" w:rsidRDefault="007B1D67" w:rsidP="007B1D67">
      <w:pPr>
        <w:jc w:val="both"/>
        <w:rPr>
          <w:rFonts w:cs="Times New Roman"/>
        </w:rPr>
      </w:pPr>
      <w:r w:rsidRPr="00524A28">
        <w:rPr>
          <w:rFonts w:cs="Times New Roman"/>
        </w:rPr>
        <w:t xml:space="preserve">Również wyniki pomiarów zawartości wielopierścieniowych węglowodorów aromatycznych </w:t>
      </w:r>
      <w:r>
        <w:rPr>
          <w:rFonts w:cs="Times New Roman"/>
        </w:rPr>
        <w:br/>
      </w:r>
      <w:r w:rsidRPr="00524A28">
        <w:rPr>
          <w:rFonts w:cs="Times New Roman"/>
        </w:rPr>
        <w:t xml:space="preserve">w poszczególnych latach nie wskazują na wzrost zawartości sumy tych związków na przestrzeni ostatnich 20 lat. Zawartość WWA w glebach na obszarach rolniczych oddalonych od źródeł emisji jest z reguły niska. Zawartość innych zanieczyszczeń organicznych w glebach była dotychczas, podobnie jak w innych krajach, oznaczana w dużo mniejszym zakresie i informacje na ten temat zakresie są dość ograniczone. Na terenach przemysłowych i zurbanizowanych najwyższe zawartości WWA notowane są w okolicach koksowni i zakładów petrochemicznych oraz na terenach związanych </w:t>
      </w:r>
      <w:r>
        <w:rPr>
          <w:rFonts w:cs="Times New Roman"/>
        </w:rPr>
        <w:br/>
      </w:r>
      <w:r w:rsidRPr="00524A28">
        <w:rPr>
          <w:rFonts w:cs="Times New Roman"/>
        </w:rPr>
        <w:t xml:space="preserve">z transportem samochodowym. </w:t>
      </w:r>
    </w:p>
    <w:p w:rsidR="007B1D67" w:rsidRPr="00524A28" w:rsidRDefault="007B1D67" w:rsidP="007B1D67">
      <w:pPr>
        <w:pStyle w:val="Akapitzlist"/>
        <w:autoSpaceDE w:val="0"/>
        <w:autoSpaceDN w:val="0"/>
        <w:adjustRightInd w:val="0"/>
        <w:spacing w:after="0"/>
        <w:ind w:left="0"/>
        <w:jc w:val="both"/>
        <w:rPr>
          <w:rFonts w:cs="Times New Roman"/>
        </w:rPr>
      </w:pPr>
      <w:r w:rsidRPr="00524A28">
        <w:rPr>
          <w:rFonts w:cs="Times New Roman"/>
        </w:rPr>
        <w:t xml:space="preserve">W chwili obecnej nie ma jeszcze spójnych informacji w  zakresie punktowego zanieczyszczenia gleby </w:t>
      </w:r>
      <w:r>
        <w:rPr>
          <w:rFonts w:cs="Times New Roman"/>
        </w:rPr>
        <w:br/>
      </w:r>
      <w:r w:rsidRPr="00524A28">
        <w:rPr>
          <w:rFonts w:cs="Times New Roman"/>
        </w:rPr>
        <w:t>i ziemi w jednolitym systemie zarówno na poziomie regionalnym, jak i dla obszaru całego kraju. Generalny Dyrektor Ochrony Środowiska prowadzi rejestr historycznych zanieczyszczeń powierzchni ziemi oraz rejestr szkód w środowisku (w tym szkód w środowisku w powierzchni ziemi). Rejestr historycznych zanieczyszczeń powierzchni ziemi nie osiągnął jeszcze pełnej funkcjonalności, gdyż obecnie trwa proces identyfikacji potencjalnych historycznych zanieczyszczeń powierzchni ziemi przez starostów. Sporządzone przez starostów wykazy zasilą istniejący rejestr.</w:t>
      </w:r>
    </w:p>
    <w:p w:rsidR="007B1D67" w:rsidRPr="00524A28" w:rsidRDefault="007B1D67" w:rsidP="007B1D67">
      <w:pPr>
        <w:spacing w:after="0"/>
        <w:ind w:firstLine="708"/>
        <w:jc w:val="both"/>
        <w:rPr>
          <w:rFonts w:cs="Times New Roman"/>
          <w:b/>
          <w:bCs/>
        </w:rPr>
      </w:pPr>
    </w:p>
    <w:p w:rsidR="007B1D67" w:rsidRPr="00524A28" w:rsidRDefault="007B1D67" w:rsidP="007B1D67">
      <w:pPr>
        <w:jc w:val="both"/>
        <w:rPr>
          <w:rFonts w:cs="Times New Roman"/>
        </w:rPr>
      </w:pPr>
      <w:r>
        <w:t>Ważnym w</w:t>
      </w:r>
      <w:r w:rsidRPr="00056FE1">
        <w:t>skaźnikiem jakości gleb</w:t>
      </w:r>
      <w:r>
        <w:t xml:space="preserve"> jest zawartość materii organicznej. Decyduje ona </w:t>
      </w:r>
      <w:r w:rsidRPr="00056FE1">
        <w:t>o właściwościach fizykochemicznych</w:t>
      </w:r>
      <w:r>
        <w:t>,</w:t>
      </w:r>
      <w:r w:rsidRPr="00056FE1">
        <w:t xml:space="preserve"> takich jak zdolności sorpcyjne i buforowe</w:t>
      </w:r>
      <w:r>
        <w:t xml:space="preserve">, oraz </w:t>
      </w:r>
      <w:r w:rsidRPr="00056FE1">
        <w:t>właściwościach retencyjnych gleby</w:t>
      </w:r>
      <w:r>
        <w:t xml:space="preserve">, oraz zachodzących w niej </w:t>
      </w:r>
      <w:r w:rsidRPr="00056FE1">
        <w:t xml:space="preserve"> procesach biologicznych</w:t>
      </w:r>
      <w:r>
        <w:t xml:space="preserve">. </w:t>
      </w:r>
      <w:r w:rsidRPr="00524A28">
        <w:rPr>
          <w:rFonts w:cs="Times New Roman"/>
        </w:rPr>
        <w:t xml:space="preserve">Wysoka zawartość próchnicy w glebach jest czynnikiem stabilizującym ich strukturę, zmniejszającym podatność na zagęszczenie oraz degradację w wyniku erozji wodnej i wietrznej. Gleby, po oceanach, stanowią drugi największy rezerwuar węgla, mający istotny wpływ na kształtowanie zawartości dwutlenku węgła w atmosferze, szczególną rolę w tym zakresie odgrywają gleby leśne. Stąd też, gleba, jako rezerwuar węgla zasługuje na szczególną ochronę z uwagi na jej rolę w ograniczaniu zmian klimatu. </w:t>
      </w:r>
    </w:p>
    <w:p w:rsidR="007B1D67" w:rsidRPr="00524A28" w:rsidRDefault="007B1D67" w:rsidP="007B1D67">
      <w:pPr>
        <w:jc w:val="both"/>
        <w:rPr>
          <w:rFonts w:cs="Times New Roman"/>
        </w:rPr>
      </w:pPr>
      <w:r w:rsidRPr="00524A28">
        <w:rPr>
          <w:rFonts w:cs="Times New Roman"/>
        </w:rPr>
        <w:t xml:space="preserve">Istotnymi przyczynami prowadzącymi do spadku zawartości materii organicznej są pogorszenie stosunków wodnych gleb (przesuszenie, wadliwe melioracje), wprowadzenie uproszczonych płodozmianów (np. monokultur zbóż), ograniczenie nawożenia organicznego. Spadek zawartości materii organicznej w glebach prowadzi do negatywnych zmian fizycznych, chemicznych </w:t>
      </w:r>
      <w:r>
        <w:rPr>
          <w:rFonts w:cs="Times New Roman"/>
        </w:rPr>
        <w:br/>
      </w:r>
      <w:r w:rsidRPr="00524A28">
        <w:rPr>
          <w:rFonts w:cs="Times New Roman"/>
        </w:rPr>
        <w:t>i biologicznych gleb oraz obniżenia ich żyzności. Zmniejszenie zasobów materii organicznej prowadzi do obniżenia bioróżnorodności oraz lokalnego nasilenia procesów erozji.</w:t>
      </w:r>
    </w:p>
    <w:p w:rsidR="007B1D67" w:rsidRDefault="007B1D67" w:rsidP="007B1D67">
      <w:pPr>
        <w:jc w:val="both"/>
        <w:rPr>
          <w:rFonts w:cs="Times New Roman"/>
        </w:rPr>
      </w:pPr>
      <w:r w:rsidRPr="00524A28">
        <w:rPr>
          <w:rFonts w:cs="Times New Roman"/>
        </w:rPr>
        <w:t>Jak wynika z danych otrzymanych w ramach Państwowego Monitoringu Środowiska w roku 2015 średnia zawartość próchnicy w badanych gleb</w:t>
      </w:r>
      <w:r>
        <w:rPr>
          <w:rFonts w:cs="Times New Roman"/>
        </w:rPr>
        <w:t>ach</w:t>
      </w:r>
      <w:r w:rsidRPr="00524A28">
        <w:rPr>
          <w:rFonts w:cs="Times New Roman"/>
        </w:rPr>
        <w:t xml:space="preserve"> ornych wyniosła 1,94 % przy medianie 1,68 %, i nie różniła się istotnie w porównaniu z wynikami z poprzednich cykli badawczych. W całej grupie analizowanych </w:t>
      </w:r>
      <w:r>
        <w:rPr>
          <w:rFonts w:cs="Times New Roman"/>
        </w:rPr>
        <w:t>gleb</w:t>
      </w:r>
      <w:r w:rsidRPr="00524A28">
        <w:rPr>
          <w:rFonts w:cs="Times New Roman"/>
        </w:rPr>
        <w:t xml:space="preserve"> przeważają gleby klasyfikowane w przedziale zawartości średniej (1- 2 %), </w:t>
      </w:r>
      <w:r>
        <w:rPr>
          <w:rFonts w:cs="Times New Roman"/>
        </w:rPr>
        <w:br/>
      </w:r>
      <w:r w:rsidRPr="00524A28">
        <w:rPr>
          <w:rFonts w:cs="Times New Roman"/>
        </w:rPr>
        <w:t xml:space="preserve">a ich udział to 62,9 %. Udział ten za wyjątkiem roku 2005 utrzymuje się na względnie stałym poziomie od roku 1995. </w:t>
      </w:r>
    </w:p>
    <w:p w:rsidR="007B1D67" w:rsidRDefault="007B1D67" w:rsidP="007B1D67">
      <w:pPr>
        <w:jc w:val="both"/>
        <w:rPr>
          <w:rFonts w:cs="Times New Roman"/>
          <w:szCs w:val="24"/>
        </w:rPr>
      </w:pPr>
      <w:r>
        <w:rPr>
          <w:color w:val="000000"/>
        </w:rPr>
        <w:lastRenderedPageBreak/>
        <w:t xml:space="preserve">Na jakość gleby wpływa również jej odczyn gleby, który jest jednym z najważniejszych czynników </w:t>
      </w:r>
      <w:r>
        <w:t>decydujących o przebiegu wielu procesów glebowych oraz ma znaczny wpływ na kształtowanie urodzajności i żyzności gleby.</w:t>
      </w:r>
      <w:r>
        <w:rPr>
          <w:color w:val="000000"/>
        </w:rPr>
        <w:t xml:space="preserve"> W Polsce przeważają gleby o odczynie kwaśnym. Udział gleb kwaśnych i bardzo kwaśnych wynosi ok. 50%. Zakwaszenie wynika głównie z uwarunkowań naturalnych takich, jak skład mineralogiczny gleby i rodzaj skały macierzystej oraz zawartości i przemian substancji organicznej. Do antropogenicznych czynników zakwaszenia gleby zaliczamy stosowanie nawozów azotowych, w tym głównie w postaci siarczanu amonu i w nieco mniejszym stopniu mocznika i saletry amonowej oraz emisję przemysłową kwasotwórczych zanieczyszczeń powietrza (SO</w:t>
      </w:r>
      <w:r>
        <w:rPr>
          <w:color w:val="000000"/>
          <w:vertAlign w:val="subscript"/>
        </w:rPr>
        <w:t>2</w:t>
      </w:r>
      <w:r>
        <w:rPr>
          <w:color w:val="000000"/>
        </w:rPr>
        <w:t>, NO</w:t>
      </w:r>
      <w:r>
        <w:rPr>
          <w:color w:val="000000"/>
          <w:vertAlign w:val="subscript"/>
        </w:rPr>
        <w:t>x</w:t>
      </w:r>
      <w:r>
        <w:rPr>
          <w:color w:val="000000"/>
        </w:rPr>
        <w:t>, NH</w:t>
      </w:r>
      <w:r>
        <w:rPr>
          <w:color w:val="000000"/>
          <w:vertAlign w:val="subscript"/>
        </w:rPr>
        <w:t>3</w:t>
      </w:r>
      <w:r>
        <w:rPr>
          <w:color w:val="000000"/>
        </w:rPr>
        <w:t>)</w:t>
      </w:r>
      <w:r>
        <w:rPr>
          <w:color w:val="000000"/>
          <w:vertAlign w:val="subscript"/>
        </w:rPr>
        <w:t xml:space="preserve"> </w:t>
      </w:r>
      <w:r w:rsidRPr="00F538E6">
        <w:t xml:space="preserve"> </w:t>
      </w:r>
      <w:r w:rsidRPr="00A844A6">
        <w:rPr>
          <w:color w:val="000000"/>
        </w:rPr>
        <w:t>pochodz</w:t>
      </w:r>
      <w:r>
        <w:rPr>
          <w:color w:val="000000"/>
        </w:rPr>
        <w:t>ą</w:t>
      </w:r>
      <w:r w:rsidRPr="00B04DD7">
        <w:rPr>
          <w:color w:val="000000"/>
        </w:rPr>
        <w:t>c</w:t>
      </w:r>
      <w:r>
        <w:rPr>
          <w:color w:val="000000"/>
        </w:rPr>
        <w:t>ą</w:t>
      </w:r>
      <w:r>
        <w:rPr>
          <w:color w:val="000000"/>
          <w:vertAlign w:val="subscript"/>
        </w:rPr>
        <w:t xml:space="preserve"> </w:t>
      </w:r>
      <w:r w:rsidRPr="006322D9">
        <w:rPr>
          <w:rFonts w:cs="Times New Roman"/>
          <w:szCs w:val="24"/>
        </w:rPr>
        <w:t>ze spalania surowców energetycznych, głównie węgla i pochodnych</w:t>
      </w:r>
      <w:r>
        <w:rPr>
          <w:rFonts w:cs="Times New Roman"/>
          <w:szCs w:val="24"/>
        </w:rPr>
        <w:t xml:space="preserve"> ropy naftowej.</w:t>
      </w:r>
      <w:r w:rsidRPr="006322D9">
        <w:rPr>
          <w:rFonts w:cs="Times New Roman"/>
          <w:szCs w:val="24"/>
        </w:rPr>
        <w:t xml:space="preserve"> </w:t>
      </w:r>
    </w:p>
    <w:p w:rsidR="007B1D67" w:rsidRPr="007B1D67" w:rsidRDefault="007B1D67" w:rsidP="007B1D67">
      <w:pPr>
        <w:jc w:val="both"/>
      </w:pPr>
      <w:r w:rsidRPr="007B1D67">
        <w:t>Ochrona gleb przed presją ze strony rolnictwa związana jest z racjonalnym stosowaniem nawozów mineralnych i środków ochrony roślin, wprowadzaniem w rolnictwie sposobów produkcji zgodnych</w:t>
      </w:r>
      <w:r w:rsidRPr="007B1D67">
        <w:br/>
        <w:t>z ogólnymi zasadami integrowanej ochrony roślin</w:t>
      </w:r>
    </w:p>
    <w:p w:rsidR="007B1D67" w:rsidRPr="007B1D67" w:rsidRDefault="007B1D67" w:rsidP="007B1D67">
      <w:pPr>
        <w:jc w:val="both"/>
        <w:rPr>
          <w:rFonts w:eastAsia="Times New Roman" w:cs="Times New Roman"/>
          <w:lang w:eastAsia="pl-PL"/>
        </w:rPr>
      </w:pPr>
      <w:r w:rsidRPr="007B1D67">
        <w:t>Wpływ nawożenia jest optymalizowany poprzez stałe doskonalenie doradztwa  nawozowego, w tym wprowadzanie doskonalszych testów glebowych, systemów doradztwa elektronicznego uwzgledniającego nie tylko aspekty produkcyjne nawożenia, ale również środowiskowe skutki nawożenia. O</w:t>
      </w:r>
      <w:r w:rsidRPr="007B1D67">
        <w:rPr>
          <w:rFonts w:eastAsia="Times New Roman" w:cs="Times New Roman"/>
          <w:lang w:eastAsia="pl-PL"/>
        </w:rPr>
        <w:t>ptymalizacja nawożenia jest możliwa dzięki funkcjonowaniu w Polsce agrochemicznego systemu obsługi rolnictwa, który jest realizowany przez Krajową Stację Chemiczno – Rolniczą oraz 17 okręgowych stacji chemiczno rolniczych wykonujących m.in. badania  zasobności gleby, opiniujących plany nawozowe. System doradztwa nawozowego jest szeroko realizowany również przez Ośrodki Doradztwa Rolniczego, które prowadzą szkolenia z zakresu  nawożenia (bilansowania składników pokarmowych, sporządzania planu nawożenia) jak również oferują bezpośrednie usługi doradcze rolnikom. W promowaniu metod właściwego bilansowania składników pokarmowych i zrównoważonego nawożenia mają również udział jednostki naukowe w tym Instytut Uprawy Nawożenia i Gleboznawstwa w Puławach, który udostępnia specjalistyczne programy komputerowe Naw Sald i Macrobil, które wspomagają rolników w optymalizacji nawożenia.</w:t>
      </w:r>
    </w:p>
    <w:p w:rsidR="007B1D67" w:rsidRPr="00AA3C23" w:rsidRDefault="007B1D67" w:rsidP="007B1D67">
      <w:pPr>
        <w:jc w:val="both"/>
      </w:pPr>
      <w:r w:rsidRPr="007B1D67">
        <w:t>Jednym z warunków produkowania bezpiecznej żywności jest zapobieganie zagrożeniom związanym ze stosowaniem środków ochrony roślin. Osiągnięcie tego celu jest możliwe dzięki stosowaniu zasad integrowanej ochrony roślin, która stała się obowiązkowa 1 stycznia 2014 r. Monitorowanie postępu w stosowaniu integrowanej ochrony roślin oraz wspieranie działań sprzyjających ograniczaniu stosowania środków ochrony roślin możliwe jest dzięki realizacji Krajowego planu działania na rzecz ograniczenia ryzyka związanego ze stosowaniem środków ochrony roślin (KPD).</w:t>
      </w:r>
    </w:p>
    <w:p w:rsidR="007B1D67" w:rsidRPr="00524A28" w:rsidRDefault="00134F20" w:rsidP="007B1D67">
      <w:pPr>
        <w:spacing w:after="0"/>
        <w:jc w:val="both"/>
        <w:rPr>
          <w:rFonts w:cs="Times New Roman"/>
          <w:snapToGrid w:val="0"/>
          <w:color w:val="000000"/>
        </w:rPr>
      </w:pPr>
      <w:r>
        <w:rPr>
          <w:rFonts w:cs="Times New Roman"/>
        </w:rPr>
        <w:t>Istotnym procesem degradacji gleb jest również erozja. P</w:t>
      </w:r>
      <w:r w:rsidR="007B1D67" w:rsidRPr="00524A28">
        <w:rPr>
          <w:rFonts w:cs="Times New Roman"/>
        </w:rPr>
        <w:t>olega</w:t>
      </w:r>
      <w:r>
        <w:rPr>
          <w:rFonts w:cs="Times New Roman"/>
        </w:rPr>
        <w:t xml:space="preserve"> ona</w:t>
      </w:r>
      <w:r w:rsidR="007B1D67" w:rsidRPr="00524A28">
        <w:rPr>
          <w:rFonts w:cs="Times New Roman"/>
        </w:rPr>
        <w:t xml:space="preserve"> na wynoszeniu cząstek glebowych w wyniku działania wody bądź wiatru i ich transportem do miejsc sedymentacji. </w:t>
      </w:r>
      <w:r w:rsidR="007B1D67" w:rsidRPr="00524A28">
        <w:rPr>
          <w:rFonts w:cs="Times New Roman"/>
          <w:snapToGrid w:val="0"/>
          <w:color w:val="000000"/>
        </w:rPr>
        <w:t>Wśród czynników wywołujących erozję można wydzielić dwie grupy, tj. czynniki naturalne (ukształtowanie powierzchni, gleba, opad atmosferyczny, wiatr oraz szata roślinna) oraz antropogeniczne (struktura użytkowania ziemi/gleb, system gospodarowania).</w:t>
      </w:r>
    </w:p>
    <w:p w:rsidR="007B1D67" w:rsidRPr="00524A28" w:rsidRDefault="007B1D67" w:rsidP="007B1D67">
      <w:pPr>
        <w:pStyle w:val="Tekstpodstawowy"/>
        <w:jc w:val="both"/>
      </w:pPr>
      <w:r w:rsidRPr="00524A28">
        <w:t>Bezpośrednim następstwem procesów erozyjnych jest zakłócenie ekologicznych, technicznych, ekonomicznych i kulturowych funkcji gleby. Erozja potęgowana czynnikami antropogenicznymi jest zjawiskiem społecznie i gospodarczo niepożądanym, powodującym zanieczyszczenie wód, straty w produkcji rolniczej, trwałą degradację gruntów oraz niszczenie infrastruktury.</w:t>
      </w:r>
    </w:p>
    <w:p w:rsidR="007B1D67" w:rsidRPr="00524A28" w:rsidRDefault="007B1D67" w:rsidP="007B1D67">
      <w:pPr>
        <w:pStyle w:val="Tekstpodstawowy"/>
        <w:jc w:val="both"/>
      </w:pPr>
      <w:r w:rsidRPr="00524A28">
        <w:lastRenderedPageBreak/>
        <w:t xml:space="preserve">W Polsce potencjalna erozja wodna występuje na około 29% obszaru kraju, przy czym erozja </w:t>
      </w:r>
      <w:r>
        <w:br/>
      </w:r>
      <w:r w:rsidRPr="00524A28">
        <w:t>w stopniu od średniego do bardzo silnego występuje na ok. 13% powierzchni, a erozja wietrzna na 28,2% powierzchni.</w:t>
      </w:r>
    </w:p>
    <w:p w:rsidR="007B1D67" w:rsidRPr="00524A28" w:rsidRDefault="007B1D67" w:rsidP="007B1D67">
      <w:pPr>
        <w:pStyle w:val="Tekstpodstawowy"/>
        <w:jc w:val="both"/>
      </w:pPr>
      <w:r w:rsidRPr="00524A28">
        <w:t xml:space="preserve">Zasklepienie jest najbardziej dostrzegalną formą przekształcenia gleb przez człowieka i jednocześnie najdalej idącą formą ich degradacji, niezależnie od rozmiarów korzyści gospodarczych jakie przynosi. Zasklepienie gleby określa się jako jej separację od innych elementów ekosystemu takich jak: biosfera, atmosfera, hydrosfera i antroposfera przez sztuczne warstwy wytworzone z materiału zupełnie bądź częściowo nieprzepuszczalnego. W roku 2016 zaobserwowano w Polsce przyrost powierzchni gruntów zabudowanych i zurbanizowanych o ok. 13,7% w stosunku do danych z roku 2005, przy czym ogólna powierzchnia gruntów zabudowanych i zurbanizowanych w Polsce wynosi jedynie około 5 %. Zapoczątkowany trend wzrostowy może być zatem obecnie dostrzegalny jedynie w skali lokalnej. </w:t>
      </w:r>
    </w:p>
    <w:p w:rsidR="007B1D67" w:rsidRPr="00524A28" w:rsidRDefault="007B1D67" w:rsidP="007B1D67">
      <w:pPr>
        <w:pStyle w:val="Tekstpodstawowy"/>
        <w:jc w:val="both"/>
      </w:pPr>
      <w:r w:rsidRPr="00524A28">
        <w:t>Czynnikami sprawczymi zasklepienia gleb jest silna zależność rozwoju gospodarczego od utraty gleb oraz przekształcenia ich dotychczasowych funkcji. Lista dziedzin życia społeczno – ekonomicznego korzystających z zasklepienia obejmuje: transport i komunikację, mieszkalnictwo, ochronę zdrowia, bezpieczeństwo, rozwój społeczny, otocznie fizyczne i informatyczne, korzystanie z zasobów naturalnych, zaopatrzenie w dobra i usługi, łączność, planowanie i zagospodarowanie przestrzenne.</w:t>
      </w:r>
    </w:p>
    <w:p w:rsidR="007B1D67" w:rsidRPr="00524A28" w:rsidRDefault="007B1D67" w:rsidP="007B1D67">
      <w:pPr>
        <w:pStyle w:val="Tekstpodstawowy"/>
        <w:jc w:val="both"/>
      </w:pPr>
      <w:r w:rsidRPr="00524A28">
        <w:t xml:space="preserve">Nie bez znaczenia dla ochrony powierzchni ziemi są kwestie przekształcania jej naturalnego ukształtowania. Przekształcanie powierzchni ziemi to niekorzystne zmiany jej budowy i właściwości oraz zakłócenie stosunków wodnych na danym terenie. Bardzo często przyczyną degradacji morfologicznej są miejsca związane z eksploatacją kopalin obecnie i w przeszłości (tzw. wyrobiska </w:t>
      </w:r>
      <w:r>
        <w:br/>
      </w:r>
      <w:r w:rsidRPr="00524A28">
        <w:t>i zapadliska).</w:t>
      </w:r>
    </w:p>
    <w:p w:rsidR="007B1D67" w:rsidRPr="00524A28" w:rsidRDefault="007B1D67" w:rsidP="007B1D67">
      <w:pPr>
        <w:pStyle w:val="Tekstpodstawowy"/>
        <w:jc w:val="both"/>
        <w:rPr>
          <w:rFonts w:eastAsia="Times New Roman"/>
          <w:lang w:eastAsia="pl-PL"/>
        </w:rPr>
      </w:pPr>
      <w:r w:rsidRPr="00524A28">
        <w:rPr>
          <w:rFonts w:eastAsia="Times New Roman"/>
          <w:lang w:eastAsia="pl-PL"/>
        </w:rPr>
        <w:t>Dane o gruntach zdewastowanych i zdegradowanych wymagających rekultywacji i zagospodarowania dotyczą gruntów, które utraciły całkowicie wartość użytkową (grunty zdewastowane) oraz gruntów, których wartość użytkowa rolnicza lub leśna zmalała w wyniku pogorszenia się warunków przyrodniczych lu</w:t>
      </w:r>
      <w:r>
        <w:rPr>
          <w:rFonts w:eastAsia="Times New Roman"/>
          <w:lang w:eastAsia="pl-PL"/>
        </w:rPr>
        <w:t xml:space="preserve">b wskutek zmian środowiska oraz </w:t>
      </w:r>
      <w:r w:rsidRPr="00524A28">
        <w:rPr>
          <w:rFonts w:eastAsia="Times New Roman"/>
          <w:lang w:eastAsia="pl-PL"/>
        </w:rPr>
        <w:t>działalności przemysłowej, a także wadliwej działalności rolniczej (grunty zdegradowane).</w:t>
      </w:r>
    </w:p>
    <w:p w:rsidR="007B1D67" w:rsidRPr="00524A28" w:rsidRDefault="007B1D67" w:rsidP="007B1D67">
      <w:pPr>
        <w:pStyle w:val="Tekstpodstawowy"/>
        <w:jc w:val="both"/>
      </w:pPr>
      <w:r w:rsidRPr="00524A28">
        <w:rPr>
          <w:rFonts w:eastAsia="Times New Roman"/>
          <w:lang w:eastAsia="pl-PL"/>
        </w:rPr>
        <w:t>Grunty zdewastowane i zdegradowane zostały zewidencjonowane w oparciu o kryteria i zasady określone w przepisach o ochronie gruntów rolnych i leśnych. Warto zatem mieć na uwadze, że przepisy te stosowane są odpowiednio do rekultywacji gruntów po działalności górniczej, a nie dotyczą gruntów zanieczyszczonych. Zmiany powierzchni gruntów zdewastowanych i zdegradowanych przedstawia poniższy wykres sporządzony w oparciu o dane GUS.</w:t>
      </w:r>
    </w:p>
    <w:p w:rsidR="007B1D67" w:rsidRPr="00524A28" w:rsidRDefault="007B1D67" w:rsidP="007B1D67">
      <w:pPr>
        <w:spacing w:after="0" w:line="240" w:lineRule="auto"/>
        <w:rPr>
          <w:noProof/>
          <w:lang w:eastAsia="pl-PL"/>
        </w:rPr>
      </w:pPr>
      <w:r w:rsidRPr="00524A28">
        <w:rPr>
          <w:noProof/>
          <w:lang w:eastAsia="pl-PL"/>
        </w:rPr>
        <w:lastRenderedPageBreak/>
        <mc:AlternateContent>
          <mc:Choice Requires="wps">
            <w:drawing>
              <wp:inline distT="0" distB="0" distL="0" distR="0" wp14:anchorId="71B97B4E" wp14:editId="73BC46E2">
                <wp:extent cx="304800" cy="304800"/>
                <wp:effectExtent l="0" t="0" r="0" b="0"/>
                <wp:docPr id="43" name="AutoShape 3" descr="https://mail.mos.gov.pl/service/home/%7E/?auth=co&amp;loc=pl&amp;id=46217&amp;part=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422F23" id="AutoShape 3" o:spid="_x0000_s1026" alt="https://mail.mos.gov.pl/service/home/%7E/?auth=co&amp;loc=pl&amp;id=46217&amp;part=2.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hGUAmfICAAAXBgAA&#10;DgAAAAAAAAAAAAAAAAAuAgAAZHJzL2Uyb0RvYy54bWxQSwECLQAUAAYACAAAACEATKDpLNgAAAAD&#10;AQAADwAAAAAAAAAAAAAAAABMBQAAZHJzL2Rvd25yZXYueG1sUEsFBgAAAAAEAAQA8wAAAFEGAAAA&#10;AA==&#10;" filled="f" stroked="f">
                <o:lock v:ext="edit" aspectratio="t"/>
                <w10:anchorlock/>
              </v:rect>
            </w:pict>
          </mc:Fallback>
        </mc:AlternateContent>
      </w:r>
      <w:r w:rsidRPr="00524A28">
        <w:rPr>
          <w:rFonts w:eastAsia="Times New Roman" w:cs="Times New Roman"/>
          <w:noProof/>
          <w:lang w:eastAsia="pl-PL"/>
        </w:rPr>
        <w:t xml:space="preserve"> </w:t>
      </w:r>
      <w:r w:rsidRPr="00524A28">
        <w:rPr>
          <w:rFonts w:eastAsia="Times New Roman" w:cs="Times New Roman"/>
          <w:noProof/>
          <w:lang w:eastAsia="pl-PL"/>
        </w:rPr>
        <w:drawing>
          <wp:inline distT="0" distB="0" distL="0" distR="0" wp14:anchorId="18F84D5B" wp14:editId="08BC5C47">
            <wp:extent cx="5000625" cy="2756652"/>
            <wp:effectExtent l="0" t="0" r="0" b="571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998773" cy="2755631"/>
                    </a:xfrm>
                    <a:prstGeom prst="rect">
                      <a:avLst/>
                    </a:prstGeom>
                  </pic:spPr>
                </pic:pic>
              </a:graphicData>
            </a:graphic>
          </wp:inline>
        </w:drawing>
      </w:r>
      <w:r w:rsidRPr="00524A28">
        <w:rPr>
          <w:rFonts w:eastAsia="Times New Roman" w:cs="Times New Roman"/>
          <w:noProof/>
          <w:lang w:eastAsia="pl-PL"/>
        </w:rPr>
        <w:t xml:space="preserve"> </w:t>
      </w:r>
      <w:r w:rsidRPr="00524A28">
        <w:rPr>
          <w:rFonts w:eastAsia="Times New Roman" w:cs="Times New Roman"/>
          <w:noProof/>
          <w:lang w:eastAsia="pl-PL"/>
        </w:rPr>
        <mc:AlternateContent>
          <mc:Choice Requires="wps">
            <w:drawing>
              <wp:inline distT="0" distB="0" distL="0" distR="0" wp14:anchorId="3D2CB675" wp14:editId="776075DA">
                <wp:extent cx="304800" cy="304800"/>
                <wp:effectExtent l="0" t="0" r="0" b="0"/>
                <wp:docPr id="44" name="AutoShape 1" descr="https://mail.mos.gov.pl/service/home/%7E/?auth=co&amp;loc=pl&amp;id=46217&amp;part=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2325CA" id="AutoShape 1" o:spid="_x0000_s1026" alt="https://mail.mos.gov.pl/service/home/%7E/?auth=co&amp;loc=pl&amp;id=46217&amp;part=2.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GeWS8DzAgAAFwYA&#10;AA4AAAAAAAAAAAAAAAAALgIAAGRycy9lMm9Eb2MueG1sUEsBAi0AFAAGAAgAAAAhAEyg6SzYAAAA&#10;AwEAAA8AAAAAAAAAAAAAAAAATQUAAGRycy9kb3ducmV2LnhtbFBLBQYAAAAABAAEAPMAAABSBgAA&#10;AAA=&#10;" filled="f" stroked="f">
                <o:lock v:ext="edit" aspectratio="t"/>
                <w10:anchorlock/>
              </v:rect>
            </w:pict>
          </mc:Fallback>
        </mc:AlternateContent>
      </w:r>
      <w:r w:rsidRPr="00524A28">
        <w:rPr>
          <w:noProof/>
          <w:lang w:eastAsia="pl-PL"/>
        </w:rPr>
        <w:t xml:space="preserve"> </w:t>
      </w:r>
    </w:p>
    <w:p w:rsidR="007B1D67" w:rsidRPr="00524A28" w:rsidRDefault="007B1D67" w:rsidP="007B1D67">
      <w:pPr>
        <w:pStyle w:val="NormalnyWeb"/>
        <w:kinsoku w:val="0"/>
        <w:overflowPunct w:val="0"/>
        <w:spacing w:before="106" w:beforeAutospacing="0" w:after="0" w:afterAutospacing="0"/>
        <w:textAlignment w:val="baseline"/>
        <w:rPr>
          <w:rFonts w:asciiTheme="minorHAnsi" w:hAnsiTheme="minorHAnsi"/>
          <w:i/>
          <w:sz w:val="22"/>
          <w:szCs w:val="22"/>
        </w:rPr>
      </w:pPr>
      <w:r>
        <w:rPr>
          <w:rFonts w:asciiTheme="minorHAnsi" w:hAnsiTheme="minorHAnsi"/>
          <w:i/>
          <w:sz w:val="22"/>
          <w:szCs w:val="22"/>
        </w:rPr>
        <w:t xml:space="preserve">Rys. </w:t>
      </w:r>
      <w:r w:rsidR="004538EE">
        <w:rPr>
          <w:rFonts w:asciiTheme="minorHAnsi" w:hAnsiTheme="minorHAnsi"/>
          <w:i/>
          <w:sz w:val="22"/>
          <w:szCs w:val="22"/>
        </w:rPr>
        <w:t>6</w:t>
      </w:r>
      <w:r>
        <w:rPr>
          <w:rFonts w:asciiTheme="minorHAnsi" w:hAnsiTheme="minorHAnsi"/>
          <w:i/>
          <w:sz w:val="22"/>
          <w:szCs w:val="22"/>
        </w:rPr>
        <w:t xml:space="preserve">.2. Grunty zdewastowane i zdegradowane (ha) </w:t>
      </w:r>
      <w:r w:rsidRPr="00524A28">
        <w:rPr>
          <w:rFonts w:asciiTheme="minorHAnsi" w:hAnsiTheme="minorHAnsi"/>
          <w:i/>
          <w:sz w:val="22"/>
          <w:szCs w:val="22"/>
        </w:rPr>
        <w:t>Opracowano na podstawie danych GUS</w:t>
      </w:r>
    </w:p>
    <w:p w:rsidR="007B1D67" w:rsidRPr="00524A28" w:rsidRDefault="007B1D67" w:rsidP="007B1D67">
      <w:pPr>
        <w:spacing w:after="0" w:line="240" w:lineRule="auto"/>
        <w:rPr>
          <w:rFonts w:eastAsia="Times New Roman" w:cs="Times New Roman"/>
          <w:lang w:eastAsia="pl-PL"/>
        </w:rPr>
      </w:pPr>
    </w:p>
    <w:p w:rsidR="007B1D67" w:rsidRPr="00524A28" w:rsidRDefault="007B1D67" w:rsidP="00956E3C">
      <w:pPr>
        <w:jc w:val="both"/>
        <w:rPr>
          <w:rFonts w:cs="Times New Roman"/>
        </w:rPr>
      </w:pPr>
      <w:r w:rsidRPr="00524A28">
        <w:rPr>
          <w:rFonts w:cs="Times New Roman"/>
        </w:rPr>
        <w:t xml:space="preserve">W celu zapewnienia skutecznej ochrony i zrównoważonego użytkowania gleb wszelkie działania w tym zakresie należy oprzeć na zasadach gwarantujących </w:t>
      </w:r>
      <w:r w:rsidRPr="00524A28">
        <w:rPr>
          <w:rFonts w:cs="Times New Roman"/>
          <w:b/>
        </w:rPr>
        <w:t>zapobieganie degradacji gleb</w:t>
      </w:r>
      <w:r w:rsidRPr="00524A28">
        <w:rPr>
          <w:rFonts w:cs="Times New Roman"/>
        </w:rPr>
        <w:t xml:space="preserve"> </w:t>
      </w:r>
      <w:r w:rsidRPr="00524A28">
        <w:rPr>
          <w:rFonts w:cs="Times New Roman"/>
          <w:b/>
        </w:rPr>
        <w:t>oraz zachowanie ich funkcji</w:t>
      </w:r>
      <w:r w:rsidRPr="00524A28">
        <w:rPr>
          <w:rFonts w:cs="Times New Roman"/>
        </w:rPr>
        <w:t xml:space="preserve">, a w przypadku wystąpienia procesów degradacji </w:t>
      </w:r>
      <w:r w:rsidRPr="00524A28">
        <w:rPr>
          <w:rFonts w:cs="Times New Roman"/>
          <w:b/>
        </w:rPr>
        <w:t>przywrócenie właściwych funkcji glebom zdegradowanym</w:t>
      </w:r>
      <w:r w:rsidRPr="00524A28">
        <w:rPr>
          <w:rFonts w:cs="Times New Roman"/>
        </w:rPr>
        <w:t xml:space="preserve">, biorąc pod uwagę aktualne i planowane przeznaczenie gleb. </w:t>
      </w:r>
    </w:p>
    <w:p w:rsidR="00956E3C" w:rsidRDefault="00956E3C" w:rsidP="00956E3C">
      <w:pPr>
        <w:pStyle w:val="Nagwek1"/>
        <w:numPr>
          <w:ilvl w:val="0"/>
          <w:numId w:val="5"/>
        </w:numPr>
        <w:spacing w:after="240"/>
      </w:pPr>
      <w:bookmarkStart w:id="56" w:name="_Toc505604929"/>
      <w:bookmarkStart w:id="57" w:name="_Toc505605322"/>
      <w:r>
        <w:t>Z</w:t>
      </w:r>
      <w:r w:rsidRPr="00E22A77">
        <w:t>asoby geologiczne</w:t>
      </w:r>
      <w:bookmarkEnd w:id="56"/>
      <w:bookmarkEnd w:id="57"/>
    </w:p>
    <w:p w:rsidR="00956E3C" w:rsidRPr="00456FC0" w:rsidRDefault="00956E3C" w:rsidP="00956E3C">
      <w:pPr>
        <w:pStyle w:val="Teksttreci20"/>
        <w:shd w:val="clear" w:color="auto" w:fill="auto"/>
        <w:tabs>
          <w:tab w:val="left" w:pos="3346"/>
        </w:tabs>
        <w:spacing w:before="0" w:after="0"/>
        <w:rPr>
          <w:rFonts w:asciiTheme="minorHAnsi" w:hAnsiTheme="minorHAnsi"/>
        </w:rPr>
      </w:pPr>
      <w:r w:rsidRPr="00456FC0">
        <w:rPr>
          <w:rFonts w:asciiTheme="minorHAnsi" w:hAnsiTheme="minorHAnsi"/>
        </w:rPr>
        <w:t>Polska posiada duże zasoby węgla kamiennego i brunatnego, stosunkowo nieduże zasoby konwencjonalnego gazu ziemnego, niewielkie zasoby ropy naftowej oraz nieokreślone jeszcze dokładnie zasoby gazu z łupków</w:t>
      </w:r>
      <w:r w:rsidRPr="00456FC0">
        <w:rPr>
          <w:rFonts w:asciiTheme="minorHAnsi" w:hAnsiTheme="minorHAnsi"/>
          <w:vertAlign w:val="superscript"/>
        </w:rPr>
        <w:footnoteReference w:id="40"/>
      </w:r>
      <w:r w:rsidRPr="00456FC0">
        <w:rPr>
          <w:rFonts w:asciiTheme="minorHAnsi" w:hAnsiTheme="minorHAnsi"/>
        </w:rPr>
        <w:t xml:space="preserve">. </w:t>
      </w:r>
      <w:r w:rsidRPr="00456FC0">
        <w:rPr>
          <w:rStyle w:val="tekst"/>
          <w:rFonts w:asciiTheme="minorHAnsi" w:hAnsiTheme="minorHAnsi"/>
        </w:rPr>
        <w:t>Łącznie wydobywa się w Polsce ok. 400 mln t surowców, w tym ok. 25% stanowi węgiel kamienny, 22% kruszywa naturalne, 15% węgiel brunatny, 9% wapienie i margle dla przemysłu cementowego, 7% rudy miedzi, 6% kamienie drogowe i budowlane, 3% piaski podsadzkowe</w:t>
      </w:r>
      <w:r w:rsidRPr="00456FC0">
        <w:rPr>
          <w:rStyle w:val="Odwoanieprzypisudolnego"/>
          <w:rFonts w:asciiTheme="minorHAnsi" w:hAnsiTheme="minorHAnsi"/>
        </w:rPr>
        <w:footnoteReference w:id="41"/>
      </w:r>
      <w:r w:rsidRPr="00456FC0">
        <w:rPr>
          <w:rStyle w:val="tekst"/>
          <w:rFonts w:asciiTheme="minorHAnsi" w:hAnsiTheme="minorHAnsi"/>
        </w:rPr>
        <w:t>.</w:t>
      </w:r>
    </w:p>
    <w:p w:rsidR="00956E3C" w:rsidRDefault="00956E3C" w:rsidP="00956E3C">
      <w:pPr>
        <w:pStyle w:val="Teksttreci20"/>
        <w:shd w:val="clear" w:color="auto" w:fill="auto"/>
        <w:tabs>
          <w:tab w:val="left" w:pos="3346"/>
        </w:tabs>
        <w:spacing w:before="0" w:after="0"/>
        <w:rPr>
          <w:rFonts w:asciiTheme="minorHAnsi" w:hAnsiTheme="minorHAnsi"/>
        </w:rPr>
      </w:pPr>
      <w:r>
        <w:rPr>
          <w:rFonts w:asciiTheme="minorHAnsi" w:hAnsiTheme="minorHAnsi"/>
        </w:rPr>
        <w:t xml:space="preserve"> </w:t>
      </w:r>
    </w:p>
    <w:p w:rsidR="00956E3C" w:rsidRPr="00956E3C" w:rsidRDefault="00956E3C" w:rsidP="00956E3C">
      <w:pPr>
        <w:pStyle w:val="Teksttreci20"/>
        <w:shd w:val="clear" w:color="auto" w:fill="auto"/>
        <w:tabs>
          <w:tab w:val="left" w:pos="3346"/>
        </w:tabs>
        <w:spacing w:before="0" w:after="0"/>
        <w:rPr>
          <w:rFonts w:asciiTheme="minorHAnsi" w:hAnsiTheme="minorHAnsi"/>
        </w:rPr>
      </w:pPr>
      <w:r w:rsidRPr="00956E3C">
        <w:rPr>
          <w:rFonts w:asciiTheme="minorHAnsi" w:hAnsiTheme="minorHAnsi"/>
        </w:rPr>
        <w:t xml:space="preserve">Wydobycie węgla kamiennego prowadzone jest obecnie w dwóch rejonach: w Górnośląskim </w:t>
      </w:r>
      <w:r w:rsidRPr="00956E3C">
        <w:rPr>
          <w:rFonts w:asciiTheme="minorHAnsi" w:hAnsiTheme="minorHAnsi"/>
        </w:rPr>
        <w:br/>
        <w:t xml:space="preserve">i Lubelskim Zagłębiu Węglowym, a udokumentowane zasoby bilansowe wg stanu na 31 grudnia 2015 r. wynoszą </w:t>
      </w:r>
      <w:r w:rsidRPr="00956E3C">
        <w:t xml:space="preserve">56 220 </w:t>
      </w:r>
      <w:r w:rsidRPr="00956E3C">
        <w:rPr>
          <w:rFonts w:asciiTheme="minorHAnsi" w:hAnsiTheme="minorHAnsi"/>
        </w:rPr>
        <w:t>mln ton. Zasoby złóż zagospodarowanych stanowią obecnie 37,5% zasobów bilansowych i wynoszą około 21 107mln ton. Polskie kopalnie wydobyły w 2012 r. 71 339 tys. ton węgla kamiennego. Udokumentowane geologiczne zasoby bilansowe węgla brunatnego w Polsce według stanu na 31 grudnia 2012 r. wyniosły 22 583,83 mln ton, przy czym całość zasobów jest wykorzystywana na cele energetyczne</w:t>
      </w:r>
      <w:r w:rsidRPr="00956E3C">
        <w:rPr>
          <w:rFonts w:asciiTheme="minorHAnsi" w:hAnsiTheme="minorHAnsi"/>
          <w:vertAlign w:val="superscript"/>
        </w:rPr>
        <w:footnoteReference w:id="42"/>
      </w:r>
      <w:r w:rsidRPr="00956E3C">
        <w:rPr>
          <w:rFonts w:asciiTheme="minorHAnsi" w:hAnsiTheme="minorHAnsi"/>
        </w:rPr>
        <w:t xml:space="preserve">. Największe obecnie eksploatowane złoże węgla „Bełchatów” (Bełchatów – Pole „Bełchatów” oraz Bełchatów – Pole „Szczerców”) pokrywa ponad 62% krajowego wydobycia, a pozostałą część zapotrzebowania pokrywają złoża Turów koło Bogatyni </w:t>
      </w:r>
      <w:r w:rsidRPr="00956E3C">
        <w:rPr>
          <w:rFonts w:asciiTheme="minorHAnsi" w:hAnsiTheme="minorHAnsi"/>
        </w:rPr>
        <w:lastRenderedPageBreak/>
        <w:t>oraz złoża rejonu konińskiego: Pątnów i Adamów. Wydobycie węgla brunatnego wyniosło w 2012 r. 64 297 tys. ton i przy niezmienionym zapotrzebowaniu zasoby te wystarczą na prawie 350 lat</w:t>
      </w:r>
      <w:r w:rsidRPr="00956E3C">
        <w:rPr>
          <w:rFonts w:asciiTheme="minorHAnsi" w:hAnsiTheme="minorHAnsi"/>
          <w:vertAlign w:val="superscript"/>
        </w:rPr>
        <w:footnoteReference w:id="43"/>
      </w:r>
      <w:r w:rsidRPr="00956E3C">
        <w:rPr>
          <w:rFonts w:asciiTheme="minorHAnsi" w:hAnsiTheme="minorHAnsi"/>
        </w:rPr>
        <w:t>.</w:t>
      </w:r>
    </w:p>
    <w:p w:rsidR="00956E3C" w:rsidRPr="00956E3C" w:rsidRDefault="00956E3C" w:rsidP="00956E3C">
      <w:pPr>
        <w:widowControl w:val="0"/>
        <w:spacing w:after="0" w:line="317" w:lineRule="exact"/>
        <w:jc w:val="both"/>
      </w:pPr>
    </w:p>
    <w:p w:rsidR="00956E3C" w:rsidRPr="00956E3C" w:rsidRDefault="00956E3C" w:rsidP="00956E3C">
      <w:pPr>
        <w:widowControl w:val="0"/>
        <w:spacing w:after="0"/>
        <w:jc w:val="both"/>
      </w:pPr>
      <w:r w:rsidRPr="00956E3C">
        <w:t>Głównym regionem występowania złóż gazu ziemnego w Polsce są województwa: wielkopolskie, lubuskie oraz podkarpackie. Udokumentowane zasoby wydobywalne gazu ziemnego wg stanu na 31 grudnia 2012 r. wyniosły 140,059 mld m</w:t>
      </w:r>
      <w:r w:rsidRPr="00956E3C">
        <w:rPr>
          <w:vertAlign w:val="superscript"/>
        </w:rPr>
        <w:t>3</w:t>
      </w:r>
      <w:r w:rsidRPr="00956E3C">
        <w:t>, a zasoby złóż zagospodarowanych 115,77 mld m</w:t>
      </w:r>
      <w:r w:rsidRPr="00956E3C">
        <w:rPr>
          <w:vertAlign w:val="superscript"/>
        </w:rPr>
        <w:t>3</w:t>
      </w:r>
      <w:r w:rsidRPr="00956E3C">
        <w:t>. Zużycie gazu ziemnego wyniosło w Polsce w 2012 r. 15,8 mld m</w:t>
      </w:r>
      <w:r w:rsidRPr="00956E3C">
        <w:rPr>
          <w:vertAlign w:val="superscript"/>
        </w:rPr>
        <w:t>3</w:t>
      </w:r>
      <w:r w:rsidRPr="00956E3C">
        <w:rPr>
          <w:vertAlign w:val="superscript"/>
        </w:rPr>
        <w:footnoteReference w:id="44"/>
      </w:r>
      <w:r w:rsidRPr="00956E3C">
        <w:t>, z tego z produkcji krajowej w przeliczeniu na gaz ziemny wysokometanowy 4,4 mld m</w:t>
      </w:r>
      <w:r w:rsidRPr="00956E3C">
        <w:rPr>
          <w:vertAlign w:val="superscript"/>
        </w:rPr>
        <w:t>3</w:t>
      </w:r>
      <w:r w:rsidRPr="00956E3C">
        <w:t xml:space="preserve">. Krajowe złoża wystarczą zatem, przy niezmienionym udziale importu gazu w konsumpcji krajowej, na około 30 lat, natomiast na około 10 lat przy pokrywaniu zapotrzebowania całkowicie z własnych zasobów przy założeniu, że nie będzie realizowana strategia poszukiwań i odnowy zasobów. Powyższe kalkulacje nie uwzględniają potencjału wydobywania </w:t>
      </w:r>
      <w:r w:rsidRPr="00956E3C">
        <w:rPr>
          <w:rStyle w:val="Teksttreci412ptBezpogrubienia"/>
          <w:rFonts w:eastAsiaTheme="minorHAnsi"/>
        </w:rPr>
        <w:t>gazu z łupków, ponieważ</w:t>
      </w:r>
      <w:r w:rsidRPr="00956E3C">
        <w:tab/>
      </w:r>
      <w:r w:rsidRPr="00956E3C">
        <w:rPr>
          <w:rStyle w:val="Teksttreci412ptBezpogrubienia"/>
          <w:rFonts w:eastAsiaTheme="minorHAnsi"/>
        </w:rPr>
        <w:t xml:space="preserve">złoża te nie są jeszcze </w:t>
      </w:r>
      <w:r w:rsidRPr="00956E3C">
        <w:t>udokumentowane. Według różnych źródeł zasoby te mogą przewyższyć od kilku do kilkunastu razy obecne wydobywane zasoby gazu ziemnego ze złóż konwencjonalnych.</w:t>
      </w:r>
    </w:p>
    <w:p w:rsidR="00956E3C" w:rsidRPr="00956E3C" w:rsidRDefault="00956E3C" w:rsidP="00956E3C">
      <w:pPr>
        <w:pStyle w:val="Teksttreci20"/>
        <w:shd w:val="clear" w:color="auto" w:fill="auto"/>
        <w:tabs>
          <w:tab w:val="right" w:pos="2818"/>
        </w:tabs>
        <w:spacing w:before="0" w:after="0" w:line="276" w:lineRule="auto"/>
        <w:rPr>
          <w:rFonts w:asciiTheme="minorHAnsi" w:hAnsiTheme="minorHAnsi"/>
        </w:rPr>
      </w:pPr>
    </w:p>
    <w:p w:rsidR="00956E3C" w:rsidRPr="00956E3C" w:rsidRDefault="00956E3C" w:rsidP="00956E3C">
      <w:pPr>
        <w:pStyle w:val="Teksttreci20"/>
        <w:shd w:val="clear" w:color="auto" w:fill="auto"/>
        <w:tabs>
          <w:tab w:val="right" w:pos="2818"/>
        </w:tabs>
        <w:spacing w:before="0" w:after="0" w:line="276" w:lineRule="auto"/>
        <w:rPr>
          <w:rFonts w:asciiTheme="minorHAnsi" w:hAnsiTheme="minorHAnsi"/>
        </w:rPr>
      </w:pPr>
      <w:r w:rsidRPr="00956E3C">
        <w:rPr>
          <w:rFonts w:asciiTheme="minorHAnsi" w:hAnsiTheme="minorHAnsi"/>
        </w:rPr>
        <w:t>Ropa naftowa w nie</w:t>
      </w:r>
      <w:r w:rsidRPr="00956E3C">
        <w:rPr>
          <w:rFonts w:asciiTheme="minorHAnsi" w:hAnsiTheme="minorHAnsi"/>
        </w:rPr>
        <w:softHyphen/>
        <w:t xml:space="preserve">wielkich ilościach występuje w Polsce w Karpatach, na Niżu Polskim oraz </w:t>
      </w:r>
      <w:r w:rsidRPr="00956E3C">
        <w:rPr>
          <w:rFonts w:asciiTheme="minorHAnsi" w:hAnsiTheme="minorHAnsi"/>
        </w:rPr>
        <w:br/>
        <w:t>w obszarze polskiej strefy ekonomicznej Bałtyku. W 2012 r. stan zasobów wydobywalnych ropy naftowej i kondensatu wyniósł 25,37 mln ton (przy rocznym wydobyciu około 663,18 tys. ton)</w:t>
      </w:r>
      <w:r w:rsidRPr="00956E3C">
        <w:rPr>
          <w:rFonts w:asciiTheme="minorHAnsi" w:hAnsiTheme="minorHAnsi"/>
          <w:vertAlign w:val="superscript"/>
        </w:rPr>
        <w:footnoteReference w:id="45"/>
      </w:r>
      <w:r w:rsidRPr="00956E3C">
        <w:rPr>
          <w:rFonts w:asciiTheme="minorHAnsi" w:hAnsiTheme="minorHAnsi"/>
        </w:rPr>
        <w:t>, podczas gdy import ropy naftowej wyniósł 24 633 tys. ton</w:t>
      </w:r>
      <w:r w:rsidRPr="00956E3C">
        <w:rPr>
          <w:rFonts w:asciiTheme="minorHAnsi" w:hAnsiTheme="minorHAnsi"/>
          <w:vertAlign w:val="superscript"/>
        </w:rPr>
        <w:footnoteReference w:id="46"/>
      </w:r>
      <w:r w:rsidRPr="00956E3C">
        <w:rPr>
          <w:rFonts w:asciiTheme="minorHAnsi" w:hAnsiTheme="minorHAnsi"/>
        </w:rPr>
        <w:t xml:space="preserve"> [Strategia „Bezpieczeństwo energetyczne i środowisko”].</w:t>
      </w:r>
    </w:p>
    <w:p w:rsidR="00956E3C" w:rsidRPr="00956E3C" w:rsidRDefault="00956E3C" w:rsidP="00956E3C">
      <w:pPr>
        <w:pStyle w:val="Teksttreci20"/>
        <w:shd w:val="clear" w:color="auto" w:fill="auto"/>
        <w:tabs>
          <w:tab w:val="right" w:pos="2818"/>
        </w:tabs>
        <w:spacing w:before="0" w:after="0" w:line="276" w:lineRule="auto"/>
        <w:rPr>
          <w:rFonts w:asciiTheme="minorHAnsi" w:hAnsiTheme="minorHAnsi"/>
        </w:rPr>
      </w:pPr>
      <w:r w:rsidRPr="00956E3C">
        <w:rPr>
          <w:rFonts w:asciiTheme="minorHAnsi" w:hAnsiTheme="minorHAnsi"/>
        </w:rPr>
        <w:t xml:space="preserve">Spośród surowców chemicznych podstawową rolę odgrywają siarka rodzima (zasoby 515 mln t) i sól kamienna (ok. 85 mld t). Złoża siarki występują wokół Tarnobrzega (Piaseczno, Machów, Jeziórko), na południe od Szydłowca (Grzybów, Osiek) oraz koło Lubaczowa (Horyniec, Basznia). Sól kamienna występuje na Podkarpaciu (Bochnia, Wieliczka, Łężkowice, Siedlec) i w postaci słupów solnych w północno-wschodniej Wielkopolsce oraz na Kujawach (Inowrocław, Góra, Kłodawa, Izbica, Rogóźno, Mogilno). Nad Zatoką Gdańską występują złoża soli potasowej (polihalitu). </w:t>
      </w:r>
    </w:p>
    <w:p w:rsidR="00956E3C" w:rsidRPr="00956E3C" w:rsidRDefault="00956E3C" w:rsidP="00956E3C">
      <w:pPr>
        <w:jc w:val="both"/>
        <w:rPr>
          <w:rFonts w:cs="Times New Roman"/>
        </w:rPr>
      </w:pPr>
      <w:r w:rsidRPr="00956E3C">
        <w:rPr>
          <w:rFonts w:cs="Times New Roman"/>
        </w:rPr>
        <w:t xml:space="preserve">Wśród surowców metalicznych do najzasobniejszych w Polsce należą złoża rud miedzi (zasoby bilansowe — 1,7 mld t rudy zawierającej ok. 40 mln t miedzi — 10% zasobów światowych) oraz cynku i ołowiu (90 mln t, zawierających ponad 3,5 mln t cynku i ponad 1,5 mln t ołowiu). </w:t>
      </w:r>
    </w:p>
    <w:p w:rsidR="00956E3C" w:rsidRPr="00956E3C" w:rsidRDefault="00956E3C" w:rsidP="00956E3C">
      <w:pPr>
        <w:autoSpaceDE w:val="0"/>
        <w:autoSpaceDN w:val="0"/>
        <w:adjustRightInd w:val="0"/>
        <w:spacing w:after="0"/>
        <w:jc w:val="both"/>
        <w:rPr>
          <w:rFonts w:ascii="Times New Roman" w:hAnsi="Times New Roman" w:cs="Times New Roman"/>
          <w:sz w:val="20"/>
          <w:szCs w:val="20"/>
        </w:rPr>
      </w:pPr>
      <w:r w:rsidRPr="00956E3C">
        <w:rPr>
          <w:rFonts w:ascii="Calibri" w:hAnsi="Calibri"/>
        </w:rPr>
        <w:t xml:space="preserve">Na obszarze Polski </w:t>
      </w:r>
      <w:r w:rsidRPr="00956E3C">
        <w:rPr>
          <w:rFonts w:ascii="Calibri" w:hAnsi="Calibri"/>
          <w:bCs/>
        </w:rPr>
        <w:t xml:space="preserve">udokumentowano występowanie złóż wód termalnych, wód leczniczych, solanek i torfów leczniczych. </w:t>
      </w:r>
      <w:r w:rsidRPr="00956E3C">
        <w:rPr>
          <w:rFonts w:ascii="Calibri" w:hAnsi="Calibri" w:cs="Times New Roman"/>
        </w:rPr>
        <w:t>Wody termalne w Polsce wyst</w:t>
      </w:r>
      <w:r w:rsidRPr="00956E3C">
        <w:rPr>
          <w:rFonts w:ascii="Calibri" w:eastAsia="TimesNewRoman" w:hAnsi="Calibri" w:cs="TimesNewRoman" w:hint="eastAsia"/>
        </w:rPr>
        <w:t>ę</w:t>
      </w:r>
      <w:r w:rsidRPr="00956E3C">
        <w:rPr>
          <w:rFonts w:ascii="Calibri" w:hAnsi="Calibri" w:cs="Times New Roman"/>
        </w:rPr>
        <w:t>puj</w:t>
      </w:r>
      <w:r w:rsidRPr="00956E3C">
        <w:rPr>
          <w:rFonts w:ascii="Calibri" w:eastAsia="TimesNewRoman" w:hAnsi="Calibri" w:cs="TimesNewRoman" w:hint="eastAsia"/>
        </w:rPr>
        <w:t>ą</w:t>
      </w:r>
      <w:r w:rsidRPr="00956E3C">
        <w:rPr>
          <w:rFonts w:ascii="Calibri" w:eastAsia="TimesNewRoman" w:hAnsi="Calibri" w:cs="TimesNewRoman"/>
        </w:rPr>
        <w:t xml:space="preserve"> </w:t>
      </w:r>
      <w:r w:rsidRPr="00956E3C">
        <w:rPr>
          <w:rFonts w:ascii="Calibri" w:hAnsi="Calibri" w:cs="Times New Roman"/>
        </w:rPr>
        <w:t>na znacznej cz</w:t>
      </w:r>
      <w:r w:rsidRPr="00956E3C">
        <w:rPr>
          <w:rFonts w:ascii="Calibri" w:eastAsia="TimesNewRoman" w:hAnsi="Calibri" w:cs="TimesNewRoman" w:hint="eastAsia"/>
        </w:rPr>
        <w:t>ęś</w:t>
      </w:r>
      <w:r w:rsidRPr="00956E3C">
        <w:rPr>
          <w:rFonts w:ascii="Calibri" w:hAnsi="Calibri" w:cs="Times New Roman"/>
        </w:rPr>
        <w:t>ci Ni</w:t>
      </w:r>
      <w:r w:rsidRPr="00956E3C">
        <w:rPr>
          <w:rFonts w:ascii="Calibri" w:eastAsia="TimesNewRoman" w:hAnsi="Calibri" w:cs="TimesNewRoman"/>
        </w:rPr>
        <w:t>ż</w:t>
      </w:r>
      <w:r w:rsidRPr="00956E3C">
        <w:rPr>
          <w:rFonts w:ascii="Calibri" w:hAnsi="Calibri" w:cs="Times New Roman"/>
        </w:rPr>
        <w:t>u Polskiego w rozległych zbiornikach o regionalnym znaczeniu, a tak</w:t>
      </w:r>
      <w:r w:rsidRPr="00956E3C">
        <w:rPr>
          <w:rFonts w:ascii="Calibri" w:eastAsia="TimesNewRoman" w:hAnsi="Calibri" w:cs="TimesNewRoman"/>
        </w:rPr>
        <w:t>ż</w:t>
      </w:r>
      <w:r w:rsidRPr="00956E3C">
        <w:rPr>
          <w:rFonts w:ascii="Calibri" w:hAnsi="Calibri" w:cs="Times New Roman"/>
        </w:rPr>
        <w:t>e w Karpatach i na ich przedgórzu oraz w Sudetach, gdzie zło</w:t>
      </w:r>
      <w:r w:rsidRPr="00956E3C">
        <w:rPr>
          <w:rFonts w:ascii="Calibri" w:eastAsia="TimesNewRoman" w:hAnsi="Calibri" w:cs="TimesNewRoman"/>
        </w:rPr>
        <w:t>ż</w:t>
      </w:r>
      <w:r w:rsidRPr="00956E3C">
        <w:rPr>
          <w:rFonts w:ascii="Calibri" w:hAnsi="Calibri" w:cs="Times New Roman"/>
        </w:rPr>
        <w:t>a maj</w:t>
      </w:r>
      <w:r w:rsidRPr="00956E3C">
        <w:rPr>
          <w:rFonts w:ascii="Calibri" w:eastAsia="TimesNewRoman" w:hAnsi="Calibri" w:cs="TimesNewRoman" w:hint="eastAsia"/>
        </w:rPr>
        <w:t>ą</w:t>
      </w:r>
      <w:r w:rsidRPr="00956E3C">
        <w:rPr>
          <w:rFonts w:ascii="Calibri" w:eastAsia="TimesNewRoman" w:hAnsi="Calibri" w:cs="TimesNewRoman"/>
        </w:rPr>
        <w:t xml:space="preserve"> </w:t>
      </w:r>
      <w:r w:rsidRPr="00956E3C">
        <w:rPr>
          <w:rFonts w:ascii="Calibri" w:hAnsi="Calibri" w:cs="Times New Roman"/>
        </w:rPr>
        <w:t>charakter niewielkich basenów (Podhale) lub s</w:t>
      </w:r>
      <w:r w:rsidRPr="00956E3C">
        <w:rPr>
          <w:rFonts w:ascii="Calibri" w:eastAsia="TimesNewRoman" w:hAnsi="Calibri" w:cs="TimesNewRoman"/>
        </w:rPr>
        <w:t xml:space="preserve">ą </w:t>
      </w:r>
      <w:r w:rsidRPr="00956E3C">
        <w:rPr>
          <w:rFonts w:ascii="Calibri" w:hAnsi="Calibri" w:cs="Times New Roman"/>
        </w:rPr>
        <w:t xml:space="preserve">ograniczone do stref tektonicznych. Wykorzystywane są głównie do celów ciepłowniczych w kilku istniejących ciepłowniach geotermalnych (m.in. Bańska, Pyrzyce, Mszczonów, Uniejów, Stargard) oraz do celów rekreacyjnych (m.in. Szaflary, Bukowina Tatrzańska, Białka Tatrzańska, Mszczonów). Większość wód leczniczych występuje w miejscowościach zgrupowanych w południowej części Polski, obejmującej Sudety i Karpaty wraz z zapadliskiem przedkarpackim. Znajduje się tu ponad 70% ogólnej liczby uzdrowisk i miejscowości z wodami leczniczymi w Polsce. Ponadto, wody lecznicze w większym nagromadzeniu występują na Pomorzu Zachodnim oraz w kilkunastu miejscach na pozostałej części </w:t>
      </w:r>
      <w:r w:rsidRPr="00956E3C">
        <w:rPr>
          <w:rFonts w:ascii="Calibri" w:hAnsi="Calibri" w:cs="Times New Roman"/>
        </w:rPr>
        <w:lastRenderedPageBreak/>
        <w:t>Niżu Polskiego. Wody lecznicze wykorzystywane są do celów balneoterapeutycznych w 42 uzdrowiskach i innych miejscowościach, do celów rozlewniczych, a także do wytwarzania produktów zdrojowych tj. sole, ługi, szlamy, preparaty farmaceutyczne. Ponadto, na obszarze Polski występują złoża torfów leczniczych (m.in. Kamień Pomorski, Bronowo), wykorzystywane w balneologii do k</w:t>
      </w:r>
      <w:r w:rsidRPr="00956E3C">
        <w:rPr>
          <w:rFonts w:ascii="Calibri" w:eastAsia="TimesNewRoman" w:hAnsi="Calibri" w:cs="TimesNewRoman" w:hint="eastAsia"/>
        </w:rPr>
        <w:t>ą</w:t>
      </w:r>
      <w:r w:rsidRPr="00956E3C">
        <w:rPr>
          <w:rFonts w:ascii="Calibri" w:hAnsi="Calibri" w:cs="Times New Roman"/>
        </w:rPr>
        <w:t>pieli i okładów oraz do wytwarzania produktów leczniczych, oraz solanki wykorzystywane do produkcji soli leczniczej i solanki k</w:t>
      </w:r>
      <w:r w:rsidRPr="00956E3C">
        <w:rPr>
          <w:rFonts w:ascii="Calibri" w:eastAsia="TimesNewRoman" w:hAnsi="Calibri" w:cs="TimesNewRoman" w:hint="eastAsia"/>
        </w:rPr>
        <w:t>ą</w:t>
      </w:r>
      <w:r w:rsidRPr="00956E3C">
        <w:rPr>
          <w:rFonts w:ascii="Calibri" w:hAnsi="Calibri" w:cs="Times New Roman"/>
        </w:rPr>
        <w:t xml:space="preserve">pielowej (Łapczyca). </w:t>
      </w:r>
      <w:r w:rsidRPr="00956E3C">
        <w:t xml:space="preserve">(źródło:  Bilans zasobów złóż kopalin w Polsce, według stanu na 31 XII 2016 r. PIG-PIB). </w:t>
      </w:r>
    </w:p>
    <w:p w:rsidR="00956E3C" w:rsidRPr="00956E3C" w:rsidRDefault="00956E3C" w:rsidP="00956E3C">
      <w:pPr>
        <w:jc w:val="both"/>
      </w:pPr>
      <w:r w:rsidRPr="00956E3C">
        <w:t xml:space="preserve">Krajowe pozyskanie kopalin, będące częścią pozyskania krajowego i wyrażone wskaźnikiem krajowego wykorzystanego pozyskania (DEU – </w:t>
      </w:r>
      <w:r w:rsidRPr="00956E3C">
        <w:rPr>
          <w:i/>
        </w:rPr>
        <w:t>domestic extraction used</w:t>
      </w:r>
      <w:r w:rsidRPr="00956E3C">
        <w:t xml:space="preserve">), wyniosło w 2015 r. 462,2mln ton. Dominującą kategorią w tym przypadku są surowce niemetaliczne (Rys. </w:t>
      </w:r>
      <w:r>
        <w:t>6.1.</w:t>
      </w:r>
      <w:r w:rsidRPr="00956E3C">
        <w:t xml:space="preserve">). </w:t>
      </w:r>
    </w:p>
    <w:p w:rsidR="00956E3C" w:rsidRPr="00956E3C" w:rsidRDefault="00956E3C" w:rsidP="00956E3C">
      <w:pPr>
        <w:jc w:val="both"/>
      </w:pPr>
      <w:r w:rsidRPr="00956E3C">
        <w:t xml:space="preserve">Miarą materiałochłonności gospodarki jest wskaźnik produktywności zasobów liczony jako stosunek PKB do krajowej konsumpcji materialnej (DMC). Im wyższa wartość tego wskaźnika, tym mniej materiałów wykorzystuje się do wytworzenia jednostki PKB. Wartość tego wskaźnika osiągnięta przez Polskę, podobnie jak w przypadku większości pozostałych tzw. nowych państw członkowskich UE, jest znacznie niższa od średniej unijnej, co świadczy o wysokiej materiałochłonności naszej gospodarki. Spowodowane jest to m.in. strukturą polskiej gospodarki z istotnym udziałem przemysłu ciężkiego oraz rolnictwa. Wskaźnik produktywności zasobów polskiej gospodarki w 2015 r. wyniósł 0,7 Euro wytworzonego PKB na kg materiałów bezpośrednio wykorzystanych w gospodarce, przy średniej unijnej wynoszącej 2,2. Polska w 2015 r. plasowała się w czołówce najbardziej materiałochłonnych gospodarek za Estonią, Bułgarią i Rumunią. </w:t>
      </w:r>
    </w:p>
    <w:p w:rsidR="00956E3C" w:rsidRPr="00456FC0" w:rsidRDefault="00956E3C" w:rsidP="00956E3C">
      <w:pPr>
        <w:spacing w:after="0"/>
        <w:jc w:val="both"/>
        <w:rPr>
          <w:rFonts w:cs="Times New Roman"/>
        </w:rPr>
      </w:pPr>
      <w:r w:rsidRPr="00956E3C">
        <w:rPr>
          <w:rFonts w:cs="Times New Roman"/>
        </w:rPr>
        <w:t>Krajowa konsumpcja materialna (DMC)</w:t>
      </w:r>
      <w:r w:rsidRPr="00956E3C">
        <w:rPr>
          <w:rStyle w:val="Odwoanieprzypisudolnego"/>
          <w:rFonts w:cs="Times New Roman"/>
        </w:rPr>
        <w:footnoteReference w:id="47"/>
      </w:r>
      <w:r w:rsidRPr="00956E3C">
        <w:rPr>
          <w:rFonts w:cs="Times New Roman"/>
        </w:rPr>
        <w:t xml:space="preserve"> w 2015 r. wyniosła 643 mln ton. Od roku 2011 zauważalny jest spadek wartości wskaźnika krajowej konsumpcji materialnej. Około połowę krajowej konsumpcji materialnej stanowią minerały  niemetaliczne (w tej kategorii mieszczą się materiały budowlane takie jak piasek czy żwir), biomasa – 25%,  kopalne surowce energetyczne/nośniki energii– 24%, zaś pozostałą część stanowią rudy metali. Wartość wskaźnika DMC dla Polski odnotowana w 2015 r. należała do jednej z najwyższych w Unii Europejskiej. Polska znalazła się w pierwszej trójce państw o najwyższym wykorzystaniu materialnym, po Niemczech i Francji. Wykorzystanie materialne  w przeliczeniu na jednego mieszkańca wyniosło w Polsce blisko 17 ton przy średniej dla UE poniżej 13 ton</w:t>
      </w:r>
    </w:p>
    <w:p w:rsidR="00956E3C" w:rsidRPr="00456FC0" w:rsidRDefault="00956E3C" w:rsidP="00956E3C">
      <w:pPr>
        <w:spacing w:after="0"/>
        <w:ind w:firstLine="709"/>
        <w:jc w:val="both"/>
        <w:rPr>
          <w:rFonts w:cs="Times New Roman"/>
        </w:rPr>
      </w:pPr>
    </w:p>
    <w:p w:rsidR="00956E3C" w:rsidRPr="00456FC0" w:rsidRDefault="00956E3C" w:rsidP="00956E3C">
      <w:pPr>
        <w:spacing w:after="0" w:line="240" w:lineRule="auto"/>
        <w:ind w:firstLine="709"/>
        <w:jc w:val="both"/>
        <w:rPr>
          <w:rFonts w:cs="Times New Roman"/>
        </w:rPr>
      </w:pPr>
      <w:r>
        <w:rPr>
          <w:noProof/>
          <w:lang w:eastAsia="pl-PL"/>
        </w:rPr>
        <w:lastRenderedPageBreak/>
        <w:drawing>
          <wp:inline distT="0" distB="0" distL="0" distR="0" wp14:anchorId="4A9613BF" wp14:editId="7A806146">
            <wp:extent cx="4572000" cy="2743200"/>
            <wp:effectExtent l="0" t="0" r="0" b="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956E3C" w:rsidRPr="00456FC0" w:rsidRDefault="00956E3C" w:rsidP="00956E3C">
      <w:pPr>
        <w:spacing w:after="0" w:line="240" w:lineRule="auto"/>
        <w:jc w:val="both"/>
        <w:rPr>
          <w:rFonts w:cs="Times New Roman"/>
          <w:i/>
        </w:rPr>
      </w:pPr>
      <w:r w:rsidRPr="00FC05F9">
        <w:rPr>
          <w:rFonts w:cs="Times New Roman"/>
          <w:i/>
        </w:rPr>
        <w:t xml:space="preserve">Rys. </w:t>
      </w:r>
      <w:r w:rsidR="001E35FE">
        <w:rPr>
          <w:rFonts w:cs="Times New Roman"/>
          <w:i/>
        </w:rPr>
        <w:t>7</w:t>
      </w:r>
      <w:r>
        <w:rPr>
          <w:rFonts w:cs="Times New Roman"/>
          <w:i/>
        </w:rPr>
        <w:t>.1.</w:t>
      </w:r>
      <w:r w:rsidRPr="00FC05F9">
        <w:rPr>
          <w:rFonts w:cs="Times New Roman"/>
          <w:i/>
        </w:rPr>
        <w:t xml:space="preserve"> Struktura krajowego pozyskania kopalin w Polsce w 2015 r. (źródło: Eurostat</w:t>
      </w:r>
      <w:r>
        <w:rPr>
          <w:rFonts w:cs="Times New Roman"/>
          <w:i/>
        </w:rPr>
        <w:t>)</w:t>
      </w:r>
    </w:p>
    <w:p w:rsidR="00956E3C" w:rsidRPr="00456FC0" w:rsidRDefault="00956E3C" w:rsidP="00956E3C">
      <w:pPr>
        <w:jc w:val="both"/>
      </w:pPr>
    </w:p>
    <w:p w:rsidR="00956E3C" w:rsidRPr="005268ED" w:rsidRDefault="00956E3C" w:rsidP="00956E3C">
      <w:pPr>
        <w:jc w:val="both"/>
      </w:pPr>
      <w:r w:rsidRPr="005268ED">
        <w:t xml:space="preserve">Można założyć, że wraz ze zmianą struktury gospodarki wskaźnik produktywności będzie wzrastał m.in. ze względu na wykorzystywanie bardziej doskonałych technologii czy coraz wyższy udział usług w gospodarcze, które zużywają mniej zasobów niż przemysł i rolnictwo. Należy jednak pamiętać, ze  konkurencyjność gospodarki oraz możliwość budowania zaawansowanych usług jest możliwa wyłącznie z istniejącą, silną bazą przemysłową. Zatem konieczne jest prowadzenie polityki, której efektem będzie wzrost wydajności wykorzystania zasobów. </w:t>
      </w:r>
    </w:p>
    <w:p w:rsidR="00956E3C" w:rsidRPr="00456FC0" w:rsidRDefault="00956E3C" w:rsidP="00956E3C">
      <w:pPr>
        <w:jc w:val="both"/>
      </w:pPr>
      <w:r w:rsidRPr="00456FC0">
        <w:t>Prowadzona przez państwo polityka surowcowa, mając bezpośredni wpływ na środowisko, społeczeństwo i gospodarkę, jest nieodłącznym elementem polityki zrównoważonego rozwoju. Racjonalne zarządzanie zasobami geologicznymi jest warunkiem długookresowego bezpieczeństwa gospodarczego kraju, a przez to bezpieczeństwa narodowego.</w:t>
      </w:r>
    </w:p>
    <w:p w:rsidR="00956E3C" w:rsidRDefault="00956E3C" w:rsidP="00956E3C">
      <w:pPr>
        <w:jc w:val="both"/>
      </w:pPr>
      <w:r w:rsidRPr="00456FC0">
        <w:t xml:space="preserve">Skuteczność polityki surowcowej zależy od prowadzenia jej w sposób całościowy i skoordynowany. W celu zapewnienia tej skuteczności w 2016 r. Rada Ministrów ustanowiła Pełnomocnika Rządu ds. Polityki Surowcowej Państwa, a Prezes Rady Ministrów utworzył Międzyresortowy Zespół ds. Polityki Surowcowej Państwa. Ze względu na znaczenie gospodarki surowcowej dla funkcjonowania państwa oraz ze względu na prace podejmowane przez ww. Pełnomocnika, kwestie związane z zasobami geologicznymi są w całości ujęte w dokumencie pn. </w:t>
      </w:r>
      <w:r w:rsidRPr="00956E3C">
        <w:rPr>
          <w:i/>
        </w:rPr>
        <w:t>Polityka surowcowa państwa</w:t>
      </w:r>
      <w:r w:rsidRPr="00456FC0">
        <w:t>.</w:t>
      </w:r>
    </w:p>
    <w:p w:rsidR="00956E3C" w:rsidRPr="00956E3C" w:rsidRDefault="00956E3C" w:rsidP="004E65E5">
      <w:pPr>
        <w:jc w:val="both"/>
      </w:pPr>
      <w:r>
        <w:t xml:space="preserve">Istniejącym wyzwaniem jest zdefiniowanie polityki produktowej oraz wspieranie efektywnych zasobowo systemów produkcyjnych. Polska w porównaniu do największych gospodarek UE nie posiada wykształconej polityki dotyczącej wspierania efektywnego wykorzystania materiałów </w:t>
      </w:r>
      <w:r>
        <w:br/>
        <w:t xml:space="preserve">a stosowane w Polsce prawo ogranicza się najczęściej do stosowania minimalnych standardów wynikających z wymagań prawa UE.  </w:t>
      </w:r>
    </w:p>
    <w:p w:rsidR="00956E3C" w:rsidRDefault="00956E3C" w:rsidP="00956E3C">
      <w:pPr>
        <w:pStyle w:val="Nagwek1"/>
        <w:numPr>
          <w:ilvl w:val="0"/>
          <w:numId w:val="5"/>
        </w:numPr>
        <w:spacing w:after="240"/>
      </w:pPr>
      <w:bookmarkStart w:id="58" w:name="_Toc505604930"/>
      <w:bookmarkStart w:id="59" w:name="_Toc505605323"/>
      <w:r>
        <w:lastRenderedPageBreak/>
        <w:t>Zasoby przyrodnicze</w:t>
      </w:r>
      <w:r w:rsidR="00CE7329">
        <w:rPr>
          <w:rStyle w:val="Odwoanieprzypisudolnego"/>
        </w:rPr>
        <w:footnoteReference w:id="48"/>
      </w:r>
      <w:bookmarkEnd w:id="58"/>
      <w:bookmarkEnd w:id="59"/>
    </w:p>
    <w:p w:rsidR="005270A2" w:rsidRPr="005270A2" w:rsidRDefault="005270A2" w:rsidP="005270A2">
      <w:pPr>
        <w:jc w:val="both"/>
        <w:rPr>
          <w:b/>
          <w:i/>
        </w:rPr>
      </w:pPr>
      <w:r w:rsidRPr="005270A2">
        <w:rPr>
          <w:b/>
          <w:i/>
        </w:rPr>
        <w:t>Różnorodność biologiczna</w:t>
      </w:r>
    </w:p>
    <w:p w:rsidR="005270A2" w:rsidRPr="00AF43E1" w:rsidRDefault="005270A2" w:rsidP="005270A2">
      <w:pPr>
        <w:jc w:val="both"/>
      </w:pPr>
      <w:r w:rsidRPr="00AF43E1">
        <w:t xml:space="preserve">Przyroda </w:t>
      </w:r>
      <w:r>
        <w:t>umożliwia i warunkuje życie człowieka.</w:t>
      </w:r>
      <w:r w:rsidRPr="00E75EB7">
        <w:t xml:space="preserve"> </w:t>
      </w:r>
      <w:r>
        <w:t>Jest</w:t>
      </w:r>
      <w:r w:rsidRPr="00E75EB7">
        <w:t xml:space="preserve"> źród</w:t>
      </w:r>
      <w:r>
        <w:t>łem</w:t>
      </w:r>
      <w:r w:rsidRPr="00E75EB7">
        <w:t xml:space="preserve"> rozlicznych dóbr i świadczeń takich jak: żywność,</w:t>
      </w:r>
      <w:r>
        <w:t xml:space="preserve"> surowce,  czyste powietrze, </w:t>
      </w:r>
      <w:r w:rsidRPr="00AF43E1">
        <w:t>czyst</w:t>
      </w:r>
      <w:r>
        <w:t>a</w:t>
      </w:r>
      <w:r w:rsidRPr="00AF43E1">
        <w:t xml:space="preserve"> wodę</w:t>
      </w:r>
      <w:r>
        <w:t>,</w:t>
      </w:r>
      <w:r w:rsidRPr="00AF43E1">
        <w:t xml:space="preserve"> tlen, niezanieczyszczon</w:t>
      </w:r>
      <w:r>
        <w:t>a</w:t>
      </w:r>
      <w:r w:rsidRPr="00AF43E1">
        <w:t xml:space="preserve"> glebę</w:t>
      </w:r>
      <w:r>
        <w:t>.</w:t>
      </w:r>
      <w:r w:rsidRPr="00AF43E1">
        <w:t xml:space="preserve"> </w:t>
      </w:r>
      <w:r>
        <w:t>D</w:t>
      </w:r>
      <w:r w:rsidRPr="00AF43E1">
        <w:t xml:space="preserve">aje schronienie, redukuje skutki gradacyjnego wpływu czynników biotycznych, chroniąc przed szkodnikami i </w:t>
      </w:r>
      <w:r>
        <w:t xml:space="preserve">czynnikami </w:t>
      </w:r>
      <w:r w:rsidRPr="00AF43E1">
        <w:t>chorob</w:t>
      </w:r>
      <w:r>
        <w:t>otwórczymi</w:t>
      </w:r>
      <w:r w:rsidRPr="00AF43E1">
        <w:t xml:space="preserve">. Wnosi </w:t>
      </w:r>
      <w:r>
        <w:t>decydujący</w:t>
      </w:r>
      <w:r w:rsidRPr="00AF43E1">
        <w:t xml:space="preserve"> wkład w regulację procesów klimatycznych na Ziemi. Jej nadrzędną cechą jest różnorodność, rozumiana jako bogactwo otaczających nas ekosystemów, gatunków i ich zasobów genowych. Różnorodność gwarantuje utrzymanie równowagi między elementami przyrody oraz prawidłowe funkcjonowanie ekosystemów. Utrata różnorodności biologicznej ekosystemów stanowi zagrożenie dla właściwego funkcjonowania naszej planety, w dalszej konsekwencji dla gospodarki</w:t>
      </w:r>
      <w:r>
        <w:t xml:space="preserve"> </w:t>
      </w:r>
      <w:r w:rsidRPr="00AF43E1">
        <w:t>i ludzkości</w:t>
      </w:r>
      <w:r>
        <w:t>.</w:t>
      </w:r>
      <w:r>
        <w:rPr>
          <w:rStyle w:val="Odwoanieprzypisudolnego"/>
        </w:rPr>
        <w:footnoteReference w:id="49"/>
      </w:r>
    </w:p>
    <w:p w:rsidR="005270A2" w:rsidRDefault="005270A2" w:rsidP="005270A2">
      <w:pPr>
        <w:jc w:val="both"/>
      </w:pPr>
      <w:r w:rsidRPr="00046471">
        <w:t>Polska jest krajem o stosunkowo dużej różnorodności biologicznej. Wynika to z przejściowego klimatu, zróżnicowanej rzeźby terenu, budowy geologicznej oraz zmienności podłoża glebowego, przy jednoczesnym braku naturalnych barier geograficznych. W Polsce różnorodność biologiczna jest kształtowana przede wszystkim przez posiadające stosunkowo dużą powierzchnię: lasy i obszary wodno-błotne, jak również obszary rolnicze</w:t>
      </w:r>
      <w:r>
        <w:t xml:space="preserve">. Lasy w Polsce zajmują obecnie </w:t>
      </w:r>
      <w:r w:rsidRPr="005270A2">
        <w:t xml:space="preserve">(w 2016 r.) </w:t>
      </w:r>
      <w:r>
        <w:t>9230 tys. ha</w:t>
      </w:r>
      <w:r w:rsidR="00CE7329">
        <w:rPr>
          <w:rStyle w:val="Odwoanieprzypisudolnego"/>
        </w:rPr>
        <w:footnoteReference w:id="50"/>
      </w:r>
      <w:r w:rsidR="00CE7329">
        <w:rPr>
          <w:vertAlign w:val="superscript"/>
        </w:rPr>
        <w:t xml:space="preserve"> </w:t>
      </w:r>
      <w:r>
        <w:t>lądowe siedliska hydrogeniczne 4 340 tys. ha (ok. 13,9% powierzchni Polski, w tym ¼ z nich to torfowiska)</w:t>
      </w:r>
      <w:r w:rsidR="00CE7329">
        <w:t>.</w:t>
      </w:r>
      <w:r>
        <w:rPr>
          <w:rStyle w:val="Odwoanieprzypisudolnego"/>
        </w:rPr>
        <w:footnoteReference w:id="51"/>
      </w:r>
      <w:r>
        <w:t xml:space="preserve"> U</w:t>
      </w:r>
      <w:r w:rsidRPr="00CD2512">
        <w:t xml:space="preserve">żytki rolne stanowią  ok. 46 % powierzchni kraju.  Znaczną ich część, ok. 1/5, </w:t>
      </w:r>
      <w:r>
        <w:t xml:space="preserve"> stanowią trwałe użytki zielone</w:t>
      </w:r>
      <w:r w:rsidRPr="00CD2512">
        <w:t xml:space="preserve"> – różnorodne ekosystemy seminaturalne ukształtowane i utrzymywane poprzez użytkowanie kośne lub pastwiskowe. Polskie rolnictwo charakteryzuje rozdrobniona struktura gospodarstw i gruntów - ok. 1,37 mln gospodarstw rolnych, których średnia p</w:t>
      </w:r>
      <w:r>
        <w:t>owierzchnia wynosi ok. 10,6 ha</w:t>
      </w:r>
      <w:r w:rsidRPr="00CD2512">
        <w:t xml:space="preserve">. Rozdrobnienie agrarne, niekorzystne z punktu widzenia ekonomicznego, sprzyja zachowaniu krajobrazu i bioróżnorodności. </w:t>
      </w:r>
    </w:p>
    <w:p w:rsidR="00CE7329" w:rsidRDefault="005270A2" w:rsidP="005270A2">
      <w:pPr>
        <w:jc w:val="both"/>
        <w:rPr>
          <w:highlight w:val="lightGray"/>
        </w:rPr>
      </w:pPr>
      <w:r>
        <w:rPr>
          <w:noProof/>
          <w:lang w:eastAsia="pl-PL"/>
        </w:rPr>
        <w:lastRenderedPageBreak/>
        <w:drawing>
          <wp:inline distT="0" distB="0" distL="0" distR="0" wp14:anchorId="2A20A0EF" wp14:editId="40CAB6E2">
            <wp:extent cx="5469147" cy="2147978"/>
            <wp:effectExtent l="0" t="0" r="0" b="508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E7329" w:rsidRPr="00CE7329" w:rsidRDefault="00CE7329" w:rsidP="005270A2">
      <w:pPr>
        <w:jc w:val="both"/>
        <w:rPr>
          <w:i/>
        </w:rPr>
      </w:pPr>
      <w:r w:rsidRPr="00CE7329">
        <w:rPr>
          <w:i/>
        </w:rPr>
        <w:t xml:space="preserve">Rys. </w:t>
      </w:r>
      <w:r w:rsidR="001E35FE">
        <w:rPr>
          <w:i/>
        </w:rPr>
        <w:t>8</w:t>
      </w:r>
      <w:r w:rsidRPr="00CE7329">
        <w:rPr>
          <w:i/>
        </w:rPr>
        <w:t>.1. Wykorzystanie i ochrona zasobów powierzchni ziemi i gleby (2015)</w:t>
      </w:r>
    </w:p>
    <w:p w:rsidR="005270A2" w:rsidRPr="00CE7329" w:rsidRDefault="00CE7329" w:rsidP="005270A2">
      <w:pPr>
        <w:jc w:val="both"/>
        <w:rPr>
          <w:i/>
        </w:rPr>
      </w:pPr>
      <w:r>
        <w:rPr>
          <w:i/>
        </w:rPr>
        <w:t>(</w:t>
      </w:r>
      <w:r w:rsidR="005270A2" w:rsidRPr="00CE7329">
        <w:rPr>
          <w:i/>
        </w:rPr>
        <w:t>Źródło: GUS, Ochrona Środowiska 2016 r.</w:t>
      </w:r>
      <w:r>
        <w:rPr>
          <w:i/>
        </w:rPr>
        <w:t>)</w:t>
      </w:r>
    </w:p>
    <w:p w:rsidR="005270A2" w:rsidRPr="00300CE7" w:rsidRDefault="005270A2" w:rsidP="004E65E5">
      <w:pPr>
        <w:jc w:val="both"/>
      </w:pPr>
      <w:r w:rsidRPr="00300CE7">
        <w:t>Do najliczniejszych grup pod względem liczby gatunków należą glony, których w Polsce stwierdzono ponad 10 tys. gatunków. Drugą co do wielkości grupę, w której zarejestrowano już 3 razy mniej gatunków niż w przypadku glonów, stanowią grzyby. Gatunków roślin naczyniowych jest ok 3 tys. Królestwo zwierząt wg szacunków jest reprezentowane w Polsce przez 47 tys. gatunków (ponad 35,3 tys. gatunków zostało zarejestrowanych), z czego 98% stanowią bezkręgowce, wśród których najliczniejszą grupą są owady (aż 75% wszystkich zwierząt). Spośród kręgowców najliczniejszą grupą gatunków są ptaki (452 gat., w tym ok 230 gat. lęgowych), a następnie ssaki (112 gat.).</w:t>
      </w:r>
    </w:p>
    <w:p w:rsidR="005270A2" w:rsidRPr="00300CE7" w:rsidRDefault="005270A2" w:rsidP="004E65E5">
      <w:pPr>
        <w:pStyle w:val="Tekstpodstawowyzwciciem"/>
        <w:spacing w:after="0"/>
        <w:ind w:firstLine="0"/>
        <w:jc w:val="both"/>
        <w:rPr>
          <w:rFonts w:cs="Times New Roman"/>
        </w:rPr>
      </w:pPr>
      <w:r w:rsidRPr="00300CE7">
        <w:rPr>
          <w:rFonts w:cs="Times New Roman"/>
        </w:rPr>
        <w:t>Spośród wszystkich rodzimych gatunków występujących w Polsce do gatunków zagrożonych wyginięciem</w:t>
      </w:r>
      <w:r w:rsidRPr="00300CE7">
        <w:rPr>
          <w:rStyle w:val="Odwoanieprzypisudolnego"/>
          <w:rFonts w:cs="Times New Roman"/>
        </w:rPr>
        <w:footnoteReference w:id="52"/>
      </w:r>
      <w:r w:rsidRPr="00300CE7">
        <w:rPr>
          <w:rFonts w:cs="Times New Roman"/>
        </w:rPr>
        <w:t xml:space="preserve"> zaliczono</w:t>
      </w:r>
      <w:r w:rsidR="00CE7329">
        <w:rPr>
          <w:rStyle w:val="Odwoanieprzypisudolnego"/>
          <w:rFonts w:cs="Times New Roman"/>
        </w:rPr>
        <w:footnoteReference w:id="53"/>
      </w:r>
      <w:r w:rsidRPr="00CE7329">
        <w:rPr>
          <w:rFonts w:cs="Times New Roman"/>
        </w:rPr>
        <w:t>:</w:t>
      </w:r>
    </w:p>
    <w:p w:rsidR="005270A2" w:rsidRPr="00300CE7" w:rsidRDefault="005270A2" w:rsidP="004E65E5">
      <w:pPr>
        <w:numPr>
          <w:ilvl w:val="0"/>
          <w:numId w:val="16"/>
        </w:numPr>
        <w:autoSpaceDE w:val="0"/>
        <w:autoSpaceDN w:val="0"/>
        <w:adjustRightInd w:val="0"/>
        <w:spacing w:after="0"/>
        <w:ind w:left="714" w:hanging="357"/>
        <w:jc w:val="both"/>
        <w:rPr>
          <w:rFonts w:eastAsia="Calibri" w:cs="Times New Roman"/>
          <w:noProof/>
        </w:rPr>
      </w:pPr>
      <w:r w:rsidRPr="00300CE7">
        <w:rPr>
          <w:rFonts w:eastAsia="Calibri" w:cs="Times New Roman"/>
          <w:noProof/>
        </w:rPr>
        <w:t>1 159 gatunków zwierząt; wśród nich znalazło się 1 080 gatunków bezkręgowców (w tym 784 gatunków owadów, 6 gatunków skorupiaków oraz 61 gatunków mięczaków) oraz 79 gatunków kręgowców (13 gatunków ssaków, 34 gatunki ptaków, 3 gatunki gadów i 29 gatunków ryb, w tym 9 morskich);</w:t>
      </w:r>
    </w:p>
    <w:p w:rsidR="005270A2" w:rsidRPr="00300CE7" w:rsidRDefault="005270A2" w:rsidP="004E65E5">
      <w:pPr>
        <w:numPr>
          <w:ilvl w:val="0"/>
          <w:numId w:val="16"/>
        </w:numPr>
        <w:autoSpaceDE w:val="0"/>
        <w:autoSpaceDN w:val="0"/>
        <w:adjustRightInd w:val="0"/>
        <w:spacing w:after="0"/>
        <w:ind w:left="714" w:hanging="357"/>
        <w:jc w:val="both"/>
        <w:rPr>
          <w:rFonts w:cs="Times New Roman"/>
        </w:rPr>
      </w:pPr>
      <w:r w:rsidRPr="00300CE7">
        <w:rPr>
          <w:rFonts w:eastAsia="Calibri" w:cs="Times New Roman"/>
          <w:noProof/>
        </w:rPr>
        <w:t>488 gatunków roślin naczyniowych, 83 gatunki mchów, 545 gatunków porostów, 583 gatunków</w:t>
      </w:r>
      <w:r w:rsidRPr="00300CE7">
        <w:rPr>
          <w:rFonts w:eastAsia="Times New Roman" w:cs="Times New Roman"/>
          <w:lang w:eastAsia="pl-PL"/>
        </w:rPr>
        <w:t xml:space="preserve"> grzybów wielkoowocnikowych oraz 232 gatunki glonów.</w:t>
      </w:r>
    </w:p>
    <w:p w:rsidR="005270A2" w:rsidRDefault="005270A2" w:rsidP="004E65E5">
      <w:pPr>
        <w:pStyle w:val="Tekstpodstawowyzwciciem"/>
        <w:spacing w:after="0"/>
        <w:ind w:firstLine="0"/>
        <w:jc w:val="both"/>
        <w:rPr>
          <w:rFonts w:cs="Times New Roman"/>
        </w:rPr>
      </w:pPr>
    </w:p>
    <w:p w:rsidR="005270A2" w:rsidRPr="00BD5604" w:rsidRDefault="005270A2" w:rsidP="004E65E5">
      <w:pPr>
        <w:pStyle w:val="Tekstpodstawowyzwciciem"/>
        <w:spacing w:after="0"/>
        <w:ind w:firstLine="0"/>
        <w:jc w:val="both"/>
        <w:rPr>
          <w:rFonts w:cs="Times New Roman"/>
        </w:rPr>
      </w:pPr>
      <w:r w:rsidRPr="00BD5604">
        <w:rPr>
          <w:rFonts w:cs="Times New Roman"/>
        </w:rPr>
        <w:t xml:space="preserve">Siedliska przyrodnicze oraz gatunki roślin i zwierząt rzadkie i zagrożone w skali europejskiej podlegają ochronie na mocy tzw. </w:t>
      </w:r>
      <w:r>
        <w:rPr>
          <w:rFonts w:cs="Times New Roman"/>
        </w:rPr>
        <w:t>D</w:t>
      </w:r>
      <w:r w:rsidRPr="00BD5604">
        <w:rPr>
          <w:rFonts w:cs="Times New Roman"/>
        </w:rPr>
        <w:t xml:space="preserve">yrektywy </w:t>
      </w:r>
      <w:r>
        <w:rPr>
          <w:rFonts w:cs="Times New Roman"/>
        </w:rPr>
        <w:t>s</w:t>
      </w:r>
      <w:r w:rsidRPr="00BD5604">
        <w:rPr>
          <w:rFonts w:cs="Times New Roman"/>
        </w:rPr>
        <w:t>iedliskowej</w:t>
      </w:r>
      <w:r w:rsidRPr="00BD5604">
        <w:rPr>
          <w:rStyle w:val="Odwoanieprzypisudolnego"/>
          <w:rFonts w:cs="Times New Roman"/>
        </w:rPr>
        <w:footnoteReference w:id="54"/>
      </w:r>
      <w:r w:rsidRPr="00BD5604">
        <w:rPr>
          <w:rFonts w:cs="Times New Roman"/>
        </w:rPr>
        <w:t xml:space="preserve">. </w:t>
      </w:r>
      <w:r>
        <w:rPr>
          <w:rFonts w:cs="Times New Roman"/>
        </w:rPr>
        <w:t>W</w:t>
      </w:r>
      <w:r w:rsidRPr="00BD5604">
        <w:rPr>
          <w:rFonts w:cs="Times New Roman"/>
        </w:rPr>
        <w:t> Polsce występuje 81 typów siedlisk przyrodniczych (w tym 18 o znaczeniu priorytetowym</w:t>
      </w:r>
      <w:r w:rsidRPr="00BD5604">
        <w:rPr>
          <w:rStyle w:val="Odwoanieprzypisudolnego"/>
          <w:rFonts w:cs="Times New Roman"/>
        </w:rPr>
        <w:footnoteReference w:id="55"/>
      </w:r>
      <w:r w:rsidRPr="00BD5604">
        <w:rPr>
          <w:rFonts w:cs="Times New Roman"/>
        </w:rPr>
        <w:t xml:space="preserve">), 48 gatunków roślin (w tym 10 gatunków </w:t>
      </w:r>
      <w:r>
        <w:rPr>
          <w:rFonts w:cs="Times New Roman"/>
        </w:rPr>
        <w:br/>
      </w:r>
      <w:r w:rsidRPr="00BD5604">
        <w:rPr>
          <w:rFonts w:cs="Times New Roman"/>
        </w:rPr>
        <w:t xml:space="preserve">o znaczeniu priorytetowym) i 141 gatunków zwierząt z wyłączeniem ptaków (w tym 12 gatunków </w:t>
      </w:r>
      <w:r>
        <w:rPr>
          <w:rFonts w:cs="Times New Roman"/>
        </w:rPr>
        <w:br/>
      </w:r>
      <w:r w:rsidRPr="00BD5604">
        <w:rPr>
          <w:rFonts w:cs="Times New Roman"/>
        </w:rPr>
        <w:t xml:space="preserve">o znaczeniu priorytetowym) </w:t>
      </w:r>
    </w:p>
    <w:p w:rsidR="005270A2" w:rsidRDefault="005270A2" w:rsidP="004E65E5">
      <w:pPr>
        <w:rPr>
          <w:rFonts w:cs="Times New Roman"/>
          <w:i/>
          <w:sz w:val="20"/>
          <w:szCs w:val="20"/>
          <w:highlight w:val="yellow"/>
        </w:rPr>
      </w:pPr>
      <w:r>
        <w:rPr>
          <w:rFonts w:cs="Times New Roman"/>
          <w:i/>
          <w:sz w:val="20"/>
          <w:szCs w:val="20"/>
          <w:highlight w:val="yellow"/>
        </w:rPr>
        <w:br w:type="page"/>
      </w:r>
    </w:p>
    <w:p w:rsidR="005270A2" w:rsidRDefault="005270A2" w:rsidP="005270A2">
      <w:pPr>
        <w:rPr>
          <w:noProof/>
          <w:lang w:eastAsia="pl-PL"/>
        </w:rPr>
      </w:pPr>
    </w:p>
    <w:p w:rsidR="005270A2" w:rsidRDefault="005270A2" w:rsidP="005270A2">
      <w:pPr>
        <w:rPr>
          <w:rFonts w:cs="Times New Roman"/>
          <w:i/>
          <w:sz w:val="20"/>
          <w:szCs w:val="20"/>
          <w:highlight w:val="yellow"/>
        </w:rPr>
      </w:pPr>
    </w:p>
    <w:p w:rsidR="005270A2" w:rsidRPr="00CE7329" w:rsidRDefault="005270A2" w:rsidP="005270A2">
      <w:pPr>
        <w:rPr>
          <w:rFonts w:cs="Times New Roman"/>
        </w:rPr>
      </w:pPr>
      <w:r w:rsidRPr="00CE7329">
        <w:rPr>
          <w:rFonts w:cs="Times New Roman"/>
          <w:i/>
        </w:rPr>
        <w:t xml:space="preserve">Tab. </w:t>
      </w:r>
      <w:r w:rsidR="001E35FE">
        <w:rPr>
          <w:rFonts w:cs="Times New Roman"/>
          <w:i/>
        </w:rPr>
        <w:t>8</w:t>
      </w:r>
      <w:r w:rsidR="00CE7329">
        <w:rPr>
          <w:rFonts w:cs="Times New Roman"/>
          <w:i/>
        </w:rPr>
        <w:t xml:space="preserve">.1. </w:t>
      </w:r>
      <w:r w:rsidRPr="00CE7329">
        <w:rPr>
          <w:rFonts w:cs="Times New Roman"/>
          <w:i/>
        </w:rPr>
        <w:t xml:space="preserve">Liczba gatunków/typów siedlisk przyrodniczych wymienionych w załącznikach Dyrektywy siedliskowej występujących w Polsce (część z nich występuje w obu regionach biogeograficznych i morskim obszarze Morza Bałtyckiego) (źródło: GIOŚ/PMŚ, </w:t>
      </w:r>
      <w:r w:rsidRPr="00CE7329">
        <w:rPr>
          <w:rFonts w:cs="Times New Roman"/>
          <w:bCs/>
          <w:i/>
        </w:rPr>
        <w:t>Raport dla KE 2013)</w:t>
      </w:r>
    </w:p>
    <w:p w:rsidR="005270A2" w:rsidRDefault="005270A2" w:rsidP="005270A2">
      <w:pPr>
        <w:pStyle w:val="Tekstpodstawowy"/>
        <w:spacing w:after="0" w:line="240" w:lineRule="auto"/>
        <w:jc w:val="both"/>
        <w:rPr>
          <w:rFonts w:ascii="Times New Roman" w:hAnsi="Times New Roman"/>
          <w:bCs/>
          <w:i/>
        </w:rPr>
      </w:pPr>
    </w:p>
    <w:tbl>
      <w:tblPr>
        <w:tblStyle w:val="Tabela-Siatka"/>
        <w:tblW w:w="9640" w:type="dxa"/>
        <w:tblInd w:w="-176" w:type="dxa"/>
        <w:tblLayout w:type="fixed"/>
        <w:tblLook w:val="04A0" w:firstRow="1" w:lastRow="0" w:firstColumn="1" w:lastColumn="0" w:noHBand="0" w:noVBand="1"/>
      </w:tblPr>
      <w:tblGrid>
        <w:gridCol w:w="1844"/>
        <w:gridCol w:w="1984"/>
        <w:gridCol w:w="1843"/>
        <w:gridCol w:w="1134"/>
        <w:gridCol w:w="709"/>
        <w:gridCol w:w="2126"/>
      </w:tblGrid>
      <w:tr w:rsidR="005270A2" w:rsidRPr="00BD5604" w:rsidTr="00CE7329">
        <w:tc>
          <w:tcPr>
            <w:tcW w:w="1844" w:type="dxa"/>
            <w:vMerge w:val="restart"/>
            <w:shd w:val="clear" w:color="auto" w:fill="C6D9F1" w:themeFill="text2" w:themeFillTint="33"/>
            <w:vAlign w:val="center"/>
          </w:tcPr>
          <w:p w:rsidR="005270A2" w:rsidRPr="00CE7329" w:rsidRDefault="005270A2" w:rsidP="005270A2">
            <w:pPr>
              <w:spacing w:after="200" w:line="276" w:lineRule="auto"/>
              <w:jc w:val="center"/>
              <w:rPr>
                <w:rFonts w:asciiTheme="minorHAnsi" w:hAnsiTheme="minorHAnsi"/>
              </w:rPr>
            </w:pPr>
            <w:r w:rsidRPr="00CE7329">
              <w:rPr>
                <w:rFonts w:asciiTheme="minorHAnsi" w:hAnsiTheme="minorHAnsi"/>
              </w:rPr>
              <w:t>Grupy gatunków/typów siedlisk przyrodniczych</w:t>
            </w:r>
          </w:p>
        </w:tc>
        <w:tc>
          <w:tcPr>
            <w:tcW w:w="7796" w:type="dxa"/>
            <w:gridSpan w:val="5"/>
            <w:shd w:val="clear" w:color="auto" w:fill="C6D9F1" w:themeFill="text2" w:themeFillTint="33"/>
            <w:vAlign w:val="center"/>
          </w:tcPr>
          <w:p w:rsidR="005270A2" w:rsidRPr="00CE7329" w:rsidRDefault="005270A2" w:rsidP="005270A2">
            <w:pPr>
              <w:spacing w:after="200" w:line="276" w:lineRule="auto"/>
              <w:jc w:val="center"/>
              <w:rPr>
                <w:rFonts w:asciiTheme="minorHAnsi" w:hAnsiTheme="minorHAnsi"/>
              </w:rPr>
            </w:pPr>
            <w:r w:rsidRPr="00CE7329">
              <w:rPr>
                <w:rFonts w:asciiTheme="minorHAnsi" w:hAnsiTheme="minorHAnsi"/>
              </w:rPr>
              <w:t xml:space="preserve">Liczba gatunków/ typów siedlisk przyrodniczych </w:t>
            </w:r>
          </w:p>
        </w:tc>
      </w:tr>
      <w:tr w:rsidR="005270A2" w:rsidRPr="00BD5604" w:rsidTr="00CE7329">
        <w:tc>
          <w:tcPr>
            <w:tcW w:w="1844" w:type="dxa"/>
            <w:vMerge/>
            <w:shd w:val="clear" w:color="auto" w:fill="C6D9F1" w:themeFill="text2" w:themeFillTint="33"/>
            <w:vAlign w:val="center"/>
          </w:tcPr>
          <w:p w:rsidR="005270A2" w:rsidRPr="00CE7329" w:rsidRDefault="005270A2" w:rsidP="005270A2">
            <w:pPr>
              <w:ind w:firstLine="709"/>
              <w:jc w:val="center"/>
              <w:rPr>
                <w:rFonts w:asciiTheme="minorHAnsi" w:hAnsiTheme="minorHAnsi"/>
              </w:rPr>
            </w:pPr>
          </w:p>
        </w:tc>
        <w:tc>
          <w:tcPr>
            <w:tcW w:w="1984" w:type="dxa"/>
            <w:shd w:val="clear" w:color="auto" w:fill="C6D9F1" w:themeFill="text2" w:themeFillTint="33"/>
            <w:vAlign w:val="center"/>
          </w:tcPr>
          <w:p w:rsidR="005270A2" w:rsidRPr="00CE7329" w:rsidRDefault="005270A2" w:rsidP="005270A2">
            <w:pPr>
              <w:jc w:val="center"/>
              <w:rPr>
                <w:rFonts w:asciiTheme="minorHAnsi" w:hAnsiTheme="minorHAnsi"/>
              </w:rPr>
            </w:pPr>
            <w:r w:rsidRPr="00CE7329">
              <w:rPr>
                <w:rFonts w:asciiTheme="minorHAnsi" w:hAnsiTheme="minorHAnsi"/>
              </w:rPr>
              <w:t>Alpejski</w:t>
            </w:r>
          </w:p>
          <w:p w:rsidR="005270A2" w:rsidRPr="00CE7329" w:rsidRDefault="005270A2" w:rsidP="005270A2">
            <w:pPr>
              <w:jc w:val="center"/>
              <w:rPr>
                <w:rFonts w:asciiTheme="minorHAnsi" w:hAnsiTheme="minorHAnsi"/>
              </w:rPr>
            </w:pPr>
            <w:r w:rsidRPr="00CE7329">
              <w:rPr>
                <w:rFonts w:asciiTheme="minorHAnsi" w:hAnsiTheme="minorHAnsi"/>
              </w:rPr>
              <w:t>Region Biogeograficzny</w:t>
            </w:r>
          </w:p>
        </w:tc>
        <w:tc>
          <w:tcPr>
            <w:tcW w:w="1843" w:type="dxa"/>
            <w:shd w:val="clear" w:color="auto" w:fill="C6D9F1" w:themeFill="text2" w:themeFillTint="33"/>
            <w:vAlign w:val="center"/>
          </w:tcPr>
          <w:p w:rsidR="005270A2" w:rsidRPr="00CE7329" w:rsidRDefault="005270A2" w:rsidP="005270A2">
            <w:pPr>
              <w:jc w:val="center"/>
              <w:rPr>
                <w:rFonts w:asciiTheme="minorHAnsi" w:hAnsiTheme="minorHAnsi"/>
              </w:rPr>
            </w:pPr>
            <w:r w:rsidRPr="00CE7329">
              <w:rPr>
                <w:rFonts w:asciiTheme="minorHAnsi" w:hAnsiTheme="minorHAnsi"/>
              </w:rPr>
              <w:t>Kontynentalny</w:t>
            </w:r>
          </w:p>
          <w:p w:rsidR="005270A2" w:rsidRPr="00CE7329" w:rsidRDefault="005270A2" w:rsidP="005270A2">
            <w:pPr>
              <w:jc w:val="center"/>
              <w:rPr>
                <w:rFonts w:asciiTheme="minorHAnsi" w:hAnsiTheme="minorHAnsi"/>
              </w:rPr>
            </w:pPr>
            <w:r w:rsidRPr="00CE7329">
              <w:rPr>
                <w:rFonts w:asciiTheme="minorHAnsi" w:hAnsiTheme="minorHAnsi"/>
              </w:rPr>
              <w:t>Region Biogeograficzny</w:t>
            </w:r>
          </w:p>
        </w:tc>
        <w:tc>
          <w:tcPr>
            <w:tcW w:w="1134" w:type="dxa"/>
            <w:shd w:val="clear" w:color="auto" w:fill="C6D9F1" w:themeFill="text2" w:themeFillTint="33"/>
            <w:vAlign w:val="center"/>
          </w:tcPr>
          <w:p w:rsidR="005270A2" w:rsidRPr="00CE7329" w:rsidRDefault="005270A2" w:rsidP="005270A2">
            <w:pPr>
              <w:jc w:val="center"/>
              <w:rPr>
                <w:rFonts w:asciiTheme="minorHAnsi" w:hAnsiTheme="minorHAnsi"/>
              </w:rPr>
            </w:pPr>
            <w:r w:rsidRPr="00CE7329">
              <w:rPr>
                <w:rFonts w:asciiTheme="minorHAnsi" w:hAnsiTheme="minorHAnsi"/>
              </w:rPr>
              <w:t>Morski obszar Morza Bałtyckiego</w:t>
            </w:r>
          </w:p>
        </w:tc>
        <w:tc>
          <w:tcPr>
            <w:tcW w:w="709" w:type="dxa"/>
            <w:shd w:val="clear" w:color="auto" w:fill="C6D9F1" w:themeFill="text2" w:themeFillTint="33"/>
            <w:vAlign w:val="center"/>
          </w:tcPr>
          <w:p w:rsidR="005270A2" w:rsidRPr="00CE7329" w:rsidRDefault="005270A2" w:rsidP="005270A2">
            <w:pPr>
              <w:jc w:val="center"/>
              <w:rPr>
                <w:rFonts w:asciiTheme="minorHAnsi" w:hAnsiTheme="minorHAnsi"/>
              </w:rPr>
            </w:pPr>
            <w:r w:rsidRPr="00CE7329">
              <w:rPr>
                <w:rFonts w:asciiTheme="minorHAnsi" w:hAnsiTheme="minorHAnsi"/>
              </w:rPr>
              <w:t>Cały kraj</w:t>
            </w:r>
          </w:p>
        </w:tc>
        <w:tc>
          <w:tcPr>
            <w:tcW w:w="2126" w:type="dxa"/>
            <w:shd w:val="clear" w:color="auto" w:fill="C6D9F1" w:themeFill="text2" w:themeFillTint="33"/>
            <w:vAlign w:val="center"/>
          </w:tcPr>
          <w:p w:rsidR="005270A2" w:rsidRPr="00CE7329" w:rsidRDefault="005270A2" w:rsidP="005270A2">
            <w:pPr>
              <w:jc w:val="center"/>
              <w:rPr>
                <w:rFonts w:asciiTheme="minorHAnsi" w:hAnsiTheme="minorHAnsi"/>
              </w:rPr>
            </w:pPr>
            <w:r w:rsidRPr="00CE7329">
              <w:rPr>
                <w:rFonts w:asciiTheme="minorHAnsi" w:hAnsiTheme="minorHAnsi"/>
              </w:rPr>
              <w:t>W tym gatunki/siedliska przyrodnicze o znaczeniu priorytetowym dla UE</w:t>
            </w:r>
          </w:p>
        </w:tc>
      </w:tr>
      <w:tr w:rsidR="005270A2" w:rsidRPr="00BD5604" w:rsidTr="005270A2">
        <w:tc>
          <w:tcPr>
            <w:tcW w:w="1844" w:type="dxa"/>
            <w:vAlign w:val="center"/>
          </w:tcPr>
          <w:p w:rsidR="005270A2" w:rsidRPr="00CE7329" w:rsidRDefault="005270A2" w:rsidP="005270A2">
            <w:pPr>
              <w:rPr>
                <w:rFonts w:asciiTheme="minorHAnsi" w:hAnsiTheme="minorHAnsi"/>
              </w:rPr>
            </w:pPr>
            <w:r w:rsidRPr="00CE7329">
              <w:rPr>
                <w:rFonts w:asciiTheme="minorHAnsi" w:hAnsiTheme="minorHAnsi"/>
              </w:rPr>
              <w:t>Siedliska przyrodnicze</w:t>
            </w:r>
          </w:p>
        </w:tc>
        <w:tc>
          <w:tcPr>
            <w:tcW w:w="1984" w:type="dxa"/>
            <w:vAlign w:val="center"/>
          </w:tcPr>
          <w:p w:rsidR="005270A2" w:rsidRPr="00CE7329" w:rsidRDefault="005270A2" w:rsidP="005270A2">
            <w:pPr>
              <w:jc w:val="center"/>
              <w:rPr>
                <w:rFonts w:asciiTheme="minorHAnsi" w:hAnsiTheme="minorHAnsi"/>
              </w:rPr>
            </w:pPr>
            <w:r w:rsidRPr="00CE7329">
              <w:rPr>
                <w:rFonts w:asciiTheme="minorHAnsi" w:hAnsiTheme="minorHAnsi"/>
              </w:rPr>
              <w:t>41</w:t>
            </w:r>
          </w:p>
          <w:p w:rsidR="005270A2" w:rsidRPr="00CE7329" w:rsidRDefault="005270A2" w:rsidP="005270A2">
            <w:pPr>
              <w:jc w:val="center"/>
              <w:rPr>
                <w:rFonts w:asciiTheme="minorHAnsi" w:hAnsiTheme="minorHAnsi"/>
              </w:rPr>
            </w:pPr>
            <w:r w:rsidRPr="00CE7329">
              <w:rPr>
                <w:rFonts w:asciiTheme="minorHAnsi" w:hAnsiTheme="minorHAnsi"/>
              </w:rPr>
              <w:t>40* dane z 2010 r.</w:t>
            </w:r>
          </w:p>
        </w:tc>
        <w:tc>
          <w:tcPr>
            <w:tcW w:w="1843" w:type="dxa"/>
            <w:vAlign w:val="center"/>
          </w:tcPr>
          <w:p w:rsidR="005270A2" w:rsidRPr="00CE7329" w:rsidRDefault="005270A2" w:rsidP="005270A2">
            <w:pPr>
              <w:jc w:val="center"/>
              <w:rPr>
                <w:rFonts w:asciiTheme="minorHAnsi" w:hAnsiTheme="minorHAnsi"/>
              </w:rPr>
            </w:pPr>
            <w:r w:rsidRPr="00CE7329">
              <w:rPr>
                <w:rFonts w:asciiTheme="minorHAnsi" w:hAnsiTheme="minorHAnsi"/>
              </w:rPr>
              <w:t>71</w:t>
            </w:r>
          </w:p>
          <w:p w:rsidR="005270A2" w:rsidRPr="00CE7329" w:rsidRDefault="005270A2" w:rsidP="005270A2">
            <w:pPr>
              <w:jc w:val="center"/>
              <w:rPr>
                <w:rFonts w:asciiTheme="minorHAnsi" w:hAnsiTheme="minorHAnsi"/>
              </w:rPr>
            </w:pPr>
            <w:r w:rsidRPr="00CE7329">
              <w:rPr>
                <w:rFonts w:asciiTheme="minorHAnsi" w:hAnsiTheme="minorHAnsi"/>
              </w:rPr>
              <w:t>73* dane z 2010 r.</w:t>
            </w:r>
          </w:p>
        </w:tc>
        <w:tc>
          <w:tcPr>
            <w:tcW w:w="1134" w:type="dxa"/>
            <w:vAlign w:val="center"/>
          </w:tcPr>
          <w:p w:rsidR="005270A2" w:rsidRPr="00CE7329" w:rsidRDefault="005270A2" w:rsidP="005270A2">
            <w:pPr>
              <w:jc w:val="center"/>
              <w:rPr>
                <w:rFonts w:asciiTheme="minorHAnsi" w:hAnsiTheme="minorHAnsi"/>
              </w:rPr>
            </w:pPr>
            <w:r w:rsidRPr="00CE7329">
              <w:rPr>
                <w:rFonts w:asciiTheme="minorHAnsi" w:hAnsiTheme="minorHAnsi"/>
              </w:rPr>
              <w:t>4</w:t>
            </w:r>
          </w:p>
          <w:p w:rsidR="005270A2" w:rsidRPr="00CE7329" w:rsidRDefault="005270A2" w:rsidP="005270A2">
            <w:pPr>
              <w:jc w:val="center"/>
              <w:rPr>
                <w:rFonts w:asciiTheme="minorHAnsi" w:hAnsiTheme="minorHAnsi"/>
              </w:rPr>
            </w:pPr>
            <w:r w:rsidRPr="00CE7329">
              <w:rPr>
                <w:rFonts w:asciiTheme="minorHAnsi" w:hAnsiTheme="minorHAnsi"/>
              </w:rPr>
              <w:t>2* dane z 2010 r.</w:t>
            </w:r>
          </w:p>
        </w:tc>
        <w:tc>
          <w:tcPr>
            <w:tcW w:w="709" w:type="dxa"/>
            <w:vAlign w:val="center"/>
          </w:tcPr>
          <w:p w:rsidR="005270A2" w:rsidRPr="00CE7329" w:rsidRDefault="005270A2" w:rsidP="005270A2">
            <w:pPr>
              <w:jc w:val="center"/>
              <w:rPr>
                <w:rFonts w:asciiTheme="minorHAnsi" w:hAnsiTheme="minorHAnsi"/>
              </w:rPr>
            </w:pPr>
            <w:r w:rsidRPr="00CE7329">
              <w:rPr>
                <w:rFonts w:asciiTheme="minorHAnsi" w:hAnsiTheme="minorHAnsi"/>
              </w:rPr>
              <w:t>81</w:t>
            </w:r>
          </w:p>
        </w:tc>
        <w:tc>
          <w:tcPr>
            <w:tcW w:w="2126" w:type="dxa"/>
            <w:vAlign w:val="center"/>
          </w:tcPr>
          <w:p w:rsidR="005270A2" w:rsidRPr="00CE7329" w:rsidRDefault="005270A2" w:rsidP="005270A2">
            <w:pPr>
              <w:jc w:val="center"/>
              <w:rPr>
                <w:rFonts w:asciiTheme="minorHAnsi" w:hAnsiTheme="minorHAnsi"/>
              </w:rPr>
            </w:pPr>
            <w:r w:rsidRPr="00CE7329">
              <w:rPr>
                <w:rFonts w:asciiTheme="minorHAnsi" w:hAnsiTheme="minorHAnsi"/>
              </w:rPr>
              <w:t>18</w:t>
            </w:r>
          </w:p>
        </w:tc>
      </w:tr>
      <w:tr w:rsidR="005270A2" w:rsidRPr="00BD5604" w:rsidTr="005270A2">
        <w:tc>
          <w:tcPr>
            <w:tcW w:w="1844" w:type="dxa"/>
            <w:vAlign w:val="center"/>
          </w:tcPr>
          <w:p w:rsidR="005270A2" w:rsidRPr="00CE7329" w:rsidRDefault="005270A2" w:rsidP="005270A2">
            <w:pPr>
              <w:rPr>
                <w:rFonts w:asciiTheme="minorHAnsi" w:hAnsiTheme="minorHAnsi"/>
              </w:rPr>
            </w:pPr>
            <w:r w:rsidRPr="00CE7329">
              <w:rPr>
                <w:rFonts w:asciiTheme="minorHAnsi" w:hAnsiTheme="minorHAnsi"/>
              </w:rPr>
              <w:t>Rośliny</w:t>
            </w:r>
          </w:p>
        </w:tc>
        <w:tc>
          <w:tcPr>
            <w:tcW w:w="1984" w:type="dxa"/>
            <w:vAlign w:val="center"/>
          </w:tcPr>
          <w:p w:rsidR="005270A2" w:rsidRPr="00CE7329" w:rsidRDefault="005270A2" w:rsidP="005270A2">
            <w:pPr>
              <w:jc w:val="center"/>
              <w:rPr>
                <w:rFonts w:asciiTheme="minorHAnsi" w:hAnsiTheme="minorHAnsi"/>
              </w:rPr>
            </w:pPr>
            <w:r w:rsidRPr="00CE7329">
              <w:rPr>
                <w:rFonts w:asciiTheme="minorHAnsi" w:hAnsiTheme="minorHAnsi"/>
              </w:rPr>
              <w:t>20</w:t>
            </w:r>
          </w:p>
        </w:tc>
        <w:tc>
          <w:tcPr>
            <w:tcW w:w="1843" w:type="dxa"/>
            <w:vAlign w:val="center"/>
          </w:tcPr>
          <w:p w:rsidR="005270A2" w:rsidRPr="00CE7329" w:rsidRDefault="005270A2" w:rsidP="005270A2">
            <w:pPr>
              <w:jc w:val="center"/>
              <w:rPr>
                <w:rFonts w:asciiTheme="minorHAnsi" w:hAnsiTheme="minorHAnsi"/>
              </w:rPr>
            </w:pPr>
            <w:r w:rsidRPr="00CE7329">
              <w:rPr>
                <w:rFonts w:asciiTheme="minorHAnsi" w:hAnsiTheme="minorHAnsi"/>
              </w:rPr>
              <w:t>41</w:t>
            </w:r>
          </w:p>
        </w:tc>
        <w:tc>
          <w:tcPr>
            <w:tcW w:w="1134" w:type="dxa"/>
            <w:vAlign w:val="center"/>
          </w:tcPr>
          <w:p w:rsidR="005270A2" w:rsidRPr="00CE7329" w:rsidRDefault="005270A2" w:rsidP="005270A2">
            <w:pPr>
              <w:jc w:val="center"/>
              <w:rPr>
                <w:rFonts w:asciiTheme="minorHAnsi" w:hAnsiTheme="minorHAnsi"/>
              </w:rPr>
            </w:pPr>
            <w:r w:rsidRPr="00CE7329">
              <w:rPr>
                <w:rFonts w:asciiTheme="minorHAnsi" w:hAnsiTheme="minorHAnsi"/>
              </w:rPr>
              <w:t>–</w:t>
            </w:r>
          </w:p>
        </w:tc>
        <w:tc>
          <w:tcPr>
            <w:tcW w:w="709" w:type="dxa"/>
            <w:vAlign w:val="center"/>
          </w:tcPr>
          <w:p w:rsidR="005270A2" w:rsidRPr="00CE7329" w:rsidRDefault="005270A2" w:rsidP="005270A2">
            <w:pPr>
              <w:jc w:val="center"/>
              <w:rPr>
                <w:rFonts w:asciiTheme="minorHAnsi" w:hAnsiTheme="minorHAnsi"/>
              </w:rPr>
            </w:pPr>
            <w:r w:rsidRPr="00CE7329">
              <w:rPr>
                <w:rFonts w:asciiTheme="minorHAnsi" w:hAnsiTheme="minorHAnsi"/>
              </w:rPr>
              <w:t>48</w:t>
            </w:r>
          </w:p>
        </w:tc>
        <w:tc>
          <w:tcPr>
            <w:tcW w:w="2126" w:type="dxa"/>
            <w:vAlign w:val="center"/>
          </w:tcPr>
          <w:p w:rsidR="005270A2" w:rsidRPr="00CE7329" w:rsidRDefault="005270A2" w:rsidP="005270A2">
            <w:pPr>
              <w:jc w:val="center"/>
              <w:rPr>
                <w:rFonts w:asciiTheme="minorHAnsi" w:hAnsiTheme="minorHAnsi"/>
              </w:rPr>
            </w:pPr>
            <w:r w:rsidRPr="00CE7329">
              <w:rPr>
                <w:rFonts w:asciiTheme="minorHAnsi" w:hAnsiTheme="minorHAnsi"/>
              </w:rPr>
              <w:t>10</w:t>
            </w:r>
          </w:p>
        </w:tc>
      </w:tr>
      <w:tr w:rsidR="005270A2" w:rsidRPr="00BD5604" w:rsidTr="005270A2">
        <w:tc>
          <w:tcPr>
            <w:tcW w:w="1844" w:type="dxa"/>
            <w:vAlign w:val="center"/>
          </w:tcPr>
          <w:p w:rsidR="005270A2" w:rsidRPr="00CE7329" w:rsidRDefault="005270A2" w:rsidP="005270A2">
            <w:pPr>
              <w:rPr>
                <w:rFonts w:asciiTheme="minorHAnsi" w:hAnsiTheme="minorHAnsi"/>
              </w:rPr>
            </w:pPr>
            <w:r w:rsidRPr="00CE7329">
              <w:rPr>
                <w:rFonts w:asciiTheme="minorHAnsi" w:hAnsiTheme="minorHAnsi"/>
              </w:rPr>
              <w:t>Zwierzęta</w:t>
            </w:r>
          </w:p>
        </w:tc>
        <w:tc>
          <w:tcPr>
            <w:tcW w:w="1984" w:type="dxa"/>
            <w:vAlign w:val="center"/>
          </w:tcPr>
          <w:p w:rsidR="005270A2" w:rsidRPr="00CE7329" w:rsidRDefault="005270A2" w:rsidP="005270A2">
            <w:pPr>
              <w:jc w:val="center"/>
              <w:rPr>
                <w:rFonts w:asciiTheme="minorHAnsi" w:hAnsiTheme="minorHAnsi"/>
              </w:rPr>
            </w:pPr>
            <w:r w:rsidRPr="00CE7329">
              <w:rPr>
                <w:rFonts w:asciiTheme="minorHAnsi" w:hAnsiTheme="minorHAnsi"/>
              </w:rPr>
              <w:t>89</w:t>
            </w:r>
          </w:p>
        </w:tc>
        <w:tc>
          <w:tcPr>
            <w:tcW w:w="1843" w:type="dxa"/>
            <w:vAlign w:val="center"/>
          </w:tcPr>
          <w:p w:rsidR="005270A2" w:rsidRPr="00CE7329" w:rsidRDefault="005270A2" w:rsidP="005270A2">
            <w:pPr>
              <w:jc w:val="center"/>
              <w:rPr>
                <w:rFonts w:asciiTheme="minorHAnsi" w:hAnsiTheme="minorHAnsi"/>
              </w:rPr>
            </w:pPr>
            <w:r w:rsidRPr="00CE7329">
              <w:rPr>
                <w:rFonts w:asciiTheme="minorHAnsi" w:hAnsiTheme="minorHAnsi"/>
              </w:rPr>
              <w:t>128</w:t>
            </w:r>
          </w:p>
        </w:tc>
        <w:tc>
          <w:tcPr>
            <w:tcW w:w="1134" w:type="dxa"/>
            <w:vAlign w:val="center"/>
          </w:tcPr>
          <w:p w:rsidR="005270A2" w:rsidRPr="00CE7329" w:rsidRDefault="005270A2" w:rsidP="005270A2">
            <w:pPr>
              <w:jc w:val="center"/>
              <w:rPr>
                <w:rFonts w:asciiTheme="minorHAnsi" w:hAnsiTheme="minorHAnsi"/>
              </w:rPr>
            </w:pPr>
            <w:r w:rsidRPr="00CE7329">
              <w:rPr>
                <w:rFonts w:asciiTheme="minorHAnsi" w:hAnsiTheme="minorHAnsi"/>
              </w:rPr>
              <w:t>7</w:t>
            </w:r>
          </w:p>
        </w:tc>
        <w:tc>
          <w:tcPr>
            <w:tcW w:w="709" w:type="dxa"/>
            <w:vAlign w:val="center"/>
          </w:tcPr>
          <w:p w:rsidR="005270A2" w:rsidRPr="00CE7329" w:rsidRDefault="005270A2" w:rsidP="005270A2">
            <w:pPr>
              <w:jc w:val="center"/>
              <w:rPr>
                <w:rFonts w:asciiTheme="minorHAnsi" w:hAnsiTheme="minorHAnsi"/>
              </w:rPr>
            </w:pPr>
            <w:r w:rsidRPr="00CE7329">
              <w:rPr>
                <w:rFonts w:asciiTheme="minorHAnsi" w:hAnsiTheme="minorHAnsi"/>
              </w:rPr>
              <w:t>141</w:t>
            </w:r>
          </w:p>
        </w:tc>
        <w:tc>
          <w:tcPr>
            <w:tcW w:w="2126" w:type="dxa"/>
            <w:vAlign w:val="center"/>
          </w:tcPr>
          <w:p w:rsidR="005270A2" w:rsidRPr="00CE7329" w:rsidRDefault="005270A2" w:rsidP="005270A2">
            <w:pPr>
              <w:jc w:val="center"/>
              <w:rPr>
                <w:rFonts w:asciiTheme="minorHAnsi" w:hAnsiTheme="minorHAnsi"/>
              </w:rPr>
            </w:pPr>
            <w:r w:rsidRPr="00CE7329">
              <w:rPr>
                <w:rFonts w:asciiTheme="minorHAnsi" w:hAnsiTheme="minorHAnsi"/>
              </w:rPr>
              <w:t>12</w:t>
            </w:r>
          </w:p>
        </w:tc>
      </w:tr>
    </w:tbl>
    <w:p w:rsidR="005270A2" w:rsidRDefault="005270A2" w:rsidP="005270A2">
      <w:pPr>
        <w:spacing w:after="0" w:line="240" w:lineRule="auto"/>
        <w:rPr>
          <w:rFonts w:cs="Times New Roman"/>
          <w:b/>
          <w:sz w:val="20"/>
          <w:szCs w:val="20"/>
        </w:rPr>
      </w:pPr>
    </w:p>
    <w:p w:rsidR="005270A2" w:rsidRPr="002316A9" w:rsidRDefault="005270A2" w:rsidP="005270A2">
      <w:pPr>
        <w:jc w:val="both"/>
      </w:pPr>
      <w:r w:rsidRPr="00BD5604">
        <w:t xml:space="preserve">Dyrektywa </w:t>
      </w:r>
      <w:r>
        <w:t>s</w:t>
      </w:r>
      <w:r w:rsidRPr="00BD5604">
        <w:t xml:space="preserve">iedliskowa </w:t>
      </w:r>
      <w:r>
        <w:t>nakłada obowiązek</w:t>
      </w:r>
      <w:r w:rsidRPr="00BD5604">
        <w:t xml:space="preserve"> nadzorowania stanu ochrony </w:t>
      </w:r>
      <w:r>
        <w:t>ważnych dla UE</w:t>
      </w:r>
      <w:r w:rsidRPr="00BD5604">
        <w:t xml:space="preserve"> siedlisk przyrodniczych i gatunków występujących w danym kraju. </w:t>
      </w:r>
      <w:r>
        <w:t>Monitorowany jest</w:t>
      </w:r>
      <w:r w:rsidRPr="00BD5604">
        <w:t xml:space="preserve"> nie tylko ich aktualny stan zachowania, </w:t>
      </w:r>
      <w:r>
        <w:t>lecz także</w:t>
      </w:r>
      <w:r w:rsidRPr="00BD5604">
        <w:t xml:space="preserve"> perspektywy ochrony w dającej się przewidzieć przyszłości</w:t>
      </w:r>
      <w:r>
        <w:t xml:space="preserve">. </w:t>
      </w:r>
      <w:r w:rsidRPr="000423DF">
        <w:t xml:space="preserve">Od 2006 </w:t>
      </w:r>
      <w:r>
        <w:t xml:space="preserve">r. </w:t>
      </w:r>
      <w:r w:rsidRPr="000423DF">
        <w:t>prowadzony jest monitoring gatunków i</w:t>
      </w:r>
      <w:r>
        <w:t> </w:t>
      </w:r>
      <w:r w:rsidRPr="000423DF">
        <w:t xml:space="preserve">siedlisk przyrodniczych ze szczególnym uwzględnieniem specjalnych obszarów Natura 2000w ramach Państwowego Monitoringu Środowiska. Głównym celem </w:t>
      </w:r>
      <w:r>
        <w:t xml:space="preserve">monitoringu </w:t>
      </w:r>
      <w:r w:rsidRPr="000423DF">
        <w:t xml:space="preserve">jest pozyskiwanie danych, pozwalających na </w:t>
      </w:r>
      <w:r w:rsidRPr="002C7D8D">
        <w:rPr>
          <w:b/>
        </w:rPr>
        <w:t>ocenę stanu ochrony</w:t>
      </w:r>
      <w:r w:rsidRPr="000423DF">
        <w:t xml:space="preserve"> (kondycji) m</w:t>
      </w:r>
      <w:r>
        <w:t>onitorowanych typów siedlisk i </w:t>
      </w:r>
      <w:r w:rsidRPr="000423DF">
        <w:t xml:space="preserve">gatunków. </w:t>
      </w:r>
    </w:p>
    <w:p w:rsidR="005270A2" w:rsidRDefault="005270A2" w:rsidP="005270A2">
      <w:pPr>
        <w:tabs>
          <w:tab w:val="left" w:pos="6456"/>
        </w:tabs>
        <w:jc w:val="both"/>
      </w:pPr>
      <w:r>
        <w:t>B</w:t>
      </w:r>
      <w:r w:rsidRPr="002316A9">
        <w:t xml:space="preserve">adane są wskaźniki dotyczące wielkości i struktury populacji gatunków, jakości siedlisk gatunków oraz powierzchni i stopnia zachowania charakterystycznych cech siedlisk przyrodniczych (czyli różnego typu biotopów). Gromadzone są także informacje o różnego rodzaju zagrożeniach gatunków i siedlisk, a także stosowanych sposobach ich ochrony, pozwalające na określenie perspektyw zachowania gatunków i siedlisk. </w:t>
      </w:r>
      <w:r>
        <w:t xml:space="preserve">Umożliwiają one </w:t>
      </w:r>
      <w:r w:rsidRPr="002316A9">
        <w:t xml:space="preserve">ocenę </w:t>
      </w:r>
      <w:r>
        <w:t xml:space="preserve">wybranych </w:t>
      </w:r>
      <w:r w:rsidRPr="002316A9">
        <w:t xml:space="preserve">parametrów stanu ochrony oraz perspektyw ochrony gatunku </w:t>
      </w:r>
      <w:r>
        <w:t xml:space="preserve">i </w:t>
      </w:r>
      <w:r w:rsidRPr="002316A9">
        <w:t>siedliska przyrodniczego</w:t>
      </w:r>
      <w:r>
        <w:t>.</w:t>
      </w:r>
      <w:r w:rsidRPr="002316A9">
        <w:t xml:space="preserve"> </w:t>
      </w:r>
      <w:r>
        <w:t>Dla większości gatunków i </w:t>
      </w:r>
      <w:r w:rsidRPr="002316A9">
        <w:t>siedlisk prace monitoringowe prowadzone są z częstotliwością raz na 6 lat, a w przypadku typów siedlisk podlegających szybkim zmianom i gatunków o negatywnych trendach w populacjach lub</w:t>
      </w:r>
      <w:r>
        <w:t> </w:t>
      </w:r>
      <w:r w:rsidRPr="002316A9">
        <w:t>związanych z niestabilnymi siedliskami, co</w:t>
      </w:r>
      <w:r w:rsidRPr="002316A9" w:rsidDel="00944B43">
        <w:t xml:space="preserve"> </w:t>
      </w:r>
      <w:r w:rsidRPr="002316A9">
        <w:t>3 lata. W oparciu o wyniki badań monitoringowych na stanowiskach ocenia się stan ochrony gatunków i siedlisk przyrodniczych w regionach biogeograficznych.</w:t>
      </w:r>
      <w:r>
        <w:t xml:space="preserve"> </w:t>
      </w:r>
    </w:p>
    <w:p w:rsidR="005270A2" w:rsidRDefault="005270A2" w:rsidP="005270A2">
      <w:pPr>
        <w:tabs>
          <w:tab w:val="left" w:pos="6456"/>
        </w:tabs>
        <w:jc w:val="both"/>
      </w:pPr>
      <w:r>
        <w:t xml:space="preserve">W Polsce występują dwa regiony </w:t>
      </w:r>
      <w:r w:rsidRPr="00E00AE4">
        <w:t>biogeograficzne: kontynentalny i alpejski. Według ostatniego raportu dla Komisji Europejskiej sporządzonego przez w 2013 r. i</w:t>
      </w:r>
      <w:r>
        <w:t xml:space="preserve"> obejmującego okres 2007-2012</w:t>
      </w:r>
      <w:r w:rsidRPr="00D372EF">
        <w:t xml:space="preserve"> r.</w:t>
      </w:r>
      <w:r>
        <w:rPr>
          <w:rStyle w:val="Odwoanieprzypisudolnego"/>
        </w:rPr>
        <w:footnoteReference w:id="56"/>
      </w:r>
      <w:r w:rsidRPr="00D372EF">
        <w:t xml:space="preserve"> </w:t>
      </w:r>
      <w:r>
        <w:t>(</w:t>
      </w:r>
      <w:r w:rsidRPr="00D372EF">
        <w:t>częś</w:t>
      </w:r>
      <w:r>
        <w:t>ć</w:t>
      </w:r>
      <w:r w:rsidRPr="00D372EF">
        <w:t xml:space="preserve"> dotycząc</w:t>
      </w:r>
      <w:r>
        <w:t>a</w:t>
      </w:r>
      <w:r w:rsidRPr="00D372EF">
        <w:t xml:space="preserve"> stanu ochrony</w:t>
      </w:r>
      <w:r>
        <w:t>, dane zebrane w ramach Państwowego Monitoringu Środowiska)</w:t>
      </w:r>
      <w:r w:rsidRPr="00D372EF">
        <w:t xml:space="preserve"> zdecydowanie lepszy</w:t>
      </w:r>
      <w:r>
        <w:t>m</w:t>
      </w:r>
      <w:r w:rsidRPr="00D372EF">
        <w:t xml:space="preserve"> stan</w:t>
      </w:r>
      <w:r>
        <w:t>em</w:t>
      </w:r>
      <w:r w:rsidRPr="00D372EF">
        <w:t xml:space="preserve"> ochrony </w:t>
      </w:r>
      <w:r>
        <w:t xml:space="preserve">charakteryzowały się </w:t>
      </w:r>
      <w:r w:rsidRPr="00D372EF">
        <w:t>gatun</w:t>
      </w:r>
      <w:r>
        <w:t>ki</w:t>
      </w:r>
      <w:r w:rsidRPr="00D372EF">
        <w:t xml:space="preserve"> i siedlisk</w:t>
      </w:r>
      <w:r>
        <w:t>a</w:t>
      </w:r>
      <w:r w:rsidRPr="00D372EF">
        <w:t xml:space="preserve"> w regionie alpejskim (Karpaty), stanowiącym jednak tylko 3% lądowej powierzchni kraju</w:t>
      </w:r>
      <w:r w:rsidRPr="001446C0">
        <w:rPr>
          <w:vertAlign w:val="superscript"/>
        </w:rPr>
        <w:footnoteReference w:id="57"/>
      </w:r>
      <w:r w:rsidRPr="00D372EF">
        <w:t xml:space="preserve">. Wynika to przede wszystkim z </w:t>
      </w:r>
      <w:r w:rsidRPr="00D372EF">
        <w:lastRenderedPageBreak/>
        <w:t>charakterystycznych dla tego regionu niedostępności terenów wysokogórskich, także terenów trudniejszych do gospodarowania oraz na dużej części podlegających ochronie obszarowej, a zatem o dużo mniejszej antropopresji niż w regionie kontynentalnym. Na terenie regionu kontynentalnego (97% powierzchni lądowej Polski) większość siedlisk i gatunków jest w niezadowalającym stanie ochrony (U1).</w:t>
      </w:r>
      <w:r>
        <w:t xml:space="preserve"> </w:t>
      </w:r>
    </w:p>
    <w:p w:rsidR="005270A2" w:rsidRPr="00CE7329" w:rsidRDefault="005270A2" w:rsidP="005270A2">
      <w:r w:rsidRPr="00A269AF">
        <w:rPr>
          <w:rFonts w:ascii="Times New Roman" w:hAnsi="Times New Roman" w:cs="Times New Roman"/>
          <w:i/>
          <w:iCs/>
          <w:noProof/>
          <w:sz w:val="24"/>
          <w:szCs w:val="24"/>
          <w:lang w:eastAsia="pl-PL"/>
        </w:rPr>
        <w:drawing>
          <wp:inline distT="0" distB="0" distL="0" distR="0" wp14:anchorId="3BD6CF92" wp14:editId="3AE5FB37">
            <wp:extent cx="5760720" cy="4075352"/>
            <wp:effectExtent l="0" t="0" r="0" b="1905"/>
            <wp:docPr id="40"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4B6310">
        <w:rPr>
          <w:rFonts w:ascii="Times New Roman" w:hAnsi="Times New Roman" w:cs="Times New Roman"/>
          <w:i/>
          <w:sz w:val="24"/>
          <w:szCs w:val="24"/>
        </w:rPr>
        <w:t xml:space="preserve"> </w:t>
      </w:r>
      <w:r w:rsidR="00CE7329">
        <w:rPr>
          <w:rFonts w:cs="Times New Roman"/>
          <w:i/>
        </w:rPr>
        <w:t xml:space="preserve">Rys. </w:t>
      </w:r>
      <w:r w:rsidR="001E35FE">
        <w:rPr>
          <w:rFonts w:cs="Times New Roman"/>
          <w:i/>
        </w:rPr>
        <w:t>8</w:t>
      </w:r>
      <w:r w:rsidR="00CE7329">
        <w:rPr>
          <w:rFonts w:cs="Times New Roman"/>
          <w:i/>
        </w:rPr>
        <w:t xml:space="preserve">.2. </w:t>
      </w:r>
      <w:r w:rsidRPr="00CE7329">
        <w:rPr>
          <w:rFonts w:cs="Times New Roman"/>
          <w:i/>
        </w:rPr>
        <w:t xml:space="preserve"> Stan ochrony gatunków i siedlisk przyrodniczych w regionach biogeograficznych i morskim obszarze Morza Bałtyckiego (źródło: GIOŚ/PMŚ, </w:t>
      </w:r>
      <w:r w:rsidRPr="00CE7329">
        <w:rPr>
          <w:rFonts w:cs="Times New Roman"/>
          <w:bCs/>
          <w:i/>
        </w:rPr>
        <w:t>Raport dla KE 2013)</w:t>
      </w:r>
    </w:p>
    <w:p w:rsidR="005270A2" w:rsidRDefault="005270A2" w:rsidP="00CE7329">
      <w:pPr>
        <w:spacing w:after="0"/>
        <w:jc w:val="both"/>
        <w:rPr>
          <w:rFonts w:eastAsia="Times New Roman" w:cs="Times New Roman"/>
          <w:lang w:eastAsia="pl-PL"/>
        </w:rPr>
      </w:pPr>
      <w:r>
        <w:rPr>
          <w:rFonts w:eastAsia="Times New Roman" w:cs="Times New Roman"/>
          <w:lang w:eastAsia="pl-PL"/>
        </w:rPr>
        <w:t>Reasumując wyniki powyższego raportu dla KE, a także ostatnie wyniki monitoringu (2013–2016) w przypadku zwierząt, należy zwrócić uwagę na następujące fakty:</w:t>
      </w:r>
    </w:p>
    <w:p w:rsidR="005270A2" w:rsidRPr="00656641" w:rsidRDefault="005270A2" w:rsidP="00CE7329">
      <w:pPr>
        <w:pStyle w:val="Akapitzlist"/>
        <w:numPr>
          <w:ilvl w:val="0"/>
          <w:numId w:val="19"/>
        </w:numPr>
        <w:spacing w:before="100" w:beforeAutospacing="1" w:after="100" w:afterAutospacing="1"/>
        <w:jc w:val="both"/>
        <w:rPr>
          <w:rFonts w:cstheme="minorHAnsi"/>
        </w:rPr>
      </w:pPr>
      <w:r>
        <w:rPr>
          <w:rFonts w:cstheme="minorHAnsi"/>
        </w:rPr>
        <w:t>Z</w:t>
      </w:r>
      <w:r w:rsidRPr="00656641">
        <w:rPr>
          <w:rFonts w:cstheme="minorHAnsi"/>
        </w:rPr>
        <w:t>wraca uwagę dość duży udział (blisko jedna trzecia) gatunków zwierząt znajdujących się we właściwym stanie ochrony (FV), co wskazuje na znaczenie Polski w ich ochronie jako gatunków zagrożonych w skali europejs</w:t>
      </w:r>
      <w:r w:rsidR="00CE7329">
        <w:rPr>
          <w:rFonts w:cstheme="minorHAnsi"/>
        </w:rPr>
        <w:t xml:space="preserve">kiej. </w:t>
      </w:r>
      <w:r w:rsidRPr="00656641">
        <w:rPr>
          <w:rFonts w:cstheme="minorHAnsi"/>
        </w:rPr>
        <w:t>Ponadto, wiedza o wielu gatunkach zwierząt nadal jest niepełna, zwłaszcza w regionie alpejskim</w:t>
      </w:r>
      <w:r>
        <w:rPr>
          <w:rFonts w:cstheme="minorHAnsi"/>
        </w:rPr>
        <w:t>.</w:t>
      </w:r>
      <w:r w:rsidRPr="00656641">
        <w:rPr>
          <w:rFonts w:cstheme="minorHAnsi"/>
        </w:rPr>
        <w:t xml:space="preserve"> O niewłaściwej ocenie ogólnej zwierząt (U1 i U2) oprócz </w:t>
      </w:r>
      <w:r>
        <w:rPr>
          <w:rFonts w:cstheme="minorHAnsi"/>
        </w:rPr>
        <w:t>populacji decydował także parametr</w:t>
      </w:r>
      <w:r w:rsidRPr="00656641">
        <w:rPr>
          <w:rFonts w:cstheme="minorHAnsi"/>
        </w:rPr>
        <w:t xml:space="preserve"> siedlisko.</w:t>
      </w:r>
    </w:p>
    <w:p w:rsidR="005270A2" w:rsidRPr="00861937" w:rsidRDefault="005270A2" w:rsidP="00CE7329">
      <w:pPr>
        <w:pStyle w:val="Akapitzlist"/>
        <w:numPr>
          <w:ilvl w:val="0"/>
          <w:numId w:val="19"/>
        </w:numPr>
        <w:spacing w:before="100" w:beforeAutospacing="1" w:after="100" w:afterAutospacing="1"/>
        <w:jc w:val="both"/>
        <w:rPr>
          <w:rFonts w:cstheme="minorHAnsi"/>
        </w:rPr>
      </w:pPr>
      <w:r>
        <w:rPr>
          <w:rFonts w:cstheme="minorHAnsi"/>
        </w:rPr>
        <w:t>Można zauważyć pewne</w:t>
      </w:r>
      <w:r w:rsidRPr="00861937">
        <w:rPr>
          <w:rFonts w:cstheme="minorHAnsi"/>
        </w:rPr>
        <w:t xml:space="preserve"> sukcesy w ich ochronie, </w:t>
      </w:r>
      <w:r>
        <w:rPr>
          <w:rFonts w:cstheme="minorHAnsi"/>
        </w:rPr>
        <w:t>a</w:t>
      </w:r>
      <w:r w:rsidRPr="00861937">
        <w:rPr>
          <w:rFonts w:cstheme="minorHAnsi"/>
        </w:rPr>
        <w:t xml:space="preserve"> sytuacja wielu z nich się przynajmniej nie pogarsza. W </w:t>
      </w:r>
      <w:r>
        <w:rPr>
          <w:rFonts w:cstheme="minorHAnsi"/>
        </w:rPr>
        <w:t>k</w:t>
      </w:r>
      <w:r w:rsidRPr="00861937">
        <w:rPr>
          <w:rFonts w:cstheme="minorHAnsi"/>
        </w:rPr>
        <w:t>raju utrzymują się trzy duże drapieżniki, przy czym ich stan ochrony jest zróżnicowany (najlep</w:t>
      </w:r>
      <w:r>
        <w:rPr>
          <w:rFonts w:cstheme="minorHAnsi"/>
        </w:rPr>
        <w:t>sza sytuacja jest w przypadku</w:t>
      </w:r>
      <w:r w:rsidRPr="00861937">
        <w:rPr>
          <w:rFonts w:cstheme="minorHAnsi"/>
        </w:rPr>
        <w:t xml:space="preserve"> wilk</w:t>
      </w:r>
      <w:r>
        <w:rPr>
          <w:rFonts w:cstheme="minorHAnsi"/>
        </w:rPr>
        <w:t>a, który</w:t>
      </w:r>
      <w:r w:rsidRPr="00861937">
        <w:rPr>
          <w:rFonts w:cstheme="minorHAnsi"/>
        </w:rPr>
        <w:t xml:space="preserve"> zasiedla nowe tereny; populacja niedźwiedzia wydaje się stabilna, natomiast stan rysia budzi pewne obawy</w:t>
      </w:r>
      <w:r>
        <w:rPr>
          <w:rFonts w:cstheme="minorHAnsi"/>
        </w:rPr>
        <w:t>, ze względu</w:t>
      </w:r>
      <w:r w:rsidRPr="00861937">
        <w:rPr>
          <w:rFonts w:cstheme="minorHAnsi"/>
        </w:rPr>
        <w:t xml:space="preserve"> </w:t>
      </w:r>
      <w:r>
        <w:rPr>
          <w:rFonts w:cstheme="minorHAnsi"/>
        </w:rPr>
        <w:t xml:space="preserve">na </w:t>
      </w:r>
      <w:r w:rsidRPr="00861937">
        <w:rPr>
          <w:rFonts w:cstheme="minorHAnsi"/>
        </w:rPr>
        <w:t>populacj</w:t>
      </w:r>
      <w:r>
        <w:rPr>
          <w:rFonts w:cstheme="minorHAnsi"/>
        </w:rPr>
        <w:t>ę</w:t>
      </w:r>
      <w:r w:rsidRPr="00861937">
        <w:rPr>
          <w:rFonts w:cstheme="minorHAnsi"/>
        </w:rPr>
        <w:t xml:space="preserve"> i baz</w:t>
      </w:r>
      <w:r>
        <w:rPr>
          <w:rFonts w:cstheme="minorHAnsi"/>
        </w:rPr>
        <w:t>ę</w:t>
      </w:r>
      <w:r w:rsidRPr="00861937">
        <w:rPr>
          <w:rFonts w:cstheme="minorHAnsi"/>
        </w:rPr>
        <w:t xml:space="preserve"> pokarmow</w:t>
      </w:r>
      <w:r>
        <w:rPr>
          <w:rFonts w:cstheme="minorHAnsi"/>
        </w:rPr>
        <w:t>ą</w:t>
      </w:r>
      <w:r w:rsidRPr="00861937">
        <w:rPr>
          <w:rFonts w:cstheme="minorHAnsi"/>
        </w:rPr>
        <w:t>)</w:t>
      </w:r>
      <w:r>
        <w:rPr>
          <w:rFonts w:cstheme="minorHAnsi"/>
        </w:rPr>
        <w:t>.</w:t>
      </w:r>
      <w:r w:rsidRPr="00861937">
        <w:rPr>
          <w:rFonts w:cstheme="minorHAnsi"/>
        </w:rPr>
        <w:t xml:space="preserve"> W dobrym stanie są również trzy gatunki rzadkich gatunków kręgowców</w:t>
      </w:r>
      <w:r>
        <w:rPr>
          <w:rFonts w:cstheme="minorHAnsi"/>
        </w:rPr>
        <w:t>,</w:t>
      </w:r>
      <w:r w:rsidRPr="00861937">
        <w:rPr>
          <w:rFonts w:cstheme="minorHAnsi"/>
        </w:rPr>
        <w:t xml:space="preserve"> jednak o bardzo ograniczonym występowaniu: świstak i kozica (występuje tylko </w:t>
      </w:r>
      <w:r>
        <w:rPr>
          <w:rFonts w:cstheme="minorHAnsi"/>
        </w:rPr>
        <w:t xml:space="preserve">w </w:t>
      </w:r>
      <w:r w:rsidRPr="00861937">
        <w:rPr>
          <w:rFonts w:cstheme="minorHAnsi"/>
        </w:rPr>
        <w:t>Tatr</w:t>
      </w:r>
      <w:r>
        <w:rPr>
          <w:rFonts w:cstheme="minorHAnsi"/>
        </w:rPr>
        <w:t>ach</w:t>
      </w:r>
      <w:r w:rsidRPr="00861937">
        <w:rPr>
          <w:rFonts w:cstheme="minorHAnsi"/>
        </w:rPr>
        <w:t>) oraz żubr (ma dobra oce</w:t>
      </w:r>
      <w:r>
        <w:rPr>
          <w:rFonts w:cstheme="minorHAnsi"/>
        </w:rPr>
        <w:t>nę w regionie kontynentalnym – w</w:t>
      </w:r>
      <w:r w:rsidRPr="00861937">
        <w:rPr>
          <w:rFonts w:cstheme="minorHAnsi"/>
        </w:rPr>
        <w:t xml:space="preserve"> </w:t>
      </w:r>
      <w:r w:rsidRPr="00861937">
        <w:rPr>
          <w:rFonts w:cstheme="minorHAnsi"/>
        </w:rPr>
        <w:lastRenderedPageBreak/>
        <w:t>Puszczy Białowieskiej, Knyszyńskiej Boreckiej i Mirosławcu)</w:t>
      </w:r>
      <w:r>
        <w:rPr>
          <w:rFonts w:cstheme="minorHAnsi"/>
        </w:rPr>
        <w:t>.</w:t>
      </w:r>
      <w:r w:rsidRPr="00861937">
        <w:rPr>
          <w:rFonts w:cstheme="minorHAnsi"/>
        </w:rPr>
        <w:t xml:space="preserve"> W dobrym stanie jest również 7 gatunków ważek</w:t>
      </w:r>
      <w:r>
        <w:rPr>
          <w:rFonts w:cstheme="minorHAnsi"/>
        </w:rPr>
        <w:t xml:space="preserve">, a także </w:t>
      </w:r>
      <w:r w:rsidRPr="00861937">
        <w:rPr>
          <w:rFonts w:cstheme="minorHAnsi"/>
        </w:rPr>
        <w:t xml:space="preserve"> wiele gatunków nietoperzy. </w:t>
      </w:r>
    </w:p>
    <w:p w:rsidR="005270A2" w:rsidRPr="00217D84" w:rsidRDefault="005270A2" w:rsidP="00CE7329">
      <w:pPr>
        <w:pStyle w:val="Akapitzlist"/>
        <w:numPr>
          <w:ilvl w:val="0"/>
          <w:numId w:val="19"/>
        </w:numPr>
        <w:spacing w:before="100" w:beforeAutospacing="1" w:after="100" w:afterAutospacing="1"/>
        <w:jc w:val="both"/>
        <w:rPr>
          <w:rFonts w:cstheme="minorHAnsi"/>
        </w:rPr>
      </w:pPr>
      <w:r>
        <w:rPr>
          <w:rFonts w:cstheme="minorHAnsi"/>
        </w:rPr>
        <w:t xml:space="preserve">Powodem do obaw może być stan </w:t>
      </w:r>
      <w:r w:rsidRPr="00861937">
        <w:rPr>
          <w:rFonts w:cstheme="minorHAnsi"/>
        </w:rPr>
        <w:t>niektórych gatunków motyli,  takich jak szlaczkoń szafraniec, modraszek eros, strzęp</w:t>
      </w:r>
      <w:r>
        <w:rPr>
          <w:rFonts w:cstheme="minorHAnsi"/>
        </w:rPr>
        <w:t>o</w:t>
      </w:r>
      <w:r w:rsidRPr="00861937">
        <w:rPr>
          <w:rFonts w:cstheme="minorHAnsi"/>
        </w:rPr>
        <w:t>tek hero, modraszek arion</w:t>
      </w:r>
      <w:r>
        <w:rPr>
          <w:rFonts w:cstheme="minorHAnsi"/>
        </w:rPr>
        <w:t xml:space="preserve"> - c</w:t>
      </w:r>
      <w:r w:rsidRPr="00861937">
        <w:rPr>
          <w:rFonts w:cstheme="minorHAnsi"/>
        </w:rPr>
        <w:t>zęściowo odpowiedzialne są zmiany sukcesyjne w siedliskach</w:t>
      </w:r>
      <w:r>
        <w:rPr>
          <w:rFonts w:cstheme="minorHAnsi"/>
        </w:rPr>
        <w:t>. Podobnie</w:t>
      </w:r>
      <w:r w:rsidRPr="00096A43">
        <w:rPr>
          <w:rFonts w:cstheme="minorHAnsi"/>
        </w:rPr>
        <w:t xml:space="preserve"> </w:t>
      </w:r>
      <w:r>
        <w:rPr>
          <w:rFonts w:cstheme="minorHAnsi"/>
        </w:rPr>
        <w:t>sytuacja</w:t>
      </w:r>
      <w:r w:rsidRPr="00861937">
        <w:rPr>
          <w:rFonts w:cstheme="minorHAnsi"/>
        </w:rPr>
        <w:t xml:space="preserve"> chomika europejskiego pogarsza się wraz z i</w:t>
      </w:r>
      <w:r>
        <w:rPr>
          <w:rFonts w:cstheme="minorHAnsi"/>
        </w:rPr>
        <w:t>ntensyfikacją gospodarki rolnej</w:t>
      </w:r>
      <w:r w:rsidRPr="00861937">
        <w:rPr>
          <w:rFonts w:cstheme="minorHAnsi"/>
        </w:rPr>
        <w:t>. Nie we wszystkich przypadkach przyczyny niewłaściwego stanu są</w:t>
      </w:r>
      <w:r>
        <w:rPr>
          <w:rFonts w:cstheme="minorHAnsi"/>
        </w:rPr>
        <w:t xml:space="preserve"> jednak </w:t>
      </w:r>
      <w:r w:rsidRPr="00861937">
        <w:rPr>
          <w:rFonts w:cstheme="minorHAnsi"/>
        </w:rPr>
        <w:t>jasne</w:t>
      </w:r>
      <w:r>
        <w:rPr>
          <w:rFonts w:cstheme="minorHAnsi"/>
        </w:rPr>
        <w:t>.</w:t>
      </w:r>
      <w:r w:rsidRPr="00861937">
        <w:rPr>
          <w:rFonts w:cstheme="minorHAnsi"/>
        </w:rPr>
        <w:t xml:space="preserve"> Stan niektórych gatunków związanych ze środowiskiem wodno-błotnym: rak szlachetny (różne przyczyny), skójka gruboskorupowa (różne przyczyny, w tym zanieczyszczenie wód), strzebla błotna (zarastanie i wypłycanie zbiorników wodnych), zatoczek łamliwy (trudno jednoznacznie określić przyczyny), żółw błotny (drapieżnictwo, kłusownictwo, sukcesja roślinna na legowiskach)</w:t>
      </w:r>
      <w:r>
        <w:rPr>
          <w:rFonts w:cstheme="minorHAnsi"/>
        </w:rPr>
        <w:t xml:space="preserve"> jest również niepokojący</w:t>
      </w:r>
      <w:r w:rsidRPr="00861937">
        <w:rPr>
          <w:rFonts w:cstheme="minorHAnsi"/>
        </w:rPr>
        <w:t xml:space="preserve">. </w:t>
      </w:r>
      <w:r>
        <w:rPr>
          <w:rFonts w:cstheme="minorHAnsi"/>
        </w:rPr>
        <w:t xml:space="preserve">W ocenie niektórych ekspertów </w:t>
      </w:r>
      <w:r w:rsidRPr="00861937">
        <w:rPr>
          <w:rFonts w:cstheme="minorHAnsi"/>
        </w:rPr>
        <w:t>ogólna sytuacja ichtiofauny jest niezadowalająca z uwagi na negatywne oddziaływania (zanieczyszczenia i regulacje)  odnotowywane powszechnie na Polskich rzekach.</w:t>
      </w:r>
      <w:r>
        <w:rPr>
          <w:rFonts w:cstheme="minorHAnsi"/>
        </w:rPr>
        <w:t xml:space="preserve"> </w:t>
      </w:r>
    </w:p>
    <w:p w:rsidR="005270A2" w:rsidRPr="00217D84" w:rsidRDefault="005270A2" w:rsidP="00CE7329">
      <w:pPr>
        <w:spacing w:after="0"/>
        <w:jc w:val="both"/>
        <w:rPr>
          <w:rFonts w:eastAsia="Times New Roman" w:cstheme="minorHAnsi"/>
          <w:lang w:eastAsia="pl-PL"/>
        </w:rPr>
      </w:pPr>
      <w:r w:rsidRPr="00DE27FF">
        <w:rPr>
          <w:rFonts w:eastAsia="Times New Roman" w:cstheme="minorHAnsi"/>
          <w:lang w:eastAsia="pl-PL"/>
        </w:rPr>
        <w:t>Według raportu do KE z 2013 r.</w:t>
      </w:r>
      <w:r>
        <w:rPr>
          <w:rFonts w:eastAsia="Times New Roman" w:cstheme="minorHAnsi"/>
          <w:lang w:eastAsia="pl-PL"/>
        </w:rPr>
        <w:t xml:space="preserve"> </w:t>
      </w:r>
      <w:r w:rsidRPr="00217D84">
        <w:rPr>
          <w:rFonts w:eastAsia="Times New Roman" w:cstheme="minorHAnsi"/>
          <w:lang w:eastAsia="pl-PL"/>
        </w:rPr>
        <w:t>w obydwu regionach (kontynentalnym i alpejskim) ,,najlepiej zachowane są siedliska zaroślowe, a najgorzej torfowiskowe. W regionie kontynentalnym gorzej ocenione są siedliska łąkowe i murawowe. W przeważającej mierze niewłaściwym stanem ochrony  charakteryzują się też m.in. siedliska nadmorskie. W regionie alpejskim pozytywnie wyróżniają się siedliska naskalne i wysokogórskie (murawy, wyleżyska, ziołorośla), a także siedliska leśne. Należy przy tym podkreślić, że siedliska charakterystyczne dla regionu alpejskiego stanowią tereny trudne do zagospodarowania. Ten fakt w przypadku leśnych siedlisk przyrodniczych może wpływać dodatnio na stan ich zachowania, natomiast w przypadku siedlisk półnaturalnych, np. górskich łąk kośnych czy też muraw bliźniczkowych utrudnia ich ochronę. Jest to szczególnie widoczne przy obecnym zanikaniu gospodarki kośno-pasterskiej w wyższych położeniach górskich. W regionie kontynentalnym, wiele siedlisk otrzymało złą ocenę ze względu na parametr „powierzchnia”. Świadczy to o dużej fragmentacji siedlisk przyrodniczych na niżu, a także o znacznych ubytkach w powierzchni części z niektórych występujących tu typów siedlisk. W regionie alpejskim na obniżenie oceny ogólnej siedlisk wpłynęły przede wszystkim oceny parametru „perspektywy ochrony”. To ostatnie może wskazywać na to, że część półnaturalnych siedlisk przyrodniczych ulega wtórnej sukcesji, a podejmowane programy i zabiegi ochronne są nadal niewystarczające.</w:t>
      </w:r>
    </w:p>
    <w:p w:rsidR="005270A2" w:rsidRPr="00DE27FF" w:rsidRDefault="005270A2" w:rsidP="00CE7329">
      <w:pPr>
        <w:spacing w:after="0"/>
        <w:jc w:val="both"/>
        <w:rPr>
          <w:rFonts w:eastAsia="Times New Roman" w:cstheme="minorHAnsi"/>
          <w:lang w:eastAsia="pl-PL"/>
        </w:rPr>
      </w:pPr>
    </w:p>
    <w:p w:rsidR="005270A2" w:rsidRPr="00DE27FF" w:rsidRDefault="005270A2" w:rsidP="00CE7329">
      <w:pPr>
        <w:spacing w:after="0"/>
        <w:jc w:val="both"/>
        <w:rPr>
          <w:rFonts w:eastAsia="Times New Roman" w:cstheme="minorHAnsi"/>
          <w:lang w:eastAsia="pl-PL"/>
        </w:rPr>
      </w:pPr>
      <w:r w:rsidRPr="00DE27FF">
        <w:rPr>
          <w:rFonts w:eastAsia="Times New Roman" w:cstheme="minorHAnsi"/>
          <w:lang w:eastAsia="pl-PL"/>
        </w:rPr>
        <w:t>Zgodnie z ww. raportem d</w:t>
      </w:r>
      <w:r>
        <w:rPr>
          <w:rFonts w:eastAsia="Times New Roman" w:cstheme="minorHAnsi"/>
          <w:lang w:eastAsia="pl-PL"/>
        </w:rPr>
        <w:t>la</w:t>
      </w:r>
      <w:r w:rsidRPr="00DE27FF">
        <w:rPr>
          <w:rFonts w:eastAsia="Times New Roman" w:cstheme="minorHAnsi"/>
          <w:lang w:eastAsia="pl-PL"/>
        </w:rPr>
        <w:t xml:space="preserve"> KE z 2013 r. gatunki roślin, które </w:t>
      </w:r>
      <w:r>
        <w:rPr>
          <w:rFonts w:eastAsia="Times New Roman" w:cstheme="minorHAnsi"/>
          <w:lang w:eastAsia="pl-PL"/>
        </w:rPr>
        <w:t>cechuje</w:t>
      </w:r>
      <w:r w:rsidRPr="00DE27FF">
        <w:rPr>
          <w:rFonts w:eastAsia="Times New Roman" w:cstheme="minorHAnsi"/>
          <w:lang w:eastAsia="pl-PL"/>
        </w:rPr>
        <w:t xml:space="preserve"> niezadowalający stan ochrony to gatunki, które są wrażliwe na procesy zachodzące w ich siedliskach, a także na różne czynniki oddziaływujące na ich populacje. Są one zagrożone głównie </w:t>
      </w:r>
      <w:r>
        <w:rPr>
          <w:rFonts w:eastAsia="Times New Roman" w:cstheme="minorHAnsi"/>
          <w:lang w:eastAsia="pl-PL"/>
        </w:rPr>
        <w:t>wskutek</w:t>
      </w:r>
      <w:r w:rsidRPr="00DE27FF">
        <w:rPr>
          <w:rFonts w:eastAsia="Times New Roman" w:cstheme="minorHAnsi"/>
          <w:lang w:eastAsia="pl-PL"/>
        </w:rPr>
        <w:t xml:space="preserve"> zanik</w:t>
      </w:r>
      <w:r>
        <w:rPr>
          <w:rFonts w:eastAsia="Times New Roman" w:cstheme="minorHAnsi"/>
          <w:lang w:eastAsia="pl-PL"/>
        </w:rPr>
        <w:t>u</w:t>
      </w:r>
      <w:r w:rsidRPr="00DE27FF">
        <w:rPr>
          <w:rFonts w:eastAsia="Times New Roman" w:cstheme="minorHAnsi"/>
          <w:lang w:eastAsia="pl-PL"/>
        </w:rPr>
        <w:t xml:space="preserve"> potencjalnych siedlisk i pogarszani</w:t>
      </w:r>
      <w:r>
        <w:rPr>
          <w:rFonts w:eastAsia="Times New Roman" w:cstheme="minorHAnsi"/>
          <w:lang w:eastAsia="pl-PL"/>
        </w:rPr>
        <w:t>a</w:t>
      </w:r>
      <w:r w:rsidRPr="00DE27FF">
        <w:rPr>
          <w:rFonts w:eastAsia="Times New Roman" w:cstheme="minorHAnsi"/>
          <w:lang w:eastAsia="pl-PL"/>
        </w:rPr>
        <w:t xml:space="preserve"> się ich stanu, najczęściej poprzez eutrofizację, postępujące procesy sukcesji spowodowane brakiem użytkowania, osuszanie lub mechaniczne ich niszczenie oraz inne czynniki niebędące bezpośrednim skutkiem działalności człowieka. Dla wielu spośród analizowanych gatunków określono stan ochrony jako niewłaściwy głównie z powodu małej liczby stanowisk. W całej Polsce stan ochrony został oceniony najgorzej w przypadku </w:t>
      </w:r>
      <w:r>
        <w:rPr>
          <w:rFonts w:eastAsia="Times New Roman" w:cstheme="minorHAnsi"/>
          <w:lang w:eastAsia="pl-PL"/>
        </w:rPr>
        <w:t>11 gatunków roślin (</w:t>
      </w:r>
      <w:r w:rsidRPr="00DE27FF">
        <w:rPr>
          <w:rFonts w:eastAsia="Times New Roman" w:cstheme="minorHAnsi"/>
          <w:lang w:eastAsia="pl-PL"/>
        </w:rPr>
        <w:t>17%</w:t>
      </w:r>
      <w:r>
        <w:rPr>
          <w:rFonts w:eastAsia="Times New Roman" w:cstheme="minorHAnsi"/>
          <w:lang w:eastAsia="pl-PL"/>
        </w:rPr>
        <w:t xml:space="preserve"> ich liczby)</w:t>
      </w:r>
      <w:r w:rsidRPr="00DE27FF">
        <w:rPr>
          <w:rFonts w:eastAsia="Times New Roman" w:cstheme="minorHAnsi"/>
          <w:lang w:eastAsia="pl-PL"/>
        </w:rPr>
        <w:t xml:space="preserve">, które: (a) są bardzo rzadkie, występują na pojedynczych stanowiskach; (b) ich populacje są skrajnie małe, liczone w pojedynczych osobnikach; </w:t>
      </w:r>
      <w:r>
        <w:rPr>
          <w:rFonts w:eastAsia="Times New Roman" w:cstheme="minorHAnsi"/>
          <w:lang w:eastAsia="pl-PL"/>
        </w:rPr>
        <w:t xml:space="preserve">lub </w:t>
      </w:r>
      <w:r w:rsidRPr="00DE27FF">
        <w:rPr>
          <w:rFonts w:eastAsia="Times New Roman" w:cstheme="minorHAnsi"/>
          <w:lang w:eastAsia="pl-PL"/>
        </w:rPr>
        <w:t>(c) mimo stosunkowo dużej liczby stanowisk obserwuje się silne ujemne trendy liczebności populacji, zwłaszcza przy pogarszającym się siedlisku.</w:t>
      </w:r>
    </w:p>
    <w:p w:rsidR="005270A2" w:rsidRPr="00DE27FF" w:rsidRDefault="005270A2" w:rsidP="00CE7329">
      <w:pPr>
        <w:spacing w:after="0"/>
        <w:jc w:val="both"/>
        <w:rPr>
          <w:rFonts w:eastAsia="Times New Roman" w:cstheme="minorHAnsi"/>
          <w:lang w:eastAsia="pl-PL"/>
        </w:rPr>
      </w:pPr>
    </w:p>
    <w:p w:rsidR="005270A2" w:rsidRDefault="005270A2" w:rsidP="00CE7329">
      <w:pPr>
        <w:spacing w:after="0"/>
        <w:jc w:val="both"/>
        <w:rPr>
          <w:rFonts w:eastAsia="Times New Roman" w:cs="Times New Roman"/>
          <w:lang w:eastAsia="pl-PL"/>
        </w:rPr>
      </w:pPr>
      <w:r w:rsidRPr="00A70F06">
        <w:rPr>
          <w:rFonts w:eastAsia="Times New Roman" w:cs="Times New Roman"/>
          <w:lang w:eastAsia="pl-PL"/>
        </w:rPr>
        <w:lastRenderedPageBreak/>
        <w:t>Ważnym elementem środowiska przyrodniczego, a zarazem jego dobrym indykator</w:t>
      </w:r>
      <w:r>
        <w:rPr>
          <w:rFonts w:eastAsia="Times New Roman" w:cs="Times New Roman"/>
          <w:lang w:eastAsia="pl-PL"/>
        </w:rPr>
        <w:t>em,</w:t>
      </w:r>
      <w:r w:rsidRPr="00A70F06">
        <w:rPr>
          <w:rFonts w:eastAsia="Times New Roman" w:cs="Times New Roman"/>
          <w:lang w:eastAsia="pl-PL"/>
        </w:rPr>
        <w:t xml:space="preserve"> są ptaki. S</w:t>
      </w:r>
      <w:r>
        <w:rPr>
          <w:rFonts w:eastAsia="Times New Roman" w:cs="Times New Roman"/>
          <w:lang w:eastAsia="pl-PL"/>
        </w:rPr>
        <w:t>tanowią one</w:t>
      </w:r>
      <w:r w:rsidRPr="00A70F06">
        <w:rPr>
          <w:rFonts w:eastAsia="Times New Roman" w:cs="Times New Roman"/>
          <w:lang w:eastAsia="pl-PL"/>
        </w:rPr>
        <w:t xml:space="preserve"> jedną z najliczniejszych grup kręgowców. W Polsce dotychczas stwierdzono występowanie 45</w:t>
      </w:r>
      <w:r>
        <w:rPr>
          <w:rFonts w:eastAsia="Times New Roman" w:cs="Times New Roman"/>
          <w:lang w:eastAsia="pl-PL"/>
        </w:rPr>
        <w:t>2</w:t>
      </w:r>
      <w:r w:rsidRPr="00A70F06">
        <w:rPr>
          <w:rFonts w:eastAsia="Times New Roman" w:cs="Times New Roman"/>
          <w:lang w:eastAsia="pl-PL"/>
        </w:rPr>
        <w:t xml:space="preserve"> gatunków</w:t>
      </w:r>
      <w:r w:rsidR="004E65E5">
        <w:rPr>
          <w:rStyle w:val="Odwoanieprzypisudolnego"/>
          <w:rFonts w:eastAsia="Times New Roman" w:cs="Times New Roman"/>
          <w:lang w:eastAsia="pl-PL"/>
        </w:rPr>
        <w:footnoteReference w:id="58"/>
      </w:r>
      <w:r w:rsidR="004E65E5">
        <w:rPr>
          <w:rFonts w:eastAsia="Times New Roman" w:cs="Times New Roman"/>
          <w:lang w:eastAsia="pl-PL"/>
        </w:rPr>
        <w:t xml:space="preserve"> </w:t>
      </w:r>
      <w:r w:rsidRPr="00A70F06">
        <w:rPr>
          <w:rFonts w:eastAsia="Times New Roman" w:cs="Times New Roman"/>
          <w:lang w:eastAsia="pl-PL"/>
        </w:rPr>
        <w:t>w tym ok. 2</w:t>
      </w:r>
      <w:r>
        <w:rPr>
          <w:rFonts w:eastAsia="Times New Roman" w:cs="Times New Roman"/>
          <w:lang w:eastAsia="pl-PL"/>
        </w:rPr>
        <w:t>30</w:t>
      </w:r>
      <w:r w:rsidRPr="00A70F06">
        <w:rPr>
          <w:rFonts w:eastAsia="Times New Roman" w:cs="Times New Roman"/>
          <w:lang w:eastAsia="pl-PL"/>
        </w:rPr>
        <w:t xml:space="preserve"> gatunków lęgowych</w:t>
      </w:r>
      <w:r>
        <w:rPr>
          <w:rFonts w:eastAsia="Times New Roman" w:cs="Times New Roman"/>
          <w:lang w:eastAsia="pl-PL"/>
        </w:rPr>
        <w:t xml:space="preserve">. </w:t>
      </w:r>
      <w:r w:rsidRPr="00A70F06">
        <w:rPr>
          <w:rFonts w:eastAsia="Times New Roman" w:cs="Times New Roman"/>
          <w:lang w:eastAsia="pl-PL"/>
        </w:rPr>
        <w:t xml:space="preserve">Spośród krajowych gatunków ptaków do znaczących zasobów Polski w skali UE zalicza się wodniczkę </w:t>
      </w:r>
      <w:r w:rsidRPr="00A70F06">
        <w:rPr>
          <w:rFonts w:eastAsia="Times New Roman" w:cs="Times New Roman"/>
          <w:i/>
          <w:lang w:eastAsia="pl-PL"/>
        </w:rPr>
        <w:t>Acrocephalus paludicola</w:t>
      </w:r>
      <w:r w:rsidRPr="00A70F06">
        <w:rPr>
          <w:rFonts w:eastAsia="Times New Roman" w:cs="Times New Roman"/>
          <w:lang w:eastAsia="pl-PL"/>
        </w:rPr>
        <w:t xml:space="preserve"> (ok. 9</w:t>
      </w:r>
      <w:r>
        <w:rPr>
          <w:rFonts w:eastAsia="Times New Roman" w:cs="Times New Roman"/>
          <w:lang w:eastAsia="pl-PL"/>
        </w:rPr>
        <w:t>6,3</w:t>
      </w:r>
      <w:r w:rsidRPr="00A70F06">
        <w:rPr>
          <w:rFonts w:eastAsia="Times New Roman" w:cs="Times New Roman"/>
          <w:lang w:eastAsia="pl-PL"/>
        </w:rPr>
        <w:t>% populacji UE</w:t>
      </w:r>
      <w:r>
        <w:rPr>
          <w:rFonts w:eastAsia="Times New Roman" w:cs="Times New Roman"/>
          <w:lang w:eastAsia="pl-PL"/>
        </w:rPr>
        <w:t>27</w:t>
      </w:r>
      <w:r w:rsidRPr="00A70F06">
        <w:rPr>
          <w:rFonts w:eastAsia="Times New Roman" w:cs="Times New Roman"/>
          <w:lang w:eastAsia="pl-PL"/>
        </w:rPr>
        <w:t xml:space="preserve"> na terenie Polski</w:t>
      </w:r>
      <w:r>
        <w:rPr>
          <w:rFonts w:eastAsia="Times New Roman" w:cs="Times New Roman"/>
          <w:lang w:eastAsia="pl-PL"/>
        </w:rPr>
        <w:t xml:space="preserve"> w danych z 2015 r.</w:t>
      </w:r>
      <w:r w:rsidRPr="00A70F06">
        <w:rPr>
          <w:rFonts w:eastAsia="Times New Roman" w:cs="Times New Roman"/>
          <w:lang w:eastAsia="pl-PL"/>
        </w:rPr>
        <w:t xml:space="preserve">), a także bielika </w:t>
      </w:r>
      <w:r w:rsidRPr="00A70F06">
        <w:rPr>
          <w:rFonts w:eastAsia="Times New Roman" w:cs="Times New Roman"/>
          <w:i/>
          <w:lang w:eastAsia="pl-PL"/>
        </w:rPr>
        <w:t>Haliaeetus albicilla</w:t>
      </w:r>
      <w:r w:rsidRPr="00A70F06">
        <w:rPr>
          <w:rFonts w:eastAsia="Times New Roman" w:cs="Times New Roman"/>
          <w:lang w:eastAsia="pl-PL"/>
        </w:rPr>
        <w:t xml:space="preserve"> (ok. </w:t>
      </w:r>
      <w:r>
        <w:rPr>
          <w:rFonts w:eastAsia="Times New Roman" w:cs="Times New Roman"/>
          <w:lang w:eastAsia="pl-PL"/>
        </w:rPr>
        <w:t>30,9</w:t>
      </w:r>
      <w:r w:rsidRPr="00A70F06">
        <w:rPr>
          <w:rFonts w:eastAsia="Times New Roman" w:cs="Times New Roman"/>
          <w:lang w:eastAsia="pl-PL"/>
        </w:rPr>
        <w:t>% UE</w:t>
      </w:r>
      <w:r>
        <w:rPr>
          <w:rFonts w:eastAsia="Times New Roman" w:cs="Times New Roman"/>
          <w:lang w:eastAsia="pl-PL"/>
        </w:rPr>
        <w:t>27</w:t>
      </w:r>
      <w:r w:rsidRPr="00A70F06">
        <w:rPr>
          <w:rFonts w:eastAsia="Times New Roman" w:cs="Times New Roman"/>
          <w:lang w:eastAsia="pl-PL"/>
        </w:rPr>
        <w:t xml:space="preserve">), orlika grubodziobego </w:t>
      </w:r>
      <w:r w:rsidRPr="00A70F06">
        <w:rPr>
          <w:rFonts w:eastAsia="Times New Roman" w:cs="Times New Roman"/>
          <w:i/>
          <w:lang w:eastAsia="pl-PL"/>
        </w:rPr>
        <w:t>Aquila clanga</w:t>
      </w:r>
      <w:r w:rsidRPr="00A70F06">
        <w:rPr>
          <w:rFonts w:eastAsia="Times New Roman" w:cs="Times New Roman"/>
          <w:lang w:eastAsia="pl-PL"/>
        </w:rPr>
        <w:t xml:space="preserve"> </w:t>
      </w:r>
      <w:r>
        <w:rPr>
          <w:rFonts w:eastAsia="Times New Roman" w:cs="Times New Roman"/>
          <w:lang w:eastAsia="pl-PL"/>
        </w:rPr>
        <w:t>(</w:t>
      </w:r>
      <w:r>
        <w:t>62,5% E27</w:t>
      </w:r>
      <w:r>
        <w:rPr>
          <w:rFonts w:eastAsia="Times New Roman" w:cs="Times New Roman"/>
          <w:lang w:eastAsia="pl-PL"/>
        </w:rPr>
        <w:t xml:space="preserve">) </w:t>
      </w:r>
      <w:r w:rsidRPr="00A70F06">
        <w:rPr>
          <w:rFonts w:eastAsia="Times New Roman" w:cs="Times New Roman"/>
          <w:lang w:eastAsia="pl-PL"/>
        </w:rPr>
        <w:t xml:space="preserve">oraz bąka </w:t>
      </w:r>
      <w:r w:rsidRPr="00A70F06">
        <w:rPr>
          <w:rFonts w:eastAsia="Times New Roman" w:cs="Times New Roman"/>
          <w:i/>
          <w:lang w:eastAsia="pl-PL"/>
        </w:rPr>
        <w:t>Botaurus stellaris</w:t>
      </w:r>
      <w:r w:rsidRPr="00A70F06">
        <w:rPr>
          <w:rFonts w:eastAsia="Times New Roman" w:cs="Times New Roman"/>
          <w:lang w:eastAsia="pl-PL"/>
        </w:rPr>
        <w:t xml:space="preserve"> (</w:t>
      </w:r>
      <w:r>
        <w:t>26% EU27</w:t>
      </w:r>
      <w:r w:rsidRPr="00A70F06">
        <w:rPr>
          <w:rFonts w:eastAsia="Times New Roman" w:cs="Times New Roman"/>
          <w:lang w:eastAsia="pl-PL"/>
        </w:rPr>
        <w:t xml:space="preserve">). </w:t>
      </w:r>
    </w:p>
    <w:p w:rsidR="005270A2" w:rsidRDefault="005270A2" w:rsidP="00CE7329">
      <w:pPr>
        <w:spacing w:after="0"/>
        <w:jc w:val="both"/>
        <w:rPr>
          <w:rFonts w:eastAsia="Times New Roman" w:cs="Times New Roman"/>
          <w:lang w:eastAsia="pl-PL"/>
        </w:rPr>
      </w:pPr>
    </w:p>
    <w:p w:rsidR="005270A2" w:rsidRPr="0074075B" w:rsidRDefault="005270A2" w:rsidP="00CE7329">
      <w:pPr>
        <w:jc w:val="both"/>
      </w:pPr>
      <w:r w:rsidRPr="00342681">
        <w:rPr>
          <w:color w:val="000000"/>
        </w:rPr>
        <w:t xml:space="preserve">Od 2006 w Polsce, w ramach Państwowego Monitoringu Środowiska, prowadzony jest </w:t>
      </w:r>
      <w:r w:rsidRPr="00342681">
        <w:rPr>
          <w:b/>
          <w:color w:val="000000"/>
        </w:rPr>
        <w:t>Monitoring Ptaków Polski</w:t>
      </w:r>
      <w:r w:rsidRPr="00342681">
        <w:rPr>
          <w:color w:val="000000"/>
        </w:rPr>
        <w:t xml:space="preserve"> (MPP) dla poszczególnych gatunków lub grup gatunków ptaków, głównie tych uważanych za zagrożone w krajach Unii Europejskiej, a także w </w:t>
      </w:r>
      <w:r>
        <w:rPr>
          <w:color w:val="000000"/>
        </w:rPr>
        <w:t>naszym kraju</w:t>
      </w:r>
      <w:r w:rsidRPr="00342681">
        <w:rPr>
          <w:color w:val="000000"/>
        </w:rPr>
        <w:t xml:space="preserve">,, a więc wymienionych w załącznikach </w:t>
      </w:r>
      <w:r>
        <w:rPr>
          <w:color w:val="000000"/>
        </w:rPr>
        <w:t>d</w:t>
      </w:r>
      <w:r w:rsidRPr="00342681">
        <w:rPr>
          <w:color w:val="000000"/>
        </w:rPr>
        <w:t xml:space="preserve">yrektywy </w:t>
      </w:r>
      <w:r>
        <w:rPr>
          <w:color w:val="000000"/>
        </w:rPr>
        <w:t>p</w:t>
      </w:r>
      <w:r w:rsidRPr="00342681">
        <w:rPr>
          <w:color w:val="000000"/>
        </w:rPr>
        <w:t>tasiej i</w:t>
      </w:r>
      <w:r>
        <w:rPr>
          <w:color w:val="000000"/>
        </w:rPr>
        <w:t>/</w:t>
      </w:r>
      <w:r w:rsidRPr="00342681">
        <w:rPr>
          <w:color w:val="000000"/>
        </w:rPr>
        <w:t>lub w polskich czerwonych listach. Monitoring jest prowadzony w </w:t>
      </w:r>
      <w:r w:rsidRPr="00342681" w:rsidDel="00AD7DAB">
        <w:rPr>
          <w:color w:val="000000"/>
        </w:rPr>
        <w:t xml:space="preserve">oparciu o </w:t>
      </w:r>
      <w:r w:rsidRPr="00342681">
        <w:rPr>
          <w:color w:val="000000"/>
        </w:rPr>
        <w:t>reprezentatywną</w:t>
      </w:r>
      <w:r w:rsidRPr="00342681" w:rsidDel="00AD7DAB">
        <w:rPr>
          <w:color w:val="000000"/>
        </w:rPr>
        <w:t xml:space="preserve"> sieć obserwacyjną w skali kraju i poszczególnych regionów.</w:t>
      </w:r>
      <w:r>
        <w:t xml:space="preserve"> Do </w:t>
      </w:r>
      <w:r w:rsidRPr="00342681">
        <w:t>ocenianych parametrów stanu populacji należą przede wszystkim wskaźniki liczebności populacji, rzadziej oszacowania całkowitej liczebności populacji krajowej oraz w</w:t>
      </w:r>
      <w:r>
        <w:t>skaźniki rozpowszechnienia. Dla </w:t>
      </w:r>
      <w:r w:rsidRPr="00342681">
        <w:t>wybranych gatunków oceniane są też wyniki rozrodu (Chodkiewicz i in., 2015).</w:t>
      </w:r>
    </w:p>
    <w:p w:rsidR="005270A2" w:rsidRPr="0074075B" w:rsidRDefault="005270A2" w:rsidP="00CE7329">
      <w:pPr>
        <w:jc w:val="both"/>
        <w:rPr>
          <w:rFonts w:cs="Calibri Light"/>
        </w:rPr>
      </w:pPr>
      <w:r>
        <w:rPr>
          <w:rFonts w:cs="Calibri Light"/>
        </w:rPr>
        <w:t>Badania</w:t>
      </w:r>
      <w:r>
        <w:t xml:space="preserve"> wskazują na </w:t>
      </w:r>
      <w:r w:rsidRPr="0074075B">
        <w:t>istnienie nielicznej, ale wyraźnie zarysowanej grupy gatunków, które zwiększają liczebność w tempie przekraczającym 10% rocznie. Z drugiej strony, widoczna jest też grupa gatunków, których liczebność zmniejsza się w temp</w:t>
      </w:r>
      <w:r>
        <w:t>ie 4–10% rocznie.</w:t>
      </w:r>
    </w:p>
    <w:p w:rsidR="00D657A0" w:rsidRDefault="005270A2" w:rsidP="00D657A0">
      <w:pPr>
        <w:jc w:val="both"/>
      </w:pPr>
      <w:r>
        <w:t>Zgodnie z</w:t>
      </w:r>
      <w:r w:rsidRPr="0074075B">
        <w:t xml:space="preserve"> klasyfikacj</w:t>
      </w:r>
      <w:r>
        <w:t>ą</w:t>
      </w:r>
      <w:r w:rsidRPr="0074075B">
        <w:t xml:space="preserve"> trendów stosowaną przez </w:t>
      </w:r>
      <w:r>
        <w:t>Europejską Sieć Monitoringu poświęconych pospolitym  gatunkom ptaków (</w:t>
      </w:r>
      <w:r w:rsidRPr="0074075B">
        <w:t>PECBMS</w:t>
      </w:r>
      <w:r>
        <w:t>),</w:t>
      </w:r>
      <w:r w:rsidRPr="0074075B">
        <w:t xml:space="preserve"> 8 gatunków wykazywało silny trend wzrostowy</w:t>
      </w:r>
      <w:r>
        <w:t xml:space="preserve"> </w:t>
      </w:r>
      <w:r w:rsidRPr="0074075B">
        <w:t xml:space="preserve">(5% spośród 163), a dalszych 51 (31%) </w:t>
      </w:r>
      <w:r>
        <w:t>–</w:t>
      </w:r>
      <w:r w:rsidRPr="0074075B">
        <w:t xml:space="preserve"> umiarkowan</w:t>
      </w:r>
      <w:r>
        <w:t>y wzrost. Zmiany liczebności 67 </w:t>
      </w:r>
      <w:r w:rsidRPr="0074075B">
        <w:t>gatunków wpisywały się w</w:t>
      </w:r>
      <w:r>
        <w:t> </w:t>
      </w:r>
      <w:r w:rsidRPr="0074075B">
        <w:t>obraz populacji stabilnych (39 gatunków, 24%) lub o trendac</w:t>
      </w:r>
      <w:r>
        <w:t>h niemożliwych do ustalenia (28 </w:t>
      </w:r>
      <w:r w:rsidRPr="0074075B">
        <w:t xml:space="preserve">gatunków, 17%). Natomiast trendy ustalone dla 35 kolejnych gatunków (21%) były klasyfikowane jako umiarkowany spadek, a dla 2 gatunków (1%) jako silny spadek </w:t>
      </w:r>
      <w:r>
        <w:t>(Chodkiewicz i in. 2015)</w:t>
      </w:r>
      <w:r w:rsidRPr="0074075B">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5270A2" w:rsidRPr="00D657A0" w:rsidTr="00D657A0">
        <w:tc>
          <w:tcPr>
            <w:tcW w:w="9072" w:type="dxa"/>
          </w:tcPr>
          <w:p w:rsidR="005270A2" w:rsidRPr="00D657A0" w:rsidRDefault="005270A2" w:rsidP="001E35FE">
            <w:pPr>
              <w:spacing w:after="120"/>
              <w:ind w:left="993" w:hanging="993"/>
              <w:jc w:val="both"/>
              <w:rPr>
                <w:rFonts w:asciiTheme="minorHAnsi" w:hAnsiTheme="minorHAnsi" w:cstheme="minorHAnsi"/>
                <w:i/>
                <w:sz w:val="22"/>
                <w:szCs w:val="22"/>
              </w:rPr>
            </w:pPr>
            <w:r w:rsidRPr="00D657A0">
              <w:rPr>
                <w:rFonts w:asciiTheme="minorHAnsi" w:hAnsiTheme="minorHAnsi" w:cstheme="minorHAnsi"/>
                <w:i/>
                <w:sz w:val="22"/>
                <w:szCs w:val="22"/>
              </w:rPr>
              <w:t xml:space="preserve">Rys. </w:t>
            </w:r>
            <w:r w:rsidR="001E35FE">
              <w:rPr>
                <w:rFonts w:asciiTheme="minorHAnsi" w:hAnsiTheme="minorHAnsi" w:cstheme="minorHAnsi"/>
                <w:i/>
                <w:sz w:val="22"/>
                <w:szCs w:val="22"/>
              </w:rPr>
              <w:t>8</w:t>
            </w:r>
            <w:r w:rsidR="00D657A0">
              <w:rPr>
                <w:rFonts w:asciiTheme="minorHAnsi" w:hAnsiTheme="minorHAnsi" w:cstheme="minorHAnsi"/>
                <w:i/>
                <w:sz w:val="22"/>
                <w:szCs w:val="22"/>
              </w:rPr>
              <w:t>.3.</w:t>
            </w:r>
            <w:r w:rsidRPr="00D657A0">
              <w:rPr>
                <w:rFonts w:asciiTheme="minorHAnsi" w:hAnsiTheme="minorHAnsi" w:cstheme="minorHAnsi"/>
                <w:i/>
                <w:sz w:val="22"/>
                <w:szCs w:val="22"/>
              </w:rPr>
              <w:t xml:space="preserve"> Roczne tempo zmian liczebności 163 gatunków ptaków lęgowych monitorowanych w ramach MPP. Stan na 2015 rok (źródło: GIOŚ/PMŚ).</w:t>
            </w:r>
          </w:p>
        </w:tc>
      </w:tr>
    </w:tbl>
    <w:p w:rsidR="005270A2" w:rsidRDefault="005270A2" w:rsidP="005270A2">
      <w:pPr>
        <w:jc w:val="both"/>
      </w:pPr>
    </w:p>
    <w:p w:rsidR="005270A2" w:rsidRPr="00E06A4D" w:rsidRDefault="005270A2" w:rsidP="005270A2">
      <w:r w:rsidRPr="00BD2BB7">
        <w:rPr>
          <w:rFonts w:ascii="Calibri Light" w:hAnsi="Calibri Light" w:cs="Calibri Light"/>
          <w:noProof/>
          <w:lang w:eastAsia="pl-PL"/>
        </w:rPr>
        <w:drawing>
          <wp:inline distT="0" distB="0" distL="0" distR="0" wp14:anchorId="23E34B64" wp14:editId="61D01012">
            <wp:extent cx="5080959" cy="2001328"/>
            <wp:effectExtent l="0" t="0" r="5715"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270A2" w:rsidRDefault="005270A2" w:rsidP="005270A2"/>
    <w:p w:rsidR="005270A2" w:rsidRDefault="005270A2" w:rsidP="00023183">
      <w:pPr>
        <w:spacing w:after="0"/>
        <w:jc w:val="both"/>
        <w:rPr>
          <w:rFonts w:cs="Times New Roman"/>
        </w:rPr>
      </w:pPr>
      <w:r w:rsidRPr="00E06A4D">
        <w:rPr>
          <w:rFonts w:cs="Times New Roman"/>
        </w:rPr>
        <w:t xml:space="preserve">Paneuropejskim wskaźnikiem charakteryzującym grupę ptaków </w:t>
      </w:r>
      <w:r>
        <w:t>powszechnie występujących</w:t>
      </w:r>
      <w:r w:rsidRPr="00E06A4D">
        <w:rPr>
          <w:rFonts w:cs="Times New Roman"/>
        </w:rPr>
        <w:t xml:space="preserve"> (określanych jako gatunki wskaźnikowe), jest wskaźnik pospolitych ptaków krajobrazu rolniczego (ang. </w:t>
      </w:r>
      <w:r w:rsidRPr="00E06A4D">
        <w:rPr>
          <w:rFonts w:cs="Times New Roman"/>
          <w:i/>
        </w:rPr>
        <w:t xml:space="preserve">Farmland Bird Index – </w:t>
      </w:r>
      <w:r w:rsidRPr="00E06A4D">
        <w:rPr>
          <w:rFonts w:cs="Times New Roman"/>
        </w:rPr>
        <w:t>FBI 22</w:t>
      </w:r>
      <w:r>
        <w:rPr>
          <w:rStyle w:val="Odwoanieprzypisudolnego"/>
          <w:rFonts w:cs="Times New Roman"/>
        </w:rPr>
        <w:footnoteReference w:id="59"/>
      </w:r>
      <w:r w:rsidRPr="00E06A4D">
        <w:rPr>
          <w:rFonts w:cs="Times New Roman"/>
        </w:rPr>
        <w:t xml:space="preserve">). Obejmuje on w naszym kraju 22 pospolite gatunki ptaków terenów otwartych. W skład koszyka FBI 22 wchodzą m.in.: bocian biały, pustułka, czajka, dudek, skowronek i szpak. </w:t>
      </w:r>
      <w:r>
        <w:rPr>
          <w:rFonts w:cs="Times New Roman"/>
        </w:rPr>
        <w:t xml:space="preserve">Wskaźnik ten jest obliczany w ramach Państwowego Monitoringu Środowiska. </w:t>
      </w:r>
      <w:r w:rsidRPr="00E06A4D">
        <w:rPr>
          <w:rFonts w:cs="Times New Roman"/>
        </w:rPr>
        <w:t>W pierwszej połowie ubiegłej dekady wskaźnik wykazywał szybki spadek wartości, który był silnie skorelowany z trendem liczebności ptaków terenów rolniczych w całej Europie. W kolejnych latach wskaźnik znacząco wzrastał i w 2008 roku powrócił do stanu referencyjnego z roku 2000. Następne lata przyniosły znów wyraźny trend ujemny wskaźnika</w:t>
      </w:r>
      <w:r>
        <w:rPr>
          <w:rFonts w:cs="Times New Roman"/>
        </w:rPr>
        <w:t>.</w:t>
      </w:r>
      <w:r w:rsidRPr="00E06A4D">
        <w:rPr>
          <w:rFonts w:cs="Times New Roman"/>
        </w:rPr>
        <w:t xml:space="preserve"> </w:t>
      </w:r>
      <w:r w:rsidRPr="00243F56">
        <w:rPr>
          <w:rFonts w:cs="Times New Roman"/>
        </w:rPr>
        <w:t>W 2016 r. wartość wskaźnika kształtowała się na poziomie 0,8</w:t>
      </w:r>
      <w:r>
        <w:rPr>
          <w:rFonts w:cs="Times New Roman"/>
        </w:rPr>
        <w:t>7</w:t>
      </w:r>
      <w:r w:rsidRPr="00243F56">
        <w:rPr>
          <w:rFonts w:cs="Times New Roman"/>
        </w:rPr>
        <w:t xml:space="preserve"> czyli o 1</w:t>
      </w:r>
      <w:r>
        <w:rPr>
          <w:rFonts w:cs="Times New Roman"/>
        </w:rPr>
        <w:t>3</w:t>
      </w:r>
      <w:r w:rsidRPr="00243F56">
        <w:rPr>
          <w:rFonts w:cs="Times New Roman"/>
        </w:rPr>
        <w:t>% mniej niż w roku bazowym.</w:t>
      </w:r>
      <w:r w:rsidRPr="00E06A4D">
        <w:rPr>
          <w:rFonts w:cs="Times New Roman"/>
        </w:rPr>
        <w:t xml:space="preserve"> </w:t>
      </w:r>
    </w:p>
    <w:p w:rsidR="00023183" w:rsidRDefault="00023183" w:rsidP="00023183">
      <w:pPr>
        <w:spacing w:after="0"/>
        <w:jc w:val="both"/>
        <w:rPr>
          <w:rFonts w:cs="Times New Roman"/>
        </w:rPr>
      </w:pPr>
    </w:p>
    <w:p w:rsidR="00023183" w:rsidRPr="00023183" w:rsidRDefault="00023183" w:rsidP="00023183">
      <w:pPr>
        <w:spacing w:after="0" w:line="240" w:lineRule="auto"/>
        <w:jc w:val="both"/>
        <w:rPr>
          <w:rFonts w:cs="Times New Roman"/>
          <w:b/>
          <w:i/>
        </w:rPr>
      </w:pPr>
      <w:r w:rsidRPr="00023183">
        <w:rPr>
          <w:rFonts w:eastAsia="Times New Roman" w:cs="Times New Roman"/>
          <w:i/>
          <w:lang w:eastAsia="pl-PL"/>
        </w:rPr>
        <w:t xml:space="preserve">Rys. </w:t>
      </w:r>
      <w:r w:rsidR="001E35FE">
        <w:rPr>
          <w:rFonts w:eastAsia="Times New Roman" w:cs="Times New Roman"/>
          <w:i/>
          <w:lang w:eastAsia="pl-PL"/>
        </w:rPr>
        <w:t>8</w:t>
      </w:r>
      <w:r w:rsidRPr="00023183">
        <w:rPr>
          <w:rFonts w:eastAsia="Times New Roman" w:cs="Times New Roman"/>
          <w:i/>
          <w:lang w:eastAsia="pl-PL"/>
        </w:rPr>
        <w:t xml:space="preserve">.4.  Zmiany wartości: zagregowany wskaźnik liczebności 110 pospolitych gatunków ptaków, </w:t>
      </w:r>
      <w:r w:rsidRPr="00023183">
        <w:rPr>
          <w:rFonts w:cs="Times New Roman"/>
          <w:i/>
        </w:rPr>
        <w:t xml:space="preserve">wskaźnika liczebności pospolitych ptaków krajobrazu rolniczego (Farmland Bird Index) oraz wskaźnika liczebności pospolitych ptaków leśnych (Forest Bird Index) w Polsce w latach 2000-2016 </w:t>
      </w:r>
      <w:r>
        <w:rPr>
          <w:rFonts w:cs="Times New Roman"/>
          <w:i/>
        </w:rPr>
        <w:br/>
      </w:r>
      <w:r w:rsidRPr="00023183">
        <w:rPr>
          <w:rFonts w:cs="Times New Roman"/>
          <w:i/>
        </w:rPr>
        <w:t>(źródło: GIOŚ/PMŚ).</w:t>
      </w:r>
    </w:p>
    <w:p w:rsidR="00023183" w:rsidRPr="00E06A4D" w:rsidRDefault="00023183" w:rsidP="00023183">
      <w:pPr>
        <w:spacing w:after="0"/>
        <w:jc w:val="both"/>
        <w:rPr>
          <w:rFonts w:cs="Times New Roman"/>
        </w:rPr>
      </w:pPr>
    </w:p>
    <w:p w:rsidR="005270A2" w:rsidRPr="00E06A4D" w:rsidRDefault="005270A2" w:rsidP="005270A2">
      <w:pPr>
        <w:spacing w:after="0" w:line="240" w:lineRule="auto"/>
        <w:ind w:firstLine="709"/>
        <w:jc w:val="both"/>
        <w:rPr>
          <w:rFonts w:cs="Times New Roman"/>
        </w:rPr>
      </w:pPr>
    </w:p>
    <w:p w:rsidR="005270A2" w:rsidRDefault="005270A2" w:rsidP="005270A2">
      <w:pPr>
        <w:spacing w:after="0" w:line="240" w:lineRule="auto"/>
        <w:rPr>
          <w:rFonts w:ascii="Times New Roman" w:eastAsia="Times New Roman" w:hAnsi="Times New Roman" w:cs="Times New Roman"/>
          <w:i/>
          <w:szCs w:val="24"/>
          <w:lang w:eastAsia="pl-PL"/>
        </w:rPr>
      </w:pPr>
      <w:r>
        <w:rPr>
          <w:noProof/>
          <w:lang w:eastAsia="pl-PL"/>
        </w:rPr>
        <w:drawing>
          <wp:anchor distT="0" distB="0" distL="114300" distR="114300" simplePos="0" relativeHeight="251668480" behindDoc="0" locked="0" layoutInCell="1" allowOverlap="1" wp14:anchorId="06056D17" wp14:editId="1936CA13">
            <wp:simplePos x="0" y="0"/>
            <wp:positionH relativeFrom="column">
              <wp:posOffset>635</wp:posOffset>
            </wp:positionH>
            <wp:positionV relativeFrom="paragraph">
              <wp:posOffset>184150</wp:posOffset>
            </wp:positionV>
            <wp:extent cx="5760720" cy="3200352"/>
            <wp:effectExtent l="0" t="0" r="11430" b="635"/>
            <wp:wrapTopAndBottom/>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5270A2" w:rsidRDefault="005270A2" w:rsidP="005270A2">
      <w:pPr>
        <w:spacing w:after="0" w:line="240" w:lineRule="auto"/>
        <w:rPr>
          <w:rFonts w:ascii="Times New Roman" w:eastAsia="Times New Roman" w:hAnsi="Times New Roman" w:cs="Times New Roman"/>
          <w:i/>
          <w:szCs w:val="24"/>
          <w:lang w:eastAsia="pl-PL"/>
        </w:rPr>
      </w:pPr>
    </w:p>
    <w:p w:rsidR="00023183" w:rsidRPr="00961358" w:rsidRDefault="00023183" w:rsidP="00023183">
      <w:pPr>
        <w:spacing w:after="0"/>
        <w:jc w:val="both"/>
        <w:rPr>
          <w:rFonts w:cs="Times New Roman"/>
        </w:rPr>
      </w:pPr>
      <w:r w:rsidRPr="00961358">
        <w:rPr>
          <w:rFonts w:cs="Times New Roman"/>
        </w:rPr>
        <w:lastRenderedPageBreak/>
        <w:t xml:space="preserve">Analogicznym wskaźnikiem do FBI 22 jest wskaźnik ptaków (34 gatunki) związanych głównie </w:t>
      </w:r>
      <w:r>
        <w:rPr>
          <w:rFonts w:cs="Times New Roman"/>
        </w:rPr>
        <w:br/>
      </w:r>
      <w:r w:rsidRPr="00961358">
        <w:rPr>
          <w:rFonts w:cs="Times New Roman"/>
        </w:rPr>
        <w:t xml:space="preserve">z obszarami leśnymi (ang. </w:t>
      </w:r>
      <w:r w:rsidRPr="00961358">
        <w:rPr>
          <w:rFonts w:cs="Times New Roman"/>
          <w:i/>
        </w:rPr>
        <w:t xml:space="preserve">Forest Bird Index – </w:t>
      </w:r>
      <w:r w:rsidRPr="00961358">
        <w:rPr>
          <w:rFonts w:cs="Times New Roman"/>
        </w:rPr>
        <w:t>FBI34</w:t>
      </w:r>
      <w:r w:rsidRPr="00961358">
        <w:rPr>
          <w:rStyle w:val="Odwoanieprzypisudolnego"/>
          <w:rFonts w:cs="Times New Roman"/>
        </w:rPr>
        <w:footnoteReference w:id="60"/>
      </w:r>
      <w:r w:rsidRPr="00961358">
        <w:rPr>
          <w:rFonts w:cs="Times New Roman"/>
        </w:rPr>
        <w:t>).</w:t>
      </w:r>
      <w:r>
        <w:rPr>
          <w:rStyle w:val="Odwoanieprzypisudolnego"/>
          <w:rFonts w:cs="Times New Roman"/>
        </w:rPr>
        <w:footnoteReference w:id="61"/>
      </w:r>
      <w:r>
        <w:rPr>
          <w:rFonts w:cs="Times New Roman"/>
        </w:rPr>
        <w:t xml:space="preserve">Wskaźnik ten jest również obliczany w ramach Państwowego Monitoringu Środowiska. </w:t>
      </w:r>
      <w:r w:rsidRPr="00861937">
        <w:rPr>
          <w:rFonts w:cs="Times New Roman"/>
        </w:rPr>
        <w:t xml:space="preserve">W latach 2000–2011 populacja rozpowszechnionych ptaków leśnych wykazywała wyraźne tendencje wzrostowe, a zagregowany wskaźnik przyrastał około 2% rocznie. </w:t>
      </w:r>
      <w:r>
        <w:rPr>
          <w:rFonts w:cs="Times New Roman"/>
        </w:rPr>
        <w:t>W latach 2012- 2016</w:t>
      </w:r>
      <w:r w:rsidRPr="00861937">
        <w:rPr>
          <w:rFonts w:cs="Times New Roman"/>
        </w:rPr>
        <w:t xml:space="preserve"> wskaźnik przyjmował zbliżone do siebie wartości i kształtował się na poziomie o około 25% wyższym niż w bazowym </w:t>
      </w:r>
      <w:r>
        <w:rPr>
          <w:rFonts w:cs="Times New Roman"/>
        </w:rPr>
        <w:t>(</w:t>
      </w:r>
      <w:r w:rsidRPr="00861937">
        <w:rPr>
          <w:rFonts w:cs="Times New Roman"/>
        </w:rPr>
        <w:t>2000</w:t>
      </w:r>
      <w:r>
        <w:rPr>
          <w:rFonts w:cs="Times New Roman"/>
        </w:rPr>
        <w:t>)</w:t>
      </w:r>
      <w:r w:rsidRPr="00861937">
        <w:rPr>
          <w:rFonts w:cs="Times New Roman"/>
        </w:rPr>
        <w:t>.</w:t>
      </w:r>
      <w:r w:rsidRPr="00961358" w:rsidDel="00243F56">
        <w:rPr>
          <w:rFonts w:cs="Times New Roman"/>
        </w:rPr>
        <w:t xml:space="preserve"> </w:t>
      </w:r>
    </w:p>
    <w:p w:rsidR="005270A2" w:rsidRDefault="005270A2" w:rsidP="005270A2">
      <w:pPr>
        <w:ind w:firstLine="708"/>
      </w:pPr>
    </w:p>
    <w:p w:rsidR="005270A2" w:rsidRPr="003B1DFB" w:rsidRDefault="005270A2" w:rsidP="003B1DFB">
      <w:pPr>
        <w:pStyle w:val="Nagwek2"/>
      </w:pPr>
      <w:bookmarkStart w:id="60" w:name="_Toc505604931"/>
      <w:bookmarkStart w:id="61" w:name="_Toc505605324"/>
      <w:r w:rsidRPr="003B1DFB">
        <w:t>Lasy</w:t>
      </w:r>
      <w:bookmarkEnd w:id="60"/>
      <w:bookmarkEnd w:id="61"/>
    </w:p>
    <w:p w:rsidR="005270A2" w:rsidRPr="00687EEA" w:rsidRDefault="005270A2" w:rsidP="005270A2">
      <w:pPr>
        <w:jc w:val="both"/>
      </w:pPr>
      <w:r w:rsidRPr="00300CE7">
        <w:t>Obszary leśne, zajmujące około 1/3 powierzchni Polski, odgrywają istotną rolę w zachowaniu bezpieczeństwa ekologicznego kraju. Gospodarka leśna w Polsce prowadzona jest według zasad: powszechnej ochrony lasów; trwałości utrzymania lasów; ciągłości i zrównoważonego wykorzystania wszystkich funkcji lasów oraz powiększania zasobów leśnych.</w:t>
      </w:r>
    </w:p>
    <w:p w:rsidR="005270A2" w:rsidRPr="00687EEA" w:rsidRDefault="005270A2" w:rsidP="005270A2">
      <w:pPr>
        <w:jc w:val="both"/>
      </w:pPr>
      <w:r w:rsidRPr="00687EEA">
        <w:t xml:space="preserve">Trwale zrównoważona, wielofunkcyjna gospodarka leśna ukierunkowana jest na zachowanie lasów i </w:t>
      </w:r>
      <w:r>
        <w:t xml:space="preserve">ich </w:t>
      </w:r>
      <w:r w:rsidRPr="00687EEA">
        <w:t xml:space="preserve">korzystnego wpływu na klimat, powietrze, wodę, glebę, zasoby przyrodnicze oraz warunki życia i zdrowia człowieka. Podejmowane działania zmierzają do zapewnienia ukształtowania struktury lasów </w:t>
      </w:r>
      <w:r>
        <w:t>aby</w:t>
      </w:r>
      <w:r w:rsidRPr="00687EEA">
        <w:t xml:space="preserve"> sposób i temp</w:t>
      </w:r>
      <w:r>
        <w:t>o ich</w:t>
      </w:r>
      <w:r w:rsidRPr="00687EEA">
        <w:t xml:space="preserve"> wykorzystania zapewnia</w:t>
      </w:r>
      <w:r>
        <w:t>ł</w:t>
      </w:r>
      <w:r w:rsidRPr="00687EEA">
        <w:t xml:space="preserve"> trwałe zachowanie ich bogactwa biologicznego, wysokiej produkcyjności </w:t>
      </w:r>
      <w:r>
        <w:t>oraz potencjału regeneracyjnego.</w:t>
      </w:r>
      <w:r w:rsidRPr="00687EEA">
        <w:t xml:space="preserve"> </w:t>
      </w:r>
      <w:r>
        <w:t>Lasy powinny zachować</w:t>
      </w:r>
      <w:r w:rsidRPr="00687EEA">
        <w:t xml:space="preserve"> zdolnoś</w:t>
      </w:r>
      <w:r>
        <w:t>ć</w:t>
      </w:r>
      <w:r w:rsidRPr="00687EEA">
        <w:t xml:space="preserve"> do wypełniania,</w:t>
      </w:r>
      <w:r>
        <w:t xml:space="preserve"> zarówno</w:t>
      </w:r>
      <w:r w:rsidRPr="00687EEA">
        <w:t xml:space="preserve"> teraz</w:t>
      </w:r>
      <w:r>
        <w:t xml:space="preserve"> jak</w:t>
      </w:r>
      <w:r w:rsidRPr="00687EEA">
        <w:t xml:space="preserve"> i w przyszłości, wszystkich ważnych ochronnych, gospodarczych i społecznych funkcji na poziomie lokalnym, narodowym i globalnym, bez szkody dla innych ekosystemów.</w:t>
      </w:r>
    </w:p>
    <w:p w:rsidR="005270A2" w:rsidRDefault="005270A2" w:rsidP="005270A2">
      <w:pPr>
        <w:jc w:val="both"/>
      </w:pPr>
    </w:p>
    <w:p w:rsidR="005270A2" w:rsidRPr="004E65E5" w:rsidRDefault="005270A2" w:rsidP="005270A2">
      <w:pPr>
        <w:jc w:val="both"/>
      </w:pPr>
      <w:r>
        <w:rPr>
          <w:noProof/>
          <w:lang w:eastAsia="pl-PL"/>
        </w:rPr>
        <w:lastRenderedPageBreak/>
        <w:drawing>
          <wp:inline distT="0" distB="0" distL="0" distR="0" wp14:anchorId="65F2EFA6" wp14:editId="33E0AEB6">
            <wp:extent cx="3933190" cy="3540760"/>
            <wp:effectExtent l="0" t="0" r="0" b="254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24138" t="21161" r="18741" b="14561"/>
                    <a:stretch/>
                  </pic:blipFill>
                  <pic:spPr bwMode="auto">
                    <a:xfrm>
                      <a:off x="0" y="0"/>
                      <a:ext cx="3933190" cy="3540760"/>
                    </a:xfrm>
                    <a:prstGeom prst="rect">
                      <a:avLst/>
                    </a:prstGeom>
                    <a:ln>
                      <a:noFill/>
                    </a:ln>
                    <a:extLst>
                      <a:ext uri="{53640926-AAD7-44D8-BBD7-CCE9431645EC}">
                        <a14:shadowObscured xmlns:a14="http://schemas.microsoft.com/office/drawing/2010/main"/>
                      </a:ext>
                    </a:extLst>
                  </pic:spPr>
                </pic:pic>
              </a:graphicData>
            </a:graphic>
          </wp:inline>
        </w:drawing>
      </w:r>
    </w:p>
    <w:p w:rsidR="005270A2" w:rsidRPr="004E65E5" w:rsidRDefault="005270A2" w:rsidP="005270A2">
      <w:pPr>
        <w:jc w:val="both"/>
        <w:rPr>
          <w:i/>
        </w:rPr>
      </w:pPr>
      <w:r w:rsidRPr="004E65E5">
        <w:rPr>
          <w:i/>
        </w:rPr>
        <w:t xml:space="preserve">Rys. </w:t>
      </w:r>
      <w:r w:rsidR="001E35FE">
        <w:rPr>
          <w:i/>
        </w:rPr>
        <w:t>8</w:t>
      </w:r>
      <w:r w:rsidR="004E65E5" w:rsidRPr="004E65E5">
        <w:rPr>
          <w:i/>
        </w:rPr>
        <w:t>.</w:t>
      </w:r>
      <w:r w:rsidR="001E35FE">
        <w:rPr>
          <w:i/>
        </w:rPr>
        <w:t>5</w:t>
      </w:r>
      <w:r w:rsidRPr="004E65E5">
        <w:rPr>
          <w:i/>
        </w:rPr>
        <w:t xml:space="preserve"> Lasy w Polsce </w:t>
      </w:r>
      <w:r w:rsidR="004E65E5" w:rsidRPr="004E65E5">
        <w:rPr>
          <w:i/>
        </w:rPr>
        <w:t>(</w:t>
      </w:r>
      <w:r w:rsidRPr="004E65E5">
        <w:rPr>
          <w:i/>
        </w:rPr>
        <w:t xml:space="preserve">źródło </w:t>
      </w:r>
      <w:hyperlink r:id="rId63" w:history="1">
        <w:r w:rsidRPr="004E65E5">
          <w:rPr>
            <w:rStyle w:val="Hipercze"/>
            <w:i/>
          </w:rPr>
          <w:t>http://geoserwis.gdos.gov.pl/mapy/</w:t>
        </w:r>
      </w:hyperlink>
      <w:r w:rsidRPr="004E65E5">
        <w:rPr>
          <w:i/>
        </w:rPr>
        <w:t xml:space="preserve"> dostęp 07.11.2017).</w:t>
      </w:r>
    </w:p>
    <w:p w:rsidR="005270A2" w:rsidRPr="00687EEA" w:rsidRDefault="005270A2" w:rsidP="005270A2">
      <w:pPr>
        <w:jc w:val="both"/>
      </w:pPr>
      <w:r w:rsidRPr="00687EEA">
        <w:t>Powierzchnia lasów w Polsce wynosi 9,2 mln ha, co odpowiada lesistości 29,5%  (0,24 ha/osobę</w:t>
      </w:r>
      <w:r>
        <w:t>)</w:t>
      </w:r>
      <w:r w:rsidRPr="00687EEA">
        <w:t xml:space="preserve">. Obliczona wg standardu międzynarodowego lesistość Polski  była </w:t>
      </w:r>
      <w:r>
        <w:t xml:space="preserve">w 2015 r. </w:t>
      </w:r>
      <w:r w:rsidRPr="00687EEA">
        <w:t>o 2 punkty procentowe niższa od średniej europejskiej (lesistość Polski 30,8%, średnia europejska 32,8%),</w:t>
      </w:r>
      <w:r>
        <w:t xml:space="preserve"> jednak zbliżona do lesistości </w:t>
      </w:r>
      <w:r w:rsidRPr="00F30B18">
        <w:t xml:space="preserve">innych dużych krajów położonych na Nizinie Środkowoeuropejskiej, tj. Francji – </w:t>
      </w:r>
      <w:r>
        <w:t>32</w:t>
      </w:r>
      <w:r w:rsidRPr="00F30B18">
        <w:t>% i Niemiec – 3</w:t>
      </w:r>
      <w:r>
        <w:t>3</w:t>
      </w:r>
      <w:r w:rsidRPr="00F30B18">
        <w:t>%</w:t>
      </w:r>
      <w:r>
        <w:t>).</w:t>
      </w:r>
      <w:r w:rsidRPr="00687EEA">
        <w:t xml:space="preserve"> </w:t>
      </w:r>
      <w:r>
        <w:t xml:space="preserve">Powierzchnia lasów w Polsce systematycznie zwiększa się </w:t>
      </w:r>
      <w:r w:rsidRPr="00687EEA">
        <w:t>od 1945 r.  Zgodnie z celem określonym w „Krajowym programie zwiększania lesistości” lesistość Polski powinna wzrosnąć do 30% w 2020 r. (i do 33% w 2050 r.). Obecnie osiągnięcie wyznaczonego celu napotyka coraz większe trudności związane z niską podażą gruntów do zalesiania.</w:t>
      </w:r>
    </w:p>
    <w:p w:rsidR="005270A2" w:rsidRPr="00687EEA" w:rsidRDefault="005270A2" w:rsidP="005270A2">
      <w:pPr>
        <w:jc w:val="both"/>
      </w:pPr>
      <w:r w:rsidRPr="00687EEA">
        <w:t>W Polsce dominują lasy publiczne</w:t>
      </w:r>
      <w:r>
        <w:t>,</w:t>
      </w:r>
      <w:r w:rsidRPr="00687EEA">
        <w:t xml:space="preserve"> stanowiące 80,8% powierzchni wszystkich lasów, z czego 77 % znajduje się w zarządzie P</w:t>
      </w:r>
      <w:r>
        <w:t xml:space="preserve">GL </w:t>
      </w:r>
      <w:r w:rsidRPr="00687EEA">
        <w:t>Lasy Państwowe</w:t>
      </w:r>
      <w:r>
        <w:t xml:space="preserve"> (PGLLP)</w:t>
      </w:r>
      <w:r w:rsidRPr="00687EEA">
        <w:t xml:space="preserve">, 2% w parkach narodowych, pozostałe są własnością gmin i innych podmiotów. Lasy prywatne stanowią 19,2% powierzchni </w:t>
      </w:r>
      <w:r>
        <w:t xml:space="preserve">wszystkich </w:t>
      </w:r>
      <w:r w:rsidRPr="00687EEA">
        <w:t>lasów.</w:t>
      </w:r>
      <w:r>
        <w:t xml:space="preserve"> Skoncentrowanie zdecydowanej większości lasów w kraju w rękach publicznych daje znacznie większe możliwości realizacji wielofunkcyjnej gospodarki leśnej.</w:t>
      </w:r>
    </w:p>
    <w:p w:rsidR="005270A2" w:rsidRDefault="005270A2" w:rsidP="005270A2">
      <w:pPr>
        <w:jc w:val="both"/>
      </w:pPr>
      <w:r w:rsidRPr="00687EEA">
        <w:t xml:space="preserve">Dominacja własności państwowej w strukturze zarządzania </w:t>
      </w:r>
      <w:r>
        <w:t xml:space="preserve">ułatwiła wprowadzenie </w:t>
      </w:r>
      <w:r w:rsidRPr="00687EEA">
        <w:t xml:space="preserve"> modelu wielofunkcyjnego leśnictwa, gwarantuj</w:t>
      </w:r>
      <w:r>
        <w:t>ącego</w:t>
      </w:r>
      <w:r w:rsidRPr="00687EEA">
        <w:t xml:space="preserve"> zachowanie wysokiego poziomu różnorodności biologicznej oraz stabilność ekosystemów i zachodzących w nich procesów sukcesyjnych</w:t>
      </w:r>
      <w:r>
        <w:t>.</w:t>
      </w:r>
      <w:r w:rsidRPr="00687EEA">
        <w:t xml:space="preserve"> </w:t>
      </w:r>
      <w:r>
        <w:t>Ś</w:t>
      </w:r>
      <w:r w:rsidRPr="00687EEA">
        <w:t xml:space="preserve">wiadczy </w:t>
      </w:r>
      <w:r>
        <w:t xml:space="preserve">o tym m.in. </w:t>
      </w:r>
      <w:r w:rsidRPr="00687EEA">
        <w:t xml:space="preserve">objęcie 39% powierzchni Lasów Państwowych obszarami sieci Natura 2000 </w:t>
      </w:r>
      <w:r>
        <w:t xml:space="preserve">w celu </w:t>
      </w:r>
      <w:r w:rsidRPr="00687EEA">
        <w:t xml:space="preserve"> zachowani</w:t>
      </w:r>
      <w:r>
        <w:t>a</w:t>
      </w:r>
      <w:r w:rsidRPr="00687EEA">
        <w:t xml:space="preserve"> określonych typów siedlisk przyrodniczych oraz gatunków uznanych za cenne i zagrożone w skali całej Europy. Prowadzenie wielofunkcyjnej i trwale zrównoważonej gospodarki leśnej </w:t>
      </w:r>
      <w:r>
        <w:t xml:space="preserve">przez PGLLP </w:t>
      </w:r>
      <w:r w:rsidRPr="00687EEA">
        <w:t>umożliwia zachowanie równowagi między świadczonymi przez lasy funkcjami: przyrodniczymi (ochronnymi), społecznymi i gospodarczymi</w:t>
      </w:r>
      <w:r>
        <w:t>.</w:t>
      </w:r>
      <w:r w:rsidRPr="00687EEA">
        <w:t xml:space="preserve"> </w:t>
      </w:r>
      <w:r>
        <w:t>Równocześnie s</w:t>
      </w:r>
      <w:r w:rsidRPr="00687EEA">
        <w:t xml:space="preserve">twarza warunki do zachowania bogactwa przyrodniczego lasów, przy jedoczesnym korzystaniu z ich zasobów w celu zaspokojenia </w:t>
      </w:r>
      <w:r w:rsidRPr="00687EEA">
        <w:lastRenderedPageBreak/>
        <w:t>potrzeb społecznych i gospodarczych</w:t>
      </w:r>
      <w:r>
        <w:t xml:space="preserve"> oraz zachowaniu samodzielności finansowej Lasów Państwowych</w:t>
      </w:r>
      <w:r w:rsidRPr="00687EEA">
        <w:t>.</w:t>
      </w:r>
      <w:r>
        <w:t xml:space="preserve"> </w:t>
      </w:r>
      <w:r w:rsidRPr="00EB12A6">
        <w:t>Lasy są miejscem realizacji gospodarki łowieckiej.</w:t>
      </w:r>
    </w:p>
    <w:p w:rsidR="005270A2" w:rsidRPr="00687EEA" w:rsidRDefault="005270A2" w:rsidP="005270A2">
      <w:pPr>
        <w:jc w:val="both"/>
      </w:pPr>
      <w:r>
        <w:t xml:space="preserve">Trwała gospodarka leśna zapewnia podaż drewna zaspokajającego potrzeby różnych sektorów, w tym </w:t>
      </w:r>
      <w:r w:rsidRPr="00687EEA">
        <w:t xml:space="preserve">przemysłu </w:t>
      </w:r>
      <w:r>
        <w:t xml:space="preserve">drzewnego, </w:t>
      </w:r>
      <w:r w:rsidRPr="00687EEA">
        <w:t xml:space="preserve">meblarskiego, </w:t>
      </w:r>
      <w:r>
        <w:t xml:space="preserve">celulozowo-papierniczego, </w:t>
      </w:r>
      <w:r w:rsidRPr="00687EEA">
        <w:t>budownictwa</w:t>
      </w:r>
      <w:r>
        <w:t>, a także</w:t>
      </w:r>
      <w:r w:rsidRPr="00687EEA">
        <w:t xml:space="preserve"> </w:t>
      </w:r>
      <w:r>
        <w:t>produkcji energii (</w:t>
      </w:r>
      <w:r w:rsidRPr="00687EEA">
        <w:t>biomas</w:t>
      </w:r>
      <w:r>
        <w:t>a</w:t>
      </w:r>
      <w:r w:rsidRPr="00687EEA">
        <w:t xml:space="preserve"> leśn</w:t>
      </w:r>
      <w:r>
        <w:t>a)</w:t>
      </w:r>
      <w:r w:rsidRPr="00687EEA">
        <w:t>. Zasoby drzewne w polskich lasach osiągnęły miąższość blisko 2,49 mld m</w:t>
      </w:r>
      <w:r>
        <w:rPr>
          <w:vertAlign w:val="superscript"/>
        </w:rPr>
        <w:t>3</w:t>
      </w:r>
      <w:r w:rsidRPr="00687EEA">
        <w:t xml:space="preserve"> (w tym w L</w:t>
      </w:r>
      <w:r>
        <w:t xml:space="preserve">asach </w:t>
      </w:r>
      <w:r w:rsidRPr="00687EEA">
        <w:t>P</w:t>
      </w:r>
      <w:r>
        <w:t>aństwowych</w:t>
      </w:r>
      <w:r w:rsidRPr="00687EEA">
        <w:t xml:space="preserve"> – 1,96 mld m</w:t>
      </w:r>
      <w:r>
        <w:rPr>
          <w:vertAlign w:val="superscript"/>
        </w:rPr>
        <w:t>3</w:t>
      </w:r>
      <w:r w:rsidRPr="00687EEA">
        <w:t xml:space="preserve">). </w:t>
      </w:r>
      <w:r>
        <w:t>Pod względem wielkości tych zasobów nasz kraj zajmuje</w:t>
      </w:r>
      <w:r w:rsidRPr="00687EEA">
        <w:t xml:space="preserve"> czwarte </w:t>
      </w:r>
      <w:r>
        <w:t xml:space="preserve">miejsce </w:t>
      </w:r>
      <w:r w:rsidRPr="00687EEA">
        <w:t xml:space="preserve">w Unii Europejskiej. W ciągu ostatnich 50 lat </w:t>
      </w:r>
      <w:r>
        <w:t xml:space="preserve">zapas drewna na pniu </w:t>
      </w:r>
      <w:r w:rsidRPr="00687EEA">
        <w:t xml:space="preserve">zwiększył się dwukrotnie. </w:t>
      </w:r>
      <w:r>
        <w:t>Ok. 90% zużywanego w kraju surowca drzewnego dostarczają Lasy Państwowe</w:t>
      </w:r>
      <w:r w:rsidRPr="00687EEA">
        <w:t xml:space="preserve">. Od 1990 r. zużycie </w:t>
      </w:r>
      <w:r>
        <w:t>drewna</w:t>
      </w:r>
      <w:r w:rsidRPr="00687EEA">
        <w:t xml:space="preserve"> w Polsce wzrosło ponad dwukrotnie (do ponad 1 m</w:t>
      </w:r>
      <w:r>
        <w:rPr>
          <w:vertAlign w:val="superscript"/>
        </w:rPr>
        <w:t>3</w:t>
      </w:r>
      <w:r w:rsidRPr="00687EEA">
        <w:t xml:space="preserve"> na osobę</w:t>
      </w:r>
      <w:r>
        <w:t xml:space="preserve"> </w:t>
      </w:r>
      <w:r w:rsidRPr="00687EEA">
        <w:t>ro</w:t>
      </w:r>
      <w:r>
        <w:t>cznie</w:t>
      </w:r>
      <w:r w:rsidRPr="00687EEA">
        <w:t>). Dzięki rosnącym zasobom Lasy Państwowe są w stanie zaspokajać rosnący popyt, zwiększając dostawy drewna na rynek: z 17 mln m</w:t>
      </w:r>
      <w:r w:rsidRPr="00E67650">
        <w:rPr>
          <w:vertAlign w:val="superscript"/>
        </w:rPr>
        <w:t>3</w:t>
      </w:r>
      <w:r w:rsidRPr="00687EEA">
        <w:t xml:space="preserve"> w 1990 r. do 38,3 mln m</w:t>
      </w:r>
      <w:r w:rsidRPr="00E67650">
        <w:rPr>
          <w:vertAlign w:val="superscript"/>
        </w:rPr>
        <w:t>3</w:t>
      </w:r>
      <w:r w:rsidRPr="00687EEA">
        <w:t xml:space="preserve"> grubizny netto w 2015 r. </w:t>
      </w:r>
    </w:p>
    <w:p w:rsidR="005270A2" w:rsidRPr="00EB12A6" w:rsidRDefault="005270A2" w:rsidP="005270A2">
      <w:pPr>
        <w:jc w:val="both"/>
      </w:pPr>
      <w:r w:rsidRPr="00EB12A6">
        <w:t>Lasy są istotnym elementem stabilizacji klimatu lokalnego i globalnego. Szacuje się, że zawartość węgla w biomasie drzewnej lasów w Polsce wynosi 822 mln ton, w tym w drewnie na pniu 685 mln ton i w części podziemnej 32 mln ton. Ilość pochłanianego rocznie CO</w:t>
      </w:r>
      <w:r w:rsidRPr="00EB12A6">
        <w:rPr>
          <w:vertAlign w:val="subscript"/>
        </w:rPr>
        <w:t>2</w:t>
      </w:r>
      <w:r w:rsidRPr="00EB12A6">
        <w:t xml:space="preserve"> (z uwzględnieniem użytkowania i absorpcji gazu przez gleby) jest szacowana na 41,4 mln ton, co w przybliżeniu przekłada się na 11,3 mln ton węgla. Polska na tle krajów europejskich należy do liderów w ilości węgla związanego w biomasie drzewnej na obszarach leśnych. Wynika to w dużej mierze z wielkości zasobów oraz struktury gatunkowej, siedliskowej i wiekowej Polskich lasów.</w:t>
      </w:r>
    </w:p>
    <w:p w:rsidR="005270A2" w:rsidRPr="00EB12A6" w:rsidRDefault="005270A2" w:rsidP="005270A2">
      <w:pPr>
        <w:jc w:val="both"/>
      </w:pPr>
      <w:r w:rsidRPr="00EB12A6">
        <w:t>Lasy nie tylko stanowią znaczny zasób węgla, lecz posiadają także duży potencjał do łagodzenia zmian klimatu, który można zwiększać poprzez prowadzenie dodatkowych działań w sektorze leśnym. Działania takie przyczyniają się również do wzrostu bioróżnorodności. Obszar leśny, na którym będą prowadzone działania dodatkowe, stanie się również terenem o zwiększonej różnorodności biologicznej.</w:t>
      </w:r>
    </w:p>
    <w:p w:rsidR="005270A2" w:rsidRPr="00EB12A6" w:rsidRDefault="005270A2" w:rsidP="005270A2">
      <w:pPr>
        <w:jc w:val="both"/>
      </w:pPr>
      <w:r w:rsidRPr="00EB12A6">
        <w:t xml:space="preserve">Polska planuje ustanowić system dodatkowych działań w leśnictwie, które miałyby na celu zwiększenie sekwestracji węgla. System ten bazowałby na dodatkowych działaniach związanych z prowadzoną zrównoważoną gospodarką leśną. W ramach tych działań planuje się opracowanie wieloletnich programów przebudowy składu gatunkowego drzewostanów oraz programów kształtowania ich struktury wielopiętrowej. </w:t>
      </w:r>
    </w:p>
    <w:p w:rsidR="005270A2" w:rsidRPr="00687EEA" w:rsidRDefault="005270A2" w:rsidP="005270A2">
      <w:pPr>
        <w:jc w:val="both"/>
      </w:pPr>
      <w:r w:rsidRPr="00EB12A6">
        <w:t>Lasy znacząco wpływają na poprawę naturalnej retencji wody i gospodarki wodnej w zlewniach, zatrzymując i spowalniając odpływ wód opadowych.  Na 21,7% lasów w zarządzie PGLLP dominuje funkcja wodochronna, a sposób prowadzenia gospodarki leśnej ukierunkowany jest na poprawę gospodarki wodnej.</w:t>
      </w:r>
      <w:r>
        <w:t xml:space="preserve"> </w:t>
      </w:r>
      <w:r w:rsidRPr="00EB12A6">
        <w:t>Ważna jest również rola lasów w kształtowaniu korzystnych warunków zdrowotnych i rekreacyjnych dla społeczeństwa.</w:t>
      </w:r>
      <w:r>
        <w:t xml:space="preserve"> </w:t>
      </w:r>
      <w:r w:rsidRPr="00EB12A6">
        <w:t xml:space="preserve">Wyzwaniem dla leśnictwa jest wypracowanie metod wyceny usług pozaprodukcyjnych funkcji lasu, co wpisuje się w szerszą tematykę </w:t>
      </w:r>
      <w:r w:rsidRPr="004E65E5">
        <w:t>wyceny usług ekosystemowych.</w:t>
      </w:r>
      <w:r w:rsidRPr="00687EEA">
        <w:t xml:space="preserve"> </w:t>
      </w:r>
    </w:p>
    <w:p w:rsidR="005270A2" w:rsidRPr="003B1DFB" w:rsidRDefault="005270A2" w:rsidP="003B1DFB">
      <w:pPr>
        <w:pStyle w:val="Nagwek2"/>
      </w:pPr>
      <w:bookmarkStart w:id="62" w:name="_Toc505604932"/>
      <w:bookmarkStart w:id="63" w:name="_Toc505605325"/>
      <w:r w:rsidRPr="003B1DFB">
        <w:t>Ekosystemy wodno-błotne</w:t>
      </w:r>
      <w:bookmarkEnd w:id="62"/>
      <w:bookmarkEnd w:id="63"/>
    </w:p>
    <w:p w:rsidR="005270A2" w:rsidRPr="004E65E5" w:rsidRDefault="005270A2" w:rsidP="004E65E5">
      <w:pPr>
        <w:jc w:val="both"/>
      </w:pPr>
      <w:r>
        <w:t>Szczególnie istotne w gospodarowaniu zasobami środowiska (w szczególności wody oraz materii organicznej w glebie) oraz zachowaniu różnorodności biologicznej kraju są ekosystemy bagienne. Spełniają one znaczącą rolę w kształtowaniu zasobów organicznego węgla i azotu, są biofiltrami oczyszczającymi wodę krążącą w krajobrazie z biogenów i metali ciężkich, w istotny sposób wpływają na warunki klimatyczne oraz kształtują krajobraz.</w:t>
      </w:r>
      <w:r w:rsidRPr="004E65E5">
        <w:t xml:space="preserve">  </w:t>
      </w:r>
    </w:p>
    <w:p w:rsidR="005270A2" w:rsidRPr="00E67650" w:rsidRDefault="005270A2" w:rsidP="005270A2">
      <w:pPr>
        <w:jc w:val="both"/>
      </w:pPr>
      <w:r>
        <w:lastRenderedPageBreak/>
        <w:t>Lądowe siedliska hydrogeniczne w Polsce zajmują 4 340 tys. ha, co stanowi 13,9% powierzchni kraju. Ok. ¼ z nich to torfowiska, pozostałe zaś to mokradła na podłożu mineralnym, związane z obszarami zalewowymi rzek. Śródlądowe wody otwarte, obejmujące zbiorniki wodne i cieki (rzeki, jeziora, estuaria, stawy i zbiorniki zaporowe), zajmują około 3% powierzchni kraju. Torfowiska, w rozumieniu żywych ekosystemów torfotwórczych, zajmują około 202 tys. ha (0,6% obszaru kraju). Całkowita długość cieków wodnych wynosi około 98 tys. km</w:t>
      </w:r>
    </w:p>
    <w:p w:rsidR="005270A2" w:rsidRPr="00E67650" w:rsidRDefault="005270A2" w:rsidP="004E65E5">
      <w:pPr>
        <w:jc w:val="both"/>
      </w:pPr>
      <w:r>
        <w:t>Mokradła są jednymi z najbogatszych gatunkowo typów ekosystemów na świecie. Szczególnie ważne dla różnorodności biologicznej są wielkoobszarowe mokradła dolin rzecznych, cechujące się dużym zróżnicowaniem siedliskowym i gatunkowym. Położone w większości na ich terenie torfowiska niskie należą do najbogatszych w gatunki ekosystemów strefy umiarkowanej. Jest z nimi związana znaczna liczba gatunków rzadkich i ginących, z których wiele ma centrum zasięgu biogeograficznego w Europie Środkowej Dla wielu gatunków zwierząt i roślin, dolinowe ciągi ekosystemów wodno-błotnych pełnią rolę korytarzy ekologicznych. Bagienne doliny czy mozaikowe kompleksy eutroficznych jezior, szuwarów i ekstensywnie użytkowanych wilgotnych łąk i pastwisk charakteryzują się szczególnym bogactwem ptaków. Jednym z najbogatszych pod względem ornitofauny typów ekosystemów leśnych jest związany z okresowymi zalewami wód rzecznych las łęgowy. Wiele unikatowych pod względem ekologicznym gatunków flory i fauny występuje m.in. na torfowiskach wysokich i przejściowych czy mokradłach źródliskowych. Ważną rolę w kształtowaniu bioróżnorodności rozległych terenów użytkowanych rolniczo pełnią także mokradła śródpolne.</w:t>
      </w:r>
    </w:p>
    <w:p w:rsidR="005270A2" w:rsidRDefault="005270A2" w:rsidP="004E65E5">
      <w:pPr>
        <w:jc w:val="both"/>
      </w:pPr>
      <w:r>
        <w:t xml:space="preserve">Szeroko rozumiane mokradła są obecnie znacznie przekształcone. Większość jest silnie zdegradowana, co dotyczy szczególnie torfowisk niskich, które, ze względu na wysoką produktywność w pierwszych latach po odwodnieniu, zostały w znakomitej większości zmeliorowane na potrzeby rolnictwa. Przykładowo, obecnie zachowanych jest najwyżej 14% torfowisk niskich w Polsce w stosunku do stanu pierwotnego. Przyczyną tego stanu są wybudowane najczęściej do lat 70. XX w. systemy melioracyjne w zatorfionych dolinach rzek, nie posiadające (zazwyczaj w wyniku zaniechania ich utrzymywania) urządzeń piętrzących. Szacuje się, że w znaczący sposób oddziałują one na warunki wodne ok. 60% obszaru dolin rzecznych. </w:t>
      </w:r>
    </w:p>
    <w:p w:rsidR="005270A2" w:rsidRDefault="005270A2" w:rsidP="005270A2">
      <w:pPr>
        <w:jc w:val="both"/>
      </w:pPr>
      <w:r>
        <w:t>Nieprzekształcone doliny rzeczne pełnią funkcję ochrony przeciwpowodziowej. Polskie rzeki cechuje wciąż wysoki stopień naturalności na tle Europy. Wisła, jako jedyna wielka rzeka na naszym kontynencie, zachowała swój naturalny charakter na odcinku ponad 300 km. Jej dolina, podobnie jak dolina Odry, jest jednym z najważniejszych korytarzy migracyjnych w tej części Europy. Regulacja rzek (uregulowania i obwałowania koryt) jest przyczyną niekiedy wielkoobszarowych zmian stosunków wodnych, co ma znaczący wpływ także na stan innych mokradeł. Szacuje się, że polskie rzeki są uregulowane w ok. 40% łącznej długości.</w:t>
      </w:r>
    </w:p>
    <w:p w:rsidR="005270A2" w:rsidRDefault="005270A2" w:rsidP="005270A2">
      <w:pPr>
        <w:jc w:val="both"/>
      </w:pPr>
      <w:r>
        <w:t>W zapobieganiu oraz zmniejszaniu efektów zmian klimatycznych istotną rolę pełnią torfowiska, dzięki trwałemu  wiązaniu węgla atmosferycznego w złożach torfu. Z drugiej strony, ich degradacja poprzez odwodnienie powoduje uwalnianie do atmosfery znacznych ilości dwutlenku węgla. Zdegradowane torfowiska są istotnym źródłem gazów cieplarnianych, zanieczyszczenia wód powierzchniowych i podziemnych, maleje także ich rola w retencjonowaniu wody w zlewni. Ich ochrona i renaturyzacja ma zatem priorytetowe znaczenie nie tylko dla ochrony różnorodności biologicznej, ale także gospodarowania innymi zasobami środowiska.</w:t>
      </w:r>
    </w:p>
    <w:p w:rsidR="005270A2" w:rsidRPr="003B1DFB" w:rsidRDefault="005270A2" w:rsidP="003B1DFB">
      <w:pPr>
        <w:pStyle w:val="Nagwek2"/>
      </w:pPr>
      <w:bookmarkStart w:id="64" w:name="_Toc505604933"/>
      <w:bookmarkStart w:id="65" w:name="_Toc505605326"/>
      <w:r w:rsidRPr="003B1DFB">
        <w:lastRenderedPageBreak/>
        <w:t>Różnorodność biologiczna na terenach rolniczych</w:t>
      </w:r>
      <w:bookmarkEnd w:id="64"/>
      <w:bookmarkEnd w:id="65"/>
      <w:r w:rsidRPr="003B1DFB">
        <w:t xml:space="preserve"> </w:t>
      </w:r>
    </w:p>
    <w:p w:rsidR="005270A2" w:rsidRPr="00EB12A6" w:rsidRDefault="005270A2" w:rsidP="005270A2">
      <w:pPr>
        <w:spacing w:after="120"/>
        <w:jc w:val="both"/>
      </w:pPr>
      <w:r w:rsidRPr="00EB12A6">
        <w:t>Rolnictwo jako dziedzina gospodarki ma na  celu  produkcję żywności, jednocześnie jednak pełni bardzo ważne funkcje środowiskowe. Wspólna Polityka Rolna, zgodnie z art. 11 TFUE, ma na celu m. in. ochronę środowiska w celu wspierania zrównoważonego rozwoju. Rola płatności bezpośrednich w ochronie środowisko została wprost wskazana w motywie 37 preambuły do rozporządzenia Parlamentu Europejskiego i Rady nr 1307/2013, który stwierdza, że poprzez obowiązkowy element „zazielenienia” płatności bezpośrednie służą poprawie wyników w zakresie oddziaływania na środowisko. W ramach zazielenienia ustanowiono obowiązek spełniania trzech praktyk zazielenienia: dywersyfikacji upraw, utrzymania trwałych użytków zielonych (TUZ) oraz utrzymania obszarów proekologicznych (tzw. EFA), które mają wpływ na ochronę środowiska i zachowanie różnorodności biologicznej. Ponadto obok wdrażanego od 2015 r. zazielenienia płatności bezpośrednich, w ramach I filaru WPR realizowana jest także zasada wzajemnej zgodności (cross-compliance), która uzależniła wypłacanie rolnikom płatności w pełnej wysokości m.in. od utrzymywania gruntów wchodzących w skład gospodarstwa w dobrej kulturze rolnej zgodnej z ochroną środowiska oraz od przestrzegania szeregu wymogów z zakresu środowiska.</w:t>
      </w:r>
    </w:p>
    <w:p w:rsidR="005270A2" w:rsidRPr="00EB12A6" w:rsidRDefault="005270A2" w:rsidP="005270A2">
      <w:pPr>
        <w:jc w:val="both"/>
      </w:pPr>
      <w:r w:rsidRPr="00EB12A6">
        <w:t xml:space="preserve">W ramach II filaru WPR w perspektywie 2014 - 2020 obowiązkowo  1/3  środków programów rozwoju obszarów wiejskich  musiała być dedykowana działaniom na rzecz środowiska i klimatu, co w przypadku Polski oznacza, że łączne nakłady publiczne na ten cel wyniosą  4,46 mld euro (w tym wkład UE 2,88 mld euro). Cele środowiskowo – klimatyczne są w realizowane w PROW 2014 – 2020 poprzez następujące działania: Działanie rolno-środowiskowo-klimatyczne, działanie Rolnictwo ekologiczne, Płatności dla obszarów z ograniczeniami naturalnymi lub innymi szczególnymi ograniczeniami (ONW), Działanie zalesieniowe oraz instrumenty wsparcia prośrodowiskowych inwestycji gospodarstw rolnych.  Szczególną rolę w  zakresie ochrony bioróżnorodności odgrywa Działanie rolno-środowiskowo-klimatyczne, w ramach którego wspierane jest dobrowolne stosowanie przez rolników metod produkcji ukierunkowanych na ochronę środowiska. Działanie to pozwala m. in na ochronę cennych siedlisk przyrodniczych na obszarach Natura 2000 i poza nimi. </w:t>
      </w:r>
    </w:p>
    <w:p w:rsidR="005270A2" w:rsidRPr="00EB12A6" w:rsidRDefault="005270A2" w:rsidP="005270A2">
      <w:pPr>
        <w:jc w:val="both"/>
      </w:pPr>
      <w:r w:rsidRPr="00EB12A6">
        <w:t xml:space="preserve">Kwestię zachowania bioróżnorodności należy postrzegać także w aspekcie zasobów genetycznych roślin uprawnych i zwierząt gospodarskich. Jednym z przejawów intensyfikacji rolnictwa jest presja na wprowadzanie wysokowydajnych, jednolitych genetycznie i dostosowanych do nowoczesnych warunków uprawy gatunków i odmian roślin. W produkcji zwierzęcej, w związku z dążeniem do zwiększenia wydajności i zmianami warunków chowu, następuje wypieranie tradycyjnych ras.  Zawężenie puli genetycznej użytkowanych rolniczo roślin i zwierząt jest zjawiskiem niekorzystnym, gdyż oznacza utratę cech potencjalnie zapewniających stabilność produkcji rolnej w przyszłości, zwłaszcza w przypadku zmian w środowisku. W związku z tym, prowadzone są działania na rzecz ochrony zasobów genetycznych w rolnictwie obejmujące m. in.: programy ochrony zasobów genetycznych zwierząt, banki genów, wsparcie rolników wykorzystujących do produkcji  rolnej tradycyjne rasy zwierząt lub gatunki i odmiany roślin. </w:t>
      </w:r>
    </w:p>
    <w:p w:rsidR="004E65E5" w:rsidRDefault="004E65E5" w:rsidP="005270A2">
      <w:pPr>
        <w:rPr>
          <w:b/>
        </w:rPr>
      </w:pPr>
    </w:p>
    <w:p w:rsidR="004E65E5" w:rsidRDefault="004E65E5" w:rsidP="005270A2">
      <w:pPr>
        <w:rPr>
          <w:b/>
        </w:rPr>
      </w:pPr>
    </w:p>
    <w:p w:rsidR="003B1DFB" w:rsidRDefault="003B1DFB" w:rsidP="005270A2">
      <w:pPr>
        <w:rPr>
          <w:b/>
        </w:rPr>
      </w:pPr>
    </w:p>
    <w:p w:rsidR="003B1DFB" w:rsidRDefault="003B1DFB" w:rsidP="005270A2">
      <w:pPr>
        <w:rPr>
          <w:b/>
        </w:rPr>
      </w:pPr>
    </w:p>
    <w:p w:rsidR="005270A2" w:rsidRPr="003B1DFB" w:rsidRDefault="005270A2" w:rsidP="003B1DFB">
      <w:pPr>
        <w:pStyle w:val="Nagwek2"/>
      </w:pPr>
      <w:bookmarkStart w:id="66" w:name="_Toc505604934"/>
      <w:bookmarkStart w:id="67" w:name="_Toc505605327"/>
      <w:r w:rsidRPr="003B1DFB">
        <w:lastRenderedPageBreak/>
        <w:t>Krajobraz</w:t>
      </w:r>
      <w:bookmarkEnd w:id="66"/>
      <w:bookmarkEnd w:id="67"/>
    </w:p>
    <w:p w:rsidR="005270A2" w:rsidRDefault="005270A2" w:rsidP="005270A2">
      <w:pPr>
        <w:jc w:val="both"/>
      </w:pPr>
      <w:r>
        <w:rPr>
          <w:rFonts w:ascii="Calibri" w:eastAsia="Calibri" w:hAnsi="Calibri" w:cs="Times New Roman"/>
        </w:rPr>
        <w:t>Z</w:t>
      </w:r>
      <w:r w:rsidRPr="00FC04C4">
        <w:rPr>
          <w:rFonts w:ascii="Calibri" w:eastAsia="Calibri" w:hAnsi="Calibri" w:cs="Times New Roman"/>
        </w:rPr>
        <w:t>ewnętrznym obrazem wszystkich elementów środowiska przyrodniczego i działalności ludzkiej</w:t>
      </w:r>
      <w:r>
        <w:t>, jak również powszechnym zasobem przekazu kulturowego</w:t>
      </w:r>
      <w:r>
        <w:rPr>
          <w:rFonts w:ascii="Calibri" w:eastAsia="Calibri" w:hAnsi="Calibri" w:cs="Times New Roman"/>
        </w:rPr>
        <w:t xml:space="preserve"> jest krajobraz. </w:t>
      </w:r>
      <w:r>
        <w:t>Na jego zasoby składają się przestrzenie w różnym stopniu zmienione działalnością człowieka, w znacznej części nasycone pamiątkami materialnymi – począwszy od krajobrazu miast, poprzez w pełni antropogeniczne obszary rolnicze do unikalnych zespołów przyrodniczych i zbliżonych do naturalnych, takich jak lasy Puszczy Białowieskiej czy Dolina Biebrzy.</w:t>
      </w:r>
    </w:p>
    <w:p w:rsidR="005270A2" w:rsidRDefault="005270A2" w:rsidP="005270A2">
      <w:pPr>
        <w:jc w:val="both"/>
      </w:pPr>
      <w:r>
        <w:t>W przeciwieństwie do innych elementów środowiska, jego potencjał zasobowy jest najsłabiej określony i rozpoznany. Brakuje powszechnej edukacji o krajobrazie, jego znaczeniu kulturowym, przyrodniczym, społecznym i ekonomicznym i co niezmiernie istotne brakuje również instrumentów służących ochronie ładu przestrzennego. Jest to istotną przeszkodą w racjonalnym zarządzaniu rozwojem przestrzennym, w tym w skutecznym podejmowaniu ochrony unikatowych krajobrazów, ważnych dla zachowania tożsamości narodu. Tymczasem wykorzystanie potencjału unikatowego charakteru polskich zasobów przyrodniczych i krajobrazowych jest szansą dla zrównoważonego rozwoju kraju.</w:t>
      </w:r>
    </w:p>
    <w:p w:rsidR="005270A2" w:rsidRDefault="005270A2" w:rsidP="005270A2">
      <w:pPr>
        <w:jc w:val="both"/>
        <w:rPr>
          <w:bCs/>
        </w:rPr>
      </w:pPr>
      <w:r w:rsidRPr="00496098">
        <w:rPr>
          <w:bCs/>
        </w:rPr>
        <w:t>W dniu 24 czerwca 2004 r. Polska ratyfikowała Europejską Konwencję Krajobrazową, dalej zwaną „EKK”</w:t>
      </w:r>
      <w:r>
        <w:rPr>
          <w:bCs/>
        </w:rPr>
        <w:t xml:space="preserve">. </w:t>
      </w:r>
    </w:p>
    <w:p w:rsidR="005270A2" w:rsidRPr="00280748" w:rsidRDefault="005270A2" w:rsidP="005270A2">
      <w:pPr>
        <w:jc w:val="both"/>
        <w:rPr>
          <w:bCs/>
        </w:rPr>
      </w:pPr>
      <w:r w:rsidRPr="00280748">
        <w:rPr>
          <w:bCs/>
        </w:rPr>
        <w:t xml:space="preserve">Strony </w:t>
      </w:r>
      <w:r>
        <w:rPr>
          <w:bCs/>
        </w:rPr>
        <w:t>EKK</w:t>
      </w:r>
      <w:r w:rsidRPr="00280748">
        <w:rPr>
          <w:bCs/>
        </w:rPr>
        <w:t xml:space="preserve">, akceptując jej cele, są zobowiązane do podejmowania ogólnych </w:t>
      </w:r>
      <w:r w:rsidRPr="00280748">
        <w:rPr>
          <w:bCs/>
        </w:rPr>
        <w:br/>
        <w:t>i specjalnych  środków na rzecz ochrony, planowania i gospodarowania krajobrazem. Do środków ogólnych zaliczamy prawne uznanie krajobrazu jako istotnego komponentu otoczenia ludzi, ustanowienie i wdrożenie polityki krajobrazowej, stworzenie procedur udziału społeczeństwa w kreowaniu tej polityki oraz uwzględnienie kwestii krajobrazowych we wszelkich innych politykach, które bezpośrednio lub p</w:t>
      </w:r>
      <w:r>
        <w:rPr>
          <w:bCs/>
        </w:rPr>
        <w:t>ośrednio oddziałują na krajobraz.</w:t>
      </w:r>
    </w:p>
    <w:p w:rsidR="005270A2" w:rsidRPr="004E65E5" w:rsidRDefault="005270A2" w:rsidP="005270A2">
      <w:pPr>
        <w:jc w:val="both"/>
        <w:rPr>
          <w:b/>
          <w:bCs/>
        </w:rPr>
      </w:pPr>
      <w:r w:rsidRPr="004E65E5">
        <w:rPr>
          <w:b/>
          <w:bCs/>
        </w:rPr>
        <w:t xml:space="preserve">Wśród środków specjalnych (określonych w art. 6 Konwencji) istotnym elementem działań na rzecz ochrony krajobrazu jest podnoszenie świadomości społeczeństwa oraz innych podmiotów w zakresie wartości krajobrazów, ich roli i wprowadzanych w nich zmian. </w:t>
      </w:r>
    </w:p>
    <w:p w:rsidR="005270A2" w:rsidRPr="00280748" w:rsidRDefault="005270A2" w:rsidP="005270A2">
      <w:pPr>
        <w:jc w:val="both"/>
        <w:rPr>
          <w:bCs/>
        </w:rPr>
      </w:pPr>
      <w:r w:rsidRPr="00280748">
        <w:rPr>
          <w:bCs/>
        </w:rPr>
        <w:t xml:space="preserve">Zgodnie z </w:t>
      </w:r>
      <w:r w:rsidRPr="00280748">
        <w:rPr>
          <w:bCs/>
          <w:i/>
        </w:rPr>
        <w:t>Zaleceniem CM/Rec(2008)3 Komitetu Ministrów w sprawie wytycznych dotyczących wdrażania Europejskiej Konwencji Krajobrazowej</w:t>
      </w:r>
      <w:r w:rsidRPr="00280748">
        <w:rPr>
          <w:bCs/>
        </w:rPr>
        <w:t>, wiedza o krajobrazie przyczynia się do wzmacniania stosunków między społeczeństwem, a jego otoczeniem i stanowi podstawę zrównoważonego rozwoju, co ma wpływ na cały proces określania polityki krajobrazowej.</w:t>
      </w:r>
    </w:p>
    <w:p w:rsidR="005270A2" w:rsidRDefault="005270A2" w:rsidP="005270A2">
      <w:pPr>
        <w:jc w:val="both"/>
        <w:rPr>
          <w:bCs/>
        </w:rPr>
      </w:pPr>
      <w:r w:rsidRPr="00280748">
        <w:rPr>
          <w:bCs/>
        </w:rPr>
        <w:t>Podnoszenie świadomości w tym zakresie, ma na celu wyjaśnienie relacji pomiędzy</w:t>
      </w:r>
      <w:r w:rsidRPr="00486B14">
        <w:t xml:space="preserve"> </w:t>
      </w:r>
      <w:r w:rsidRPr="00486B14">
        <w:rPr>
          <w:bCs/>
        </w:rPr>
        <w:t>cechami środowiska naturalnego</w:t>
      </w:r>
      <w:r>
        <w:rPr>
          <w:bCs/>
        </w:rPr>
        <w:t xml:space="preserve"> i</w:t>
      </w:r>
      <w:r w:rsidRPr="00280748">
        <w:rPr>
          <w:bCs/>
        </w:rPr>
        <w:t xml:space="preserve"> warunkami życia społeczeństwa, a działaniami podejmowanymi każdego dnia przez władze i społeczeństwo</w:t>
      </w:r>
      <w:r>
        <w:rPr>
          <w:bCs/>
        </w:rPr>
        <w:t>.</w:t>
      </w:r>
    </w:p>
    <w:p w:rsidR="005270A2" w:rsidRDefault="005270A2" w:rsidP="005270A2">
      <w:pPr>
        <w:jc w:val="both"/>
        <w:rPr>
          <w:bCs/>
        </w:rPr>
      </w:pPr>
      <w:r>
        <w:rPr>
          <w:bCs/>
        </w:rPr>
        <w:t>Mając na uwadze powyższe GDOŚ od 2010 r. podejmuje działania na rzecz podnoszenia świadomości społeczeństwa w zakresie relacji między krajobrazem a człowiekiem, w tym m.in. zainicjowanie i obchody Dnia Krajobrazu.</w:t>
      </w:r>
    </w:p>
    <w:p w:rsidR="005270A2" w:rsidRPr="00496098" w:rsidRDefault="005270A2" w:rsidP="005270A2">
      <w:pPr>
        <w:jc w:val="both"/>
        <w:rPr>
          <w:bCs/>
        </w:rPr>
      </w:pPr>
      <w:r w:rsidRPr="00496098">
        <w:rPr>
          <w:bCs/>
        </w:rPr>
        <w:t xml:space="preserve">Do czasu uchwalenia ustawy z dnia 24 kwietnia 2015 r. o zmianie niektórych ustaw w związku ze wzmocnieniem narzędzi ochrony krajobrazu (Dz. U. poz. 774), zwanej dalej „ustawą krajobrazową”, nie została ona wdrożona do polskiego systemu prawnego. Ustawa krajobrazowa przez wprowadzenie obowiązku sporządzania audytu krajobrazowego uwzględnia przepisy EKK w zakresie </w:t>
      </w:r>
      <w:r w:rsidRPr="00496098">
        <w:rPr>
          <w:bCs/>
        </w:rPr>
        <w:lastRenderedPageBreak/>
        <w:t>identyfikacji i oceny krajobrazów (art. 6C), a także, częściowo w zakresie zdefiniowania celów jakości krajobrazu dla zidentyfikowanych i ocenionych krajobrazów (art. 6D) oraz wprowadzenia instrumentów mających na celu ochronę, gospodarkę i planowanie krajobrazu (art. 6E).</w:t>
      </w:r>
    </w:p>
    <w:p w:rsidR="005270A2" w:rsidRPr="00496098" w:rsidRDefault="005270A2" w:rsidP="005270A2">
      <w:pPr>
        <w:jc w:val="both"/>
        <w:rPr>
          <w:bCs/>
        </w:rPr>
      </w:pPr>
      <w:r>
        <w:rPr>
          <w:bCs/>
        </w:rPr>
        <w:t>Audyt krajobrazowy</w:t>
      </w:r>
      <w:r w:rsidRPr="00496098">
        <w:rPr>
          <w:bCs/>
        </w:rPr>
        <w:t xml:space="preserve"> będzie sporządzany w celu identyfikowania, charakterystyki i oceny krajobrazów występujących na terenie poszczególnych województw, a także określeniu zasad kształtowania krajobrazów uznanych jako tych najcenniejszych, tzw. krajobrazów priorytetowych.</w:t>
      </w:r>
    </w:p>
    <w:p w:rsidR="005270A2" w:rsidRPr="00496098" w:rsidRDefault="005270A2" w:rsidP="005270A2">
      <w:pPr>
        <w:jc w:val="both"/>
        <w:rPr>
          <w:bCs/>
        </w:rPr>
      </w:pPr>
      <w:r w:rsidRPr="00496098">
        <w:rPr>
          <w:bCs/>
        </w:rPr>
        <w:t>Podejmując działania w zakresie ochrony i kształtowania krajobrazów należy mieć na uwadze, iż krajobraz obejmuje wiele aspektów życia człowieka, jest pojęciem bardzo złożonym, a jednocześnie rozumianym przez poszczególne grupy społeczne i zawodowe w zróżnicowany sposób.</w:t>
      </w:r>
    </w:p>
    <w:p w:rsidR="005270A2" w:rsidRPr="00496098" w:rsidRDefault="005270A2" w:rsidP="005270A2">
      <w:pPr>
        <w:jc w:val="both"/>
        <w:rPr>
          <w:bCs/>
        </w:rPr>
      </w:pPr>
      <w:r w:rsidRPr="00496098">
        <w:rPr>
          <w:bCs/>
        </w:rPr>
        <w:t xml:space="preserve">Aby osiągnąć cel, jaki postawiono samorządom wojewódzkim, do audytu krajobrazowego należy </w:t>
      </w:r>
      <w:r>
        <w:rPr>
          <w:bCs/>
        </w:rPr>
        <w:t>zastosować podejście</w:t>
      </w:r>
      <w:r w:rsidRPr="00496098">
        <w:rPr>
          <w:bCs/>
        </w:rPr>
        <w:t xml:space="preserve"> </w:t>
      </w:r>
      <w:r>
        <w:rPr>
          <w:bCs/>
        </w:rPr>
        <w:t>holistyczn</w:t>
      </w:r>
      <w:r w:rsidRPr="00496098">
        <w:rPr>
          <w:bCs/>
        </w:rPr>
        <w:t>e. Z uwagi na powyższe, działania mające na celu opracowanie metodyki identyfikacji i oceny krajobrazu (metodyki sporządzania audytu krajobrazowego) rozpoczęły się już w 2013 r., kiedy w ramach wdrażania przepisów EKK, Generalna Dyrekcja Ochrony Środowiska, zwana dalej „GDOŚ”, zorganizowała pierwszą krajową konferencję poświęconą temu zagadnieniu. W następnym roku GDOŚ zleciła opracowanie metodyki identyfikacji i oceny krajobrazów („Identyfikacja i ocena krajobrazów – metodyka oraz główne zagrożenia”, 2014 r.), która była dyskutowana w bardzo szerokim gronie podczas kolejnej krajowej konferencji. W 2015 r. na zlecenie Ministerstwa Środowiska zostało przeprowadzone testowanie opracowanej metodyki na wybranym obszarze pilotażowym („Sporządzenie audytu krajobrazowego – testowanie metodyki identyfikacji i oceny krajobrazu”, 2015 r.).</w:t>
      </w:r>
    </w:p>
    <w:p w:rsidR="005270A2" w:rsidRPr="003211A8" w:rsidRDefault="005270A2" w:rsidP="005270A2">
      <w:pPr>
        <w:jc w:val="both"/>
      </w:pPr>
      <w:r>
        <w:t>Ponadto w ramach organizowanych przez GDOŚ corocznych konferencji poświęconym aktualnym zagadnieniom związanym z krajobrazem, następuje wymiana informacji oraz integracja różnych środowisk zajmujących się tematyką kszta</w:t>
      </w:r>
      <w:r w:rsidR="003211A8">
        <w:t xml:space="preserve">łtowania i ochrony krajobrazu. </w:t>
      </w:r>
    </w:p>
    <w:p w:rsidR="005270A2" w:rsidRPr="00812649" w:rsidRDefault="005270A2" w:rsidP="00812649">
      <w:pPr>
        <w:pStyle w:val="Nagwek2"/>
      </w:pPr>
      <w:bookmarkStart w:id="68" w:name="_Toc505604935"/>
      <w:bookmarkStart w:id="69" w:name="_Toc505605328"/>
      <w:r w:rsidRPr="00812649">
        <w:t>Podsumowanie</w:t>
      </w:r>
      <w:bookmarkEnd w:id="68"/>
      <w:bookmarkEnd w:id="69"/>
    </w:p>
    <w:p w:rsidR="005270A2" w:rsidRPr="002848C9" w:rsidRDefault="005270A2" w:rsidP="003211A8">
      <w:pPr>
        <w:pStyle w:val="Tekstpodstawowyzwciciem"/>
        <w:spacing w:after="0"/>
        <w:ind w:firstLine="0"/>
        <w:jc w:val="both"/>
        <w:rPr>
          <w:rFonts w:cs="Times New Roman"/>
        </w:rPr>
      </w:pPr>
      <w:r w:rsidRPr="002848C9">
        <w:rPr>
          <w:rFonts w:cs="Times New Roman"/>
        </w:rPr>
        <w:t>Polska wyróżnia się bogactwem przyrodniczym, w tym stosunkowo dużą różnorodnością biologiczną. Powiększa się liczba obszarów cennych przyrodniczo objętych ochroną. O wartościach przyrody świadczy również duża powierzchnia projektowanej sieci obszarów Natura 2000 tworzonych dla ochrony zagrożonych w skali europejskiej gatunków i siedlisk przyrodniczych. Sieć ta</w:t>
      </w:r>
      <w:r>
        <w:rPr>
          <w:rFonts w:cs="Times New Roman"/>
        </w:rPr>
        <w:t xml:space="preserve"> ma docelowo stanowić</w:t>
      </w:r>
      <w:r w:rsidRPr="002848C9">
        <w:rPr>
          <w:rFonts w:cs="Times New Roman"/>
        </w:rPr>
        <w:t xml:space="preserve"> 20% powierzchni kraju. </w:t>
      </w:r>
    </w:p>
    <w:p w:rsidR="005270A2" w:rsidRDefault="005270A2" w:rsidP="003211A8">
      <w:pPr>
        <w:pStyle w:val="Tekstpodstawowyzwciciem"/>
        <w:spacing w:after="0"/>
        <w:ind w:firstLine="0"/>
        <w:jc w:val="both"/>
        <w:rPr>
          <w:rFonts w:cs="Times New Roman"/>
        </w:rPr>
      </w:pPr>
    </w:p>
    <w:p w:rsidR="005270A2" w:rsidRDefault="005270A2" w:rsidP="003211A8">
      <w:pPr>
        <w:pStyle w:val="Tekstpodstawowyzwciciem"/>
        <w:spacing w:after="0"/>
        <w:ind w:firstLine="0"/>
        <w:jc w:val="both"/>
        <w:rPr>
          <w:rFonts w:cs="Times New Roman"/>
        </w:rPr>
      </w:pPr>
      <w:r w:rsidRPr="002848C9">
        <w:rPr>
          <w:rFonts w:cs="Times New Roman"/>
        </w:rPr>
        <w:t>Niemniej jednak stan ochrony większości gatunków i siedlisk przyrodniczych zagrożonych w skali europejskiej określany jest</w:t>
      </w:r>
      <w:r>
        <w:rPr>
          <w:rFonts w:cs="Times New Roman"/>
        </w:rPr>
        <w:t xml:space="preserve"> jako niezadowalający. </w:t>
      </w:r>
      <w:r w:rsidRPr="002848C9">
        <w:rPr>
          <w:rFonts w:cs="Times New Roman"/>
        </w:rPr>
        <w:t xml:space="preserve">Przyczyną </w:t>
      </w:r>
      <w:r w:rsidRPr="003211A8">
        <w:rPr>
          <w:rFonts w:cs="Times New Roman"/>
        </w:rPr>
        <w:t>takiej oceny</w:t>
      </w:r>
      <w:r>
        <w:rPr>
          <w:rFonts w:cs="Times New Roman"/>
        </w:rPr>
        <w:t xml:space="preserve"> jest nie tylko</w:t>
      </w:r>
      <w:r w:rsidRPr="002848C9">
        <w:rPr>
          <w:rFonts w:cs="Times New Roman"/>
        </w:rPr>
        <w:t xml:space="preserve"> stan populacji w przypadku gatunków czy specyficznej struktury i funkcji w przypadku siedlisk przyrodniczych, </w:t>
      </w:r>
      <w:r>
        <w:rPr>
          <w:rFonts w:cs="Times New Roman"/>
        </w:rPr>
        <w:t>lecz także</w:t>
      </w:r>
      <w:r w:rsidRPr="002848C9">
        <w:rPr>
          <w:rFonts w:cs="Times New Roman"/>
        </w:rPr>
        <w:t xml:space="preserve"> stan siedlisk, mała powierzchnia czy złe perspektywy ochrony, czasami także zasięg. Fakt występowania na terenie naszego kraju wielu rzadkich w skali europejskiej gatunków fauny i flory oraz typów siedlisk przyrodniczych </w:t>
      </w:r>
      <w:r>
        <w:rPr>
          <w:rFonts w:cs="Times New Roman"/>
        </w:rPr>
        <w:t>(</w:t>
      </w:r>
      <w:r w:rsidRPr="002848C9">
        <w:rPr>
          <w:rFonts w:cs="Times New Roman"/>
          <w:bCs/>
        </w:rPr>
        <w:t>niektórych zachowan</w:t>
      </w:r>
      <w:r>
        <w:rPr>
          <w:rFonts w:cs="Times New Roman"/>
          <w:bCs/>
        </w:rPr>
        <w:t>ych</w:t>
      </w:r>
      <w:r w:rsidRPr="002848C9">
        <w:rPr>
          <w:rFonts w:cs="Times New Roman"/>
          <w:bCs/>
        </w:rPr>
        <w:t xml:space="preserve"> w dobrym stanie</w:t>
      </w:r>
      <w:r>
        <w:rPr>
          <w:rFonts w:cs="Times New Roman"/>
          <w:bCs/>
        </w:rPr>
        <w:t>)</w:t>
      </w:r>
      <w:r w:rsidRPr="002848C9">
        <w:rPr>
          <w:rFonts w:cs="Times New Roman"/>
        </w:rPr>
        <w:t>, nakłada na Polskę szczególną odpowiedzialność za ochronę europejskiego dziedzictwa przyrodniczego</w:t>
      </w:r>
      <w:r>
        <w:rPr>
          <w:rFonts w:cs="Times New Roman"/>
        </w:rPr>
        <w:t>.</w:t>
      </w:r>
    </w:p>
    <w:p w:rsidR="005270A2" w:rsidRDefault="005270A2" w:rsidP="003211A8">
      <w:pPr>
        <w:pStyle w:val="Tekstpodstawowyzwciciem"/>
        <w:spacing w:after="0"/>
        <w:ind w:firstLine="0"/>
        <w:jc w:val="both"/>
        <w:rPr>
          <w:rFonts w:cs="Times New Roman"/>
        </w:rPr>
      </w:pPr>
    </w:p>
    <w:p w:rsidR="005270A2" w:rsidRDefault="005270A2" w:rsidP="003211A8">
      <w:pPr>
        <w:pStyle w:val="Tekstpodstawowyzwciciem"/>
        <w:spacing w:after="0"/>
        <w:ind w:firstLine="0"/>
        <w:jc w:val="both"/>
        <w:rPr>
          <w:rFonts w:cs="Times New Roman"/>
        </w:rPr>
      </w:pPr>
      <w:r w:rsidRPr="002848C9">
        <w:rPr>
          <w:rFonts w:cs="Times New Roman"/>
        </w:rPr>
        <w:t xml:space="preserve">Obecnie obserwuje się spadek liczebności wielu gatunków ptaków (np. ptaki pospolite krajobrazu rolniczego FBI, ptaki otwartych terenów podmokłych). Jednocześnie liczebność niektórych powiększa się (np. ptaków leśnych, bielika, ślepowrona), a innych jest stabilna. </w:t>
      </w:r>
    </w:p>
    <w:p w:rsidR="005270A2" w:rsidRDefault="005270A2" w:rsidP="003211A8">
      <w:pPr>
        <w:pStyle w:val="Tekstpodstawowyzwciciem"/>
        <w:spacing w:after="0"/>
        <w:ind w:firstLine="0"/>
        <w:jc w:val="both"/>
        <w:rPr>
          <w:rFonts w:cs="Times New Roman"/>
        </w:rPr>
      </w:pPr>
    </w:p>
    <w:p w:rsidR="005270A2" w:rsidRPr="00BE6659" w:rsidRDefault="005270A2" w:rsidP="00BE6659">
      <w:pPr>
        <w:pStyle w:val="Tekstpodstawowyzwciciem"/>
        <w:spacing w:after="0"/>
        <w:ind w:firstLine="0"/>
        <w:jc w:val="both"/>
        <w:rPr>
          <w:rFonts w:cs="Times New Roman"/>
        </w:rPr>
      </w:pPr>
      <w:r w:rsidRPr="002848C9">
        <w:rPr>
          <w:rFonts w:cs="Times New Roman"/>
        </w:rPr>
        <w:lastRenderedPageBreak/>
        <w:t xml:space="preserve">Poważne zagrożenia stwarza: zaniechanie ekstensywnego użytkowania rolniczego cennych obszarów nieleśnych, intensyfikacja rolnictwa, rozwój infrastruktury </w:t>
      </w:r>
      <w:r>
        <w:t>transportowej</w:t>
      </w:r>
      <w:r w:rsidRPr="002848C9">
        <w:rPr>
          <w:rFonts w:cs="Times New Roman"/>
        </w:rPr>
        <w:t>, turystycznej, przemysłowej, energetycznej (małe elektrownie wodne, elektrownie wiatrowe), przyczyniając się zwłaszcza do wtórnej sukcesji, fragmentacji siedlisk, zaniku siedlisk rzadkich gatunków fauny i flory wodno</w:t>
      </w:r>
      <w:r>
        <w:rPr>
          <w:rFonts w:cs="Times New Roman"/>
        </w:rPr>
        <w:t>-</w:t>
      </w:r>
      <w:r w:rsidRPr="002848C9">
        <w:rPr>
          <w:rFonts w:cs="Times New Roman"/>
        </w:rPr>
        <w:t>błotnej. Istotne są również czynniki naturalne np. ostre zimy w przypadku ptaków.</w:t>
      </w:r>
    </w:p>
    <w:p w:rsidR="005270A2" w:rsidRPr="005270A2" w:rsidRDefault="005270A2" w:rsidP="005270A2"/>
    <w:p w:rsidR="00956E3C" w:rsidRDefault="00956E3C" w:rsidP="00956E3C">
      <w:pPr>
        <w:pStyle w:val="Nagwek1"/>
        <w:numPr>
          <w:ilvl w:val="0"/>
          <w:numId w:val="5"/>
        </w:numPr>
        <w:spacing w:after="240"/>
      </w:pPr>
      <w:bookmarkStart w:id="70" w:name="_Toc505604936"/>
      <w:bookmarkStart w:id="71" w:name="_Toc505605329"/>
      <w:r>
        <w:t>O</w:t>
      </w:r>
      <w:r w:rsidRPr="00E22A77">
        <w:t>dpady</w:t>
      </w:r>
      <w:r w:rsidR="00B14D7C">
        <w:rPr>
          <w:rStyle w:val="Odwoanieprzypisudolnego"/>
        </w:rPr>
        <w:footnoteReference w:id="62"/>
      </w:r>
      <w:bookmarkEnd w:id="70"/>
      <w:bookmarkEnd w:id="71"/>
    </w:p>
    <w:p w:rsidR="00B14D7C" w:rsidRPr="0081620D" w:rsidRDefault="00B14D7C" w:rsidP="00B14D7C">
      <w:pPr>
        <w:jc w:val="both"/>
      </w:pPr>
      <w:r w:rsidRPr="00B14D7C">
        <w:rPr>
          <w:bCs/>
        </w:rPr>
        <w:t>Gospodarka odpadami</w:t>
      </w:r>
      <w:r w:rsidRPr="0081620D">
        <w:rPr>
          <w:b/>
          <w:bCs/>
        </w:rPr>
        <w:t xml:space="preserve"> </w:t>
      </w:r>
      <w:r w:rsidRPr="0081620D">
        <w:t>należy do obszarów ochrony środowiska</w:t>
      </w:r>
      <w:r>
        <w:t>, gdzie napotykamy wiele wyzwań</w:t>
      </w:r>
      <w:r w:rsidRPr="0081620D">
        <w:t xml:space="preserve">. </w:t>
      </w:r>
      <w:r w:rsidRPr="0081620D">
        <w:rPr>
          <w:rFonts w:cs="Times New Roman"/>
        </w:rPr>
        <w:t xml:space="preserve">Odpady są potencjalnym zasobem, jeśli są </w:t>
      </w:r>
      <w:r>
        <w:rPr>
          <w:rFonts w:cs="Times New Roman"/>
        </w:rPr>
        <w:t>przygotowywane do ponownego użycia</w:t>
      </w:r>
      <w:r w:rsidRPr="0081620D">
        <w:rPr>
          <w:rFonts w:cs="Times New Roman"/>
        </w:rPr>
        <w:t xml:space="preserve">, poddawane recyklingowi bądź </w:t>
      </w:r>
      <w:r>
        <w:rPr>
          <w:rFonts w:cs="Times New Roman"/>
        </w:rPr>
        <w:t xml:space="preserve">innym metodom </w:t>
      </w:r>
      <w:r w:rsidRPr="0081620D">
        <w:rPr>
          <w:rFonts w:cs="Times New Roman"/>
        </w:rPr>
        <w:t>odzysk</w:t>
      </w:r>
      <w:r>
        <w:rPr>
          <w:rFonts w:cs="Times New Roman"/>
        </w:rPr>
        <w:t>u</w:t>
      </w:r>
      <w:r w:rsidRPr="0081620D">
        <w:rPr>
          <w:rFonts w:cs="Times New Roman"/>
        </w:rPr>
        <w:t>. Z kolei odpady unieszkodliwiane mogą być potraktowane jako utrata zasobów i przejaw nieefektywności gospodarki.</w:t>
      </w:r>
      <w:r>
        <w:rPr>
          <w:rFonts w:cs="Times New Roman"/>
        </w:rPr>
        <w:t xml:space="preserve"> Powtórne zagospodarowanie odpadów wpisuje się w koncepcję biogospodarki, zgodnie z którą odpady mogą być przetwarzane w produkty o wartości dodanej, takie jak np. pasze, biomateriały, bioprodukty </w:t>
      </w:r>
      <w:r>
        <w:rPr>
          <w:rFonts w:cs="Times New Roman"/>
        </w:rPr>
        <w:br/>
        <w:t>i bioenergia.</w:t>
      </w:r>
    </w:p>
    <w:p w:rsidR="00B14D7C" w:rsidRPr="0081620D" w:rsidRDefault="00B14D7C" w:rsidP="00B14D7C">
      <w:pPr>
        <w:spacing w:after="0"/>
        <w:jc w:val="both"/>
        <w:rPr>
          <w:rFonts w:cs="Times New Roman"/>
        </w:rPr>
      </w:pPr>
      <w:r w:rsidRPr="0081620D">
        <w:rPr>
          <w:rFonts w:cs="Times New Roman"/>
        </w:rPr>
        <w:t xml:space="preserve">Nieprawidłowe gospodarowanie odpadami wywiera negatywny wpływ bezpośrednio na jakość wszystkich elementów środowiska, a tym samym na kondycję ekosystemów i zdrowie ludzi. </w:t>
      </w:r>
      <w:r>
        <w:rPr>
          <w:rFonts w:cs="Times New Roman"/>
        </w:rPr>
        <w:t>Odcieki</w:t>
      </w:r>
      <w:r w:rsidRPr="0081620D">
        <w:rPr>
          <w:rFonts w:cs="Times New Roman"/>
        </w:rPr>
        <w:t xml:space="preserve"> z niewłaściwie </w:t>
      </w:r>
      <w:r>
        <w:rPr>
          <w:rFonts w:cs="Times New Roman"/>
        </w:rPr>
        <w:t>eksploatowanych</w:t>
      </w:r>
      <w:r w:rsidRPr="0081620D">
        <w:rPr>
          <w:rFonts w:cs="Times New Roman"/>
        </w:rPr>
        <w:t xml:space="preserve"> składowisk odpadów mogą zanieczyszczać wodę i glebę. Składowiska mogą także powodować zanieczyszczenie powietrza poprzez emisję odorów, szkodliwych substancji lotnych oraz metanu, przyczyniając się do zmian klimatu. Składowiska odpadów zajmują też duże obszary (utrata powierzchni – najczęściej cennej powierzchni biologicznie czynnej) oraz powodują obniżenie estetycznych walorów krajobrazu. Nieracjonalne gospodarowanie odpadami jest też oznaką nieefektywnego pod względem ochrony środowiska wykorzystania zasobów.</w:t>
      </w:r>
    </w:p>
    <w:p w:rsidR="00B14D7C" w:rsidRPr="0081620D" w:rsidRDefault="00B14D7C" w:rsidP="00B14D7C">
      <w:pPr>
        <w:spacing w:after="0"/>
        <w:jc w:val="both"/>
        <w:rPr>
          <w:rFonts w:cs="Times New Roman"/>
        </w:rPr>
      </w:pPr>
    </w:p>
    <w:p w:rsidR="00B14D7C" w:rsidRPr="0081620D" w:rsidRDefault="00B14D7C" w:rsidP="00B14D7C">
      <w:pPr>
        <w:spacing w:after="0"/>
        <w:jc w:val="both"/>
        <w:rPr>
          <w:rFonts w:cs="Times New Roman"/>
        </w:rPr>
      </w:pPr>
      <w:r w:rsidRPr="0081620D">
        <w:rPr>
          <w:rFonts w:cs="Times New Roman"/>
        </w:rPr>
        <w:t xml:space="preserve">Prawo polskie i unijne wprowadziło </w:t>
      </w:r>
      <w:r>
        <w:rPr>
          <w:rFonts w:cs="Times New Roman"/>
        </w:rPr>
        <w:t>hierarchię sposobów postępowania z odpadami</w:t>
      </w:r>
      <w:r w:rsidRPr="0081620D">
        <w:rPr>
          <w:rFonts w:cs="Times New Roman"/>
        </w:rPr>
        <w:t>, zgodnie z któr</w:t>
      </w:r>
      <w:r>
        <w:rPr>
          <w:rFonts w:cs="Times New Roman"/>
        </w:rPr>
        <w:t>ą</w:t>
      </w:r>
      <w:r w:rsidRPr="0081620D">
        <w:rPr>
          <w:rFonts w:cs="Times New Roman"/>
        </w:rPr>
        <w:t xml:space="preserve"> należy w pierwszej kolejności zapobiegać powstawaniu odpadów</w:t>
      </w:r>
      <w:r>
        <w:rPr>
          <w:rFonts w:cs="Times New Roman"/>
        </w:rPr>
        <w:t xml:space="preserve"> (np. poprzez ponowne użycie przedmiotów lub materiałów), a jeśli odpady zostały już wytworzone, to należy je wykorzystać</w:t>
      </w:r>
      <w:r w:rsidRPr="0081620D">
        <w:rPr>
          <w:rFonts w:cs="Times New Roman"/>
        </w:rPr>
        <w:t xml:space="preserve"> poprzez przygotowanie ich do ponownego użycia, poddawanie procesowi recyklingu</w:t>
      </w:r>
      <w:r>
        <w:rPr>
          <w:rFonts w:cs="Times New Roman"/>
        </w:rPr>
        <w:t xml:space="preserve"> lub</w:t>
      </w:r>
      <w:r w:rsidRPr="0081620D">
        <w:rPr>
          <w:rFonts w:cs="Times New Roman"/>
        </w:rPr>
        <w:t xml:space="preserve"> innym procesom odzysku</w:t>
      </w:r>
      <w:r>
        <w:rPr>
          <w:rFonts w:cs="Times New Roman"/>
        </w:rPr>
        <w:t>. Jeśli odpadów nie można wykorzystać, to powinny zostać poddane</w:t>
      </w:r>
      <w:r w:rsidRPr="0081620D">
        <w:rPr>
          <w:rFonts w:cs="Times New Roman"/>
        </w:rPr>
        <w:t xml:space="preserve"> unieszkodliwieniu</w:t>
      </w:r>
      <w:r>
        <w:rPr>
          <w:rFonts w:cs="Times New Roman"/>
        </w:rPr>
        <w:t>, przy czym</w:t>
      </w:r>
      <w:r w:rsidRPr="0081620D">
        <w:rPr>
          <w:rFonts w:cs="Times New Roman"/>
        </w:rPr>
        <w:t xml:space="preserve"> składowanie</w:t>
      </w:r>
      <w:r>
        <w:rPr>
          <w:rFonts w:cs="Times New Roman"/>
        </w:rPr>
        <w:t xml:space="preserve"> odpadów jest najmniej pożądanym sposobem ich zagospodarowania.</w:t>
      </w:r>
      <w:r w:rsidRPr="0081620D">
        <w:rPr>
          <w:rFonts w:cs="Times New Roman"/>
        </w:rPr>
        <w:t xml:space="preserve"> </w:t>
      </w:r>
    </w:p>
    <w:p w:rsidR="00B14D7C" w:rsidRPr="0081620D" w:rsidRDefault="00B14D7C" w:rsidP="00B14D7C">
      <w:pPr>
        <w:spacing w:after="0"/>
        <w:ind w:firstLine="708"/>
        <w:jc w:val="both"/>
        <w:rPr>
          <w:rFonts w:cs="Times New Roman"/>
        </w:rPr>
      </w:pPr>
    </w:p>
    <w:p w:rsidR="00B14D7C" w:rsidRDefault="00B14D7C" w:rsidP="00B14D7C">
      <w:pPr>
        <w:spacing w:after="0"/>
        <w:jc w:val="both"/>
        <w:rPr>
          <w:rFonts w:cs="Times New Roman"/>
          <w:i/>
        </w:rPr>
      </w:pPr>
      <w:r w:rsidRPr="0081620D">
        <w:rPr>
          <w:rFonts w:cs="Times New Roman"/>
        </w:rPr>
        <w:t xml:space="preserve">Głównym czynnikiem determinującym ilość wytwarzanych odpadów jest rozwój gospodarczy, który wpływa zarówno na intensywność produkcji, jak i poziom konsumpcji indywidualnej </w:t>
      </w:r>
      <w:r>
        <w:rPr>
          <w:rFonts w:cs="Times New Roman"/>
        </w:rPr>
        <w:t>oraz</w:t>
      </w:r>
      <w:r w:rsidRPr="0081620D">
        <w:rPr>
          <w:rFonts w:cs="Times New Roman"/>
        </w:rPr>
        <w:t xml:space="preserve"> wzorce tej konsumpcji. Analizując dynamikę zmian ilości wytwarzanych odpadów w odniesieniu do zmian PKB od 2000 r., można zauważyć pozytywny trend – stały poziom wytwarzania odpadów przy ponad 50% wzroście PKB. Można to w pewnym uogólnieniu uznać za efekt działań podejmowanych na rzecz racjonalizacji gospodarki odpad</w:t>
      </w:r>
      <w:r>
        <w:rPr>
          <w:rFonts w:cs="Times New Roman"/>
        </w:rPr>
        <w:t xml:space="preserve">ami </w:t>
      </w:r>
      <w:r w:rsidRPr="0081620D">
        <w:rPr>
          <w:rFonts w:cs="Times New Roman"/>
        </w:rPr>
        <w:t xml:space="preserve">w Polsce </w:t>
      </w:r>
    </w:p>
    <w:p w:rsidR="00B14D7C" w:rsidRPr="00B14D7C" w:rsidRDefault="00B14D7C" w:rsidP="00B14D7C">
      <w:pPr>
        <w:spacing w:after="0"/>
        <w:jc w:val="both"/>
        <w:rPr>
          <w:rFonts w:cs="Times New Roman"/>
          <w:i/>
        </w:rPr>
      </w:pPr>
    </w:p>
    <w:p w:rsidR="00B14D7C" w:rsidRDefault="00B14D7C" w:rsidP="00B14D7C">
      <w:pPr>
        <w:spacing w:after="0" w:line="240" w:lineRule="auto"/>
        <w:jc w:val="both"/>
        <w:rPr>
          <w:rFonts w:cs="Times New Roman"/>
        </w:rPr>
      </w:pPr>
      <w:r w:rsidRPr="0053275D">
        <w:rPr>
          <w:rFonts w:cs="Times New Roman"/>
        </w:rPr>
        <w:lastRenderedPageBreak/>
        <w:t>W roku 201</w:t>
      </w:r>
      <w:r>
        <w:rPr>
          <w:rFonts w:cs="Times New Roman"/>
        </w:rPr>
        <w:t>6</w:t>
      </w:r>
      <w:r w:rsidRPr="0053275D">
        <w:rPr>
          <w:rFonts w:cs="Times New Roman"/>
        </w:rPr>
        <w:t xml:space="preserve"> w Polsce wytworzonych zostało </w:t>
      </w:r>
      <w:r>
        <w:rPr>
          <w:rFonts w:cs="Times New Roman"/>
        </w:rPr>
        <w:t>128</w:t>
      </w:r>
      <w:r w:rsidRPr="0053275D">
        <w:rPr>
          <w:rFonts w:cs="Times New Roman"/>
        </w:rPr>
        <w:t xml:space="preserve"> mln ton odpadów przemysłowych (tj. </w:t>
      </w:r>
      <w:r>
        <w:rPr>
          <w:rFonts w:cs="Times New Roman"/>
        </w:rPr>
        <w:br/>
      </w:r>
      <w:r w:rsidRPr="0053275D">
        <w:rPr>
          <w:rFonts w:cs="Times New Roman"/>
        </w:rPr>
        <w:t xml:space="preserve">z wyłączeniem odpadów komunalnych). Od początku XXI w. masa wytwarzanych odpadów przemysłowych  utrzymywał się na względnie stałym poziomie, ok. 120 mln ton.  </w:t>
      </w:r>
    </w:p>
    <w:p w:rsidR="00B14D7C" w:rsidRDefault="00B14D7C" w:rsidP="00B14D7C">
      <w:pPr>
        <w:spacing w:after="0" w:line="240" w:lineRule="auto"/>
        <w:jc w:val="both"/>
        <w:rPr>
          <w:rFonts w:cs="Times New Roman"/>
        </w:rPr>
      </w:pPr>
    </w:p>
    <w:p w:rsidR="00B14D7C" w:rsidRPr="0081620D" w:rsidRDefault="00B14D7C" w:rsidP="00B14D7C">
      <w:pPr>
        <w:spacing w:after="0" w:line="240" w:lineRule="auto"/>
        <w:jc w:val="both"/>
        <w:rPr>
          <w:rFonts w:cs="Times New Roman"/>
        </w:rPr>
      </w:pPr>
      <w:r>
        <w:rPr>
          <w:noProof/>
          <w:lang w:eastAsia="pl-PL"/>
        </w:rPr>
        <w:drawing>
          <wp:inline distT="0" distB="0" distL="0" distR="0" wp14:anchorId="4D9B5C2D" wp14:editId="5C2BFEF1">
            <wp:extent cx="5247861" cy="2782957"/>
            <wp:effectExtent l="0" t="0" r="10160" b="17780"/>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14D7C" w:rsidRPr="0081620D" w:rsidRDefault="00B14D7C" w:rsidP="00B14D7C">
      <w:pPr>
        <w:spacing w:after="0" w:line="240" w:lineRule="auto"/>
        <w:ind w:firstLine="708"/>
        <w:jc w:val="both"/>
        <w:rPr>
          <w:rFonts w:cs="Times New Roman"/>
        </w:rPr>
      </w:pPr>
    </w:p>
    <w:p w:rsidR="00B14D7C" w:rsidRDefault="00B14D7C" w:rsidP="00B14D7C">
      <w:pPr>
        <w:spacing w:after="120" w:line="240" w:lineRule="auto"/>
        <w:jc w:val="both"/>
        <w:rPr>
          <w:rFonts w:cs="Times New Roman"/>
          <w:i/>
        </w:rPr>
      </w:pPr>
      <w:r w:rsidRPr="0081620D">
        <w:rPr>
          <w:rFonts w:cs="Times New Roman"/>
          <w:i/>
          <w:color w:val="FF0000"/>
        </w:rPr>
        <w:t xml:space="preserve"> </w:t>
      </w:r>
      <w:r w:rsidRPr="0053275D">
        <w:rPr>
          <w:rFonts w:cs="Times New Roman"/>
          <w:i/>
        </w:rPr>
        <w:t xml:space="preserve">Rys. </w:t>
      </w:r>
      <w:r w:rsidR="001E35FE">
        <w:rPr>
          <w:rFonts w:cs="Times New Roman"/>
          <w:i/>
        </w:rPr>
        <w:t>9</w:t>
      </w:r>
      <w:r w:rsidRPr="0053275D">
        <w:rPr>
          <w:rFonts w:cs="Times New Roman"/>
          <w:i/>
        </w:rPr>
        <w:t>.</w:t>
      </w:r>
      <w:r>
        <w:rPr>
          <w:rFonts w:cs="Times New Roman"/>
          <w:i/>
        </w:rPr>
        <w:t xml:space="preserve">1. </w:t>
      </w:r>
      <w:r w:rsidRPr="0053275D">
        <w:rPr>
          <w:rFonts w:cs="Times New Roman"/>
          <w:i/>
        </w:rPr>
        <w:t xml:space="preserve"> </w:t>
      </w:r>
      <w:r w:rsidRPr="0030689A">
        <w:rPr>
          <w:rFonts w:cs="Times New Roman"/>
          <w:i/>
        </w:rPr>
        <w:t xml:space="preserve">Odpady przemysłowe wytworzone w Polsce w latach 2010-2016 </w:t>
      </w:r>
      <w:r>
        <w:rPr>
          <w:rFonts w:cs="Times New Roman"/>
          <w:i/>
        </w:rPr>
        <w:t>w mln ton</w:t>
      </w:r>
      <w:r w:rsidRPr="0030689A">
        <w:rPr>
          <w:rFonts w:cs="Times New Roman"/>
          <w:i/>
        </w:rPr>
        <w:t>(źródło GUS)</w:t>
      </w:r>
    </w:p>
    <w:p w:rsidR="00B14D7C" w:rsidRDefault="00B14D7C" w:rsidP="00B14D7C">
      <w:pPr>
        <w:spacing w:after="120" w:line="240" w:lineRule="auto"/>
        <w:jc w:val="both"/>
        <w:rPr>
          <w:rFonts w:cs="Times New Roman"/>
          <w:i/>
        </w:rPr>
      </w:pPr>
    </w:p>
    <w:p w:rsidR="00B14D7C" w:rsidRPr="00B14D7C" w:rsidRDefault="00B14D7C" w:rsidP="00B14D7C">
      <w:pPr>
        <w:spacing w:after="120"/>
        <w:jc w:val="both"/>
        <w:rPr>
          <w:rFonts w:cs="Times New Roman"/>
          <w:i/>
          <w:u w:val="single"/>
        </w:rPr>
      </w:pPr>
      <w:r w:rsidRPr="00B14D7C">
        <w:rPr>
          <w:rFonts w:eastAsia="Times New Roman" w:cs="Times New Roman"/>
        </w:rPr>
        <w:t>Głównym źródłem wytwarzania odpadów przemysłowych w 2015 roku było górnictwo, w szczególności górnictwo węgla kamiennego i brunatnego (ponad 26% ogólnej ilości wytworzonych odpadów przemysłowych). Wytwarzanie i dystrybucja energii elektrycznej stanowi około 16%, produkcja metali -6,9% , a produkcja chemikaliów i wyrobów chemicznych – 3,9% ogólnej masy wytworzonych odpadów przemysłowych w roku 2015 r. Największy udział w odpadach przemysłowych wytworzonych w 2015 roku stanowiły odpady powstające przy płukaniu i oczyszczaniu kopalin (ok. 25,7%), odpady z flotacyjnego wzbogacania rud metali nieżelaznych (ok. 23,7%) oraz mieszanki popiołowo-żużlowe z mokrego odprowadzania odpadów paleniskowych (9,2%)</w:t>
      </w:r>
    </w:p>
    <w:p w:rsidR="00B14D7C" w:rsidRPr="00B14D7C" w:rsidRDefault="00B14D7C" w:rsidP="00B14D7C">
      <w:pPr>
        <w:pStyle w:val="Akapitzlist"/>
        <w:spacing w:after="0"/>
        <w:ind w:left="0"/>
        <w:jc w:val="both"/>
      </w:pPr>
    </w:p>
    <w:p w:rsidR="00B14D7C" w:rsidRPr="0081620D" w:rsidRDefault="00B14D7C" w:rsidP="00B14D7C">
      <w:pPr>
        <w:pStyle w:val="Akapitzlist"/>
        <w:spacing w:after="0"/>
        <w:ind w:left="0"/>
        <w:jc w:val="both"/>
      </w:pPr>
      <w:r w:rsidRPr="00B14D7C">
        <w:t>Z ogólnej ilości odpadów przemysłowych wytworzonych w 2015 roku 56,5% przekazano innym odbiorcom,22% poddano odzyskowi, 17% unieszkodliwiono przez składowanie, ponad 3% unieszkodliwiono w inny sposób niż składowanie, a ok 1,5% poddano czasowemu magazynowaniu.</w:t>
      </w:r>
    </w:p>
    <w:p w:rsidR="00B14D7C" w:rsidRDefault="00B14D7C" w:rsidP="00B14D7C">
      <w:pPr>
        <w:pStyle w:val="Akapitzlist"/>
        <w:spacing w:after="0"/>
        <w:ind w:left="0" w:firstLine="709"/>
        <w:jc w:val="both"/>
      </w:pPr>
    </w:p>
    <w:p w:rsidR="00B14D7C" w:rsidRPr="0081620D" w:rsidRDefault="00B14D7C" w:rsidP="00B14D7C">
      <w:pPr>
        <w:spacing w:after="0"/>
        <w:jc w:val="both"/>
        <w:rPr>
          <w:rFonts w:cs="Times New Roman"/>
        </w:rPr>
      </w:pPr>
      <w:r w:rsidRPr="0081620D">
        <w:rPr>
          <w:rFonts w:cs="Times New Roman"/>
        </w:rPr>
        <w:t xml:space="preserve">Z danych prezentowanych przez GUS wynika, że do roku 2005 następował sukcesywny wzrost udziału odpadów przemysłowych poddanych odzyskowi w ogólnej masie odpadów wytworzonych, przy jednoczesnym spadku udziału odpadów składowanych. Natomiast od 2006 r. obserwowana jest tendencja </w:t>
      </w:r>
      <w:r>
        <w:rPr>
          <w:rFonts w:cs="Times New Roman"/>
        </w:rPr>
        <w:t xml:space="preserve">odwrotna. </w:t>
      </w:r>
      <w:r w:rsidRPr="00C85782">
        <w:rPr>
          <w:rFonts w:cs="Times New Roman"/>
        </w:rPr>
        <w:t>Wzrost udziału odpadów kierowanych na składowiska jest zjawiskiem niepokojącym i może wskazywać, iż działania</w:t>
      </w:r>
      <w:r w:rsidRPr="0081620D">
        <w:rPr>
          <w:rFonts w:cs="Times New Roman"/>
        </w:rPr>
        <w:t xml:space="preserve"> podejmowane w celu zwiększenia ilości odzyskanych odpadów przemysłowych nie są wystarczające.</w:t>
      </w:r>
    </w:p>
    <w:p w:rsidR="00B14D7C" w:rsidRPr="0081620D" w:rsidRDefault="00B14D7C" w:rsidP="00B14D7C">
      <w:pPr>
        <w:pStyle w:val="Akapitzlist"/>
        <w:spacing w:after="0"/>
        <w:ind w:left="0" w:firstLine="709"/>
        <w:jc w:val="both"/>
      </w:pPr>
    </w:p>
    <w:p w:rsidR="00B14D7C" w:rsidRPr="0081620D" w:rsidRDefault="00B14D7C" w:rsidP="00B14D7C">
      <w:pPr>
        <w:pStyle w:val="Akapitzlist"/>
        <w:spacing w:after="0" w:line="240" w:lineRule="auto"/>
        <w:ind w:left="0"/>
        <w:jc w:val="both"/>
      </w:pPr>
      <w:r>
        <w:rPr>
          <w:noProof/>
          <w:lang w:eastAsia="pl-PL"/>
        </w:rPr>
        <w:lastRenderedPageBreak/>
        <w:drawing>
          <wp:inline distT="0" distB="0" distL="0" distR="0" wp14:anchorId="1EE0402A" wp14:editId="1C0A5238">
            <wp:extent cx="5760720" cy="3652662"/>
            <wp:effectExtent l="0" t="0" r="11430" b="24130"/>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14D7C" w:rsidRPr="0081620D" w:rsidRDefault="00B14D7C" w:rsidP="00B14D7C">
      <w:pPr>
        <w:shd w:val="clear" w:color="auto" w:fill="FFFFFF" w:themeFill="background1"/>
        <w:spacing w:after="0" w:line="240" w:lineRule="auto"/>
        <w:jc w:val="both"/>
        <w:rPr>
          <w:rFonts w:cs="Times New Roman"/>
          <w:i/>
        </w:rPr>
      </w:pPr>
      <w:r w:rsidRPr="00494AD0">
        <w:rPr>
          <w:rFonts w:cs="Times New Roman"/>
          <w:i/>
        </w:rPr>
        <w:t xml:space="preserve">Rys. </w:t>
      </w:r>
      <w:r w:rsidR="001E35FE">
        <w:rPr>
          <w:rFonts w:cs="Times New Roman"/>
          <w:i/>
        </w:rPr>
        <w:t>9</w:t>
      </w:r>
      <w:r>
        <w:rPr>
          <w:rFonts w:cs="Times New Roman"/>
          <w:i/>
        </w:rPr>
        <w:t xml:space="preserve">.2 </w:t>
      </w:r>
      <w:r w:rsidRPr="00494AD0">
        <w:rPr>
          <w:rFonts w:cs="Times New Roman"/>
          <w:i/>
        </w:rPr>
        <w:t>. Zagospodarowanie odpadów przemysłowych w Polsce w latach 2000-201</w:t>
      </w:r>
      <w:r>
        <w:rPr>
          <w:rFonts w:cs="Times New Roman"/>
          <w:i/>
        </w:rPr>
        <w:t>6</w:t>
      </w:r>
      <w:r w:rsidRPr="00494AD0">
        <w:rPr>
          <w:rFonts w:cs="Times New Roman"/>
          <w:i/>
        </w:rPr>
        <w:t xml:space="preserve"> (źródło: GUS)</w:t>
      </w:r>
    </w:p>
    <w:p w:rsidR="00B14D7C" w:rsidRPr="0081620D" w:rsidRDefault="00B14D7C" w:rsidP="00B14D7C">
      <w:pPr>
        <w:spacing w:after="0" w:line="240" w:lineRule="auto"/>
        <w:ind w:firstLine="709"/>
        <w:jc w:val="both"/>
        <w:rPr>
          <w:rFonts w:cs="Times New Roman"/>
        </w:rPr>
      </w:pPr>
    </w:p>
    <w:p w:rsidR="00B14D7C" w:rsidRPr="0081620D" w:rsidRDefault="00B14D7C" w:rsidP="00B14D7C">
      <w:pPr>
        <w:spacing w:after="0" w:line="240" w:lineRule="auto"/>
        <w:ind w:firstLine="708"/>
        <w:jc w:val="both"/>
        <w:rPr>
          <w:rFonts w:cs="Times New Roman"/>
          <w:highlight w:val="yellow"/>
        </w:rPr>
      </w:pPr>
    </w:p>
    <w:p w:rsidR="00B14D7C" w:rsidRPr="00B14D7C" w:rsidRDefault="00B14D7C" w:rsidP="00B14D7C">
      <w:pPr>
        <w:spacing w:after="0"/>
        <w:jc w:val="both"/>
        <w:rPr>
          <w:rFonts w:cs="Times New Roman"/>
        </w:rPr>
      </w:pPr>
      <w:r w:rsidRPr="00B14D7C">
        <w:rPr>
          <w:rFonts w:cs="Times New Roman"/>
        </w:rPr>
        <w:t xml:space="preserve">W krajach Unii Europejskiej w przeliczeniu na jednego mieszkańca wytwarzanych jest średnio 476 kilogramów odpadów komunalnych w ciągu roku. W Polsce wskaźnik ten w 2015 r. wynosił 286 kg i należy do najniższych w UE. Dokonana w 2011 r. zmiana systemu gospodarowania odpadami komunalnymi wprowadziła nowe regulacje zakładające, że to gminy są odpowiedzialne za zorganizowanie systemu odbierania i zagospodarowania odpadów komunalnych na swoim terenie. Od czasu wprowadzenia „reformy śmieciowej” dane dotyczące odpadów komunalnych wskazują na poprawę sytuacji w tym obszarze. W 2012 r. 75% zebranych odpadów zostało przekazanych do składowania, zaś w 2015 r. było to 44%. Udział odpadów zebranych selektywnie w ogólnej ilości zebranych odpadów komunalnych wzrósł z 10,5% w 2012 r. do 23,4% w 2015 r. </w:t>
      </w:r>
    </w:p>
    <w:p w:rsidR="00B14D7C" w:rsidRPr="00B14D7C" w:rsidRDefault="00B14D7C" w:rsidP="00B14D7C">
      <w:pPr>
        <w:jc w:val="both"/>
      </w:pPr>
    </w:p>
    <w:p w:rsidR="00B14D7C" w:rsidRPr="0081620D" w:rsidRDefault="00B14D7C" w:rsidP="00B14D7C">
      <w:pPr>
        <w:spacing w:after="0"/>
        <w:jc w:val="both"/>
        <w:rPr>
          <w:rFonts w:cs="Times New Roman"/>
        </w:rPr>
      </w:pPr>
      <w:r w:rsidRPr="00B14D7C">
        <w:rPr>
          <w:rFonts w:cs="Times New Roman"/>
        </w:rPr>
        <w:t>W 2015 roku zebrano ogółem 10,9 mln ton odpadów komunalnych i od 2005 r. nastąpił zauważalny wzrost ilości zbieranych odpadów: z 9,4 mln ton w 2005 r. do 10,9 mln ton w 2015 r. (od 2014 r. w ilości zbieranych odpadów uwzględniane są odpady odebrane od wszystkich właścicieli nieruchomości, zgodnie z wprowadzonym przez gminy 01.07.2013 r. nowym systemem gospodarowania odpadami).</w:t>
      </w:r>
    </w:p>
    <w:p w:rsidR="00B14D7C" w:rsidRPr="0081620D" w:rsidRDefault="00B14D7C" w:rsidP="00B14D7C">
      <w:pPr>
        <w:tabs>
          <w:tab w:val="left" w:pos="945"/>
        </w:tabs>
        <w:jc w:val="both"/>
      </w:pPr>
    </w:p>
    <w:p w:rsidR="00B14D7C" w:rsidRDefault="00B14D7C" w:rsidP="00B14D7C">
      <w:pPr>
        <w:autoSpaceDE w:val="0"/>
        <w:autoSpaceDN w:val="0"/>
        <w:adjustRightInd w:val="0"/>
        <w:spacing w:after="0"/>
        <w:jc w:val="both"/>
        <w:rPr>
          <w:rFonts w:cs="Times New Roman"/>
        </w:rPr>
      </w:pPr>
      <w:r w:rsidRPr="00B32768">
        <w:rPr>
          <w:rFonts w:cs="Times New Roman"/>
        </w:rPr>
        <w:t>Z 10,9 mln ton zebranych odpadów 23,4% stanowiły odpady zebrane selektywnie: 6% odpady ulegające biodegradacji, 3,9% szkło, 2,8% tworzywa sztuczne, 2,2% papier, 0,2% metale i 2,4% odpady wielkogabarytowe. Zebrane odpady komunalne zostały: poddane składowaniu (44,3%), recyklingowi (26,4%), kompostowaniu lub fermentacji (16,1%) oraz przekształceniu termicznemu (13,2%).</w:t>
      </w:r>
    </w:p>
    <w:p w:rsidR="00B14D7C" w:rsidRDefault="00B14D7C" w:rsidP="00B14D7C">
      <w:pPr>
        <w:autoSpaceDE w:val="0"/>
        <w:autoSpaceDN w:val="0"/>
        <w:adjustRightInd w:val="0"/>
        <w:spacing w:after="0"/>
        <w:jc w:val="both"/>
        <w:rPr>
          <w:rFonts w:cs="Times New Roman"/>
        </w:rPr>
      </w:pPr>
    </w:p>
    <w:p w:rsidR="00B14D7C" w:rsidRDefault="00B14D7C" w:rsidP="00B14D7C">
      <w:pPr>
        <w:autoSpaceDE w:val="0"/>
        <w:autoSpaceDN w:val="0"/>
        <w:adjustRightInd w:val="0"/>
        <w:spacing w:after="0"/>
        <w:jc w:val="both"/>
        <w:rPr>
          <w:rFonts w:cs="Times New Roman"/>
        </w:rPr>
      </w:pPr>
    </w:p>
    <w:p w:rsidR="00B14D7C" w:rsidRPr="00B14D7C" w:rsidRDefault="00B14D7C" w:rsidP="00B14D7C">
      <w:pPr>
        <w:spacing w:after="0" w:line="240" w:lineRule="auto"/>
        <w:rPr>
          <w:rFonts w:eastAsia="Times New Roman" w:cs="Calibri"/>
          <w:i/>
          <w:color w:val="000000"/>
          <w:lang w:eastAsia="pl-PL"/>
        </w:rPr>
      </w:pPr>
      <w:r w:rsidRPr="00B14D7C">
        <w:rPr>
          <w:rFonts w:eastAsia="Times New Roman" w:cs="Calibri"/>
          <w:i/>
          <w:color w:val="000000"/>
          <w:lang w:eastAsia="pl-PL"/>
        </w:rPr>
        <w:t xml:space="preserve">Rys. </w:t>
      </w:r>
      <w:r w:rsidR="001E35FE">
        <w:rPr>
          <w:rFonts w:eastAsia="Times New Roman" w:cs="Calibri"/>
          <w:i/>
          <w:color w:val="000000"/>
          <w:lang w:eastAsia="pl-PL"/>
        </w:rPr>
        <w:t>9</w:t>
      </w:r>
      <w:r w:rsidRPr="00B14D7C">
        <w:rPr>
          <w:rFonts w:eastAsia="Times New Roman" w:cs="Calibri"/>
          <w:i/>
          <w:color w:val="000000"/>
          <w:lang w:eastAsia="pl-PL"/>
        </w:rPr>
        <w:t>.3.  Ilość wytwarzanych odpadów komunalnych w przeliczeniu na jednego mieszkańca w 2015 roku w krajach UE w Kg  (źródło: GUS, Eurostat)</w:t>
      </w:r>
    </w:p>
    <w:p w:rsidR="00B14D7C" w:rsidRDefault="00B14D7C" w:rsidP="00B14D7C">
      <w:pPr>
        <w:autoSpaceDE w:val="0"/>
        <w:autoSpaceDN w:val="0"/>
        <w:adjustRightInd w:val="0"/>
        <w:spacing w:after="0" w:line="240" w:lineRule="auto"/>
        <w:jc w:val="both"/>
        <w:rPr>
          <w:rFonts w:cs="Times New Roman"/>
        </w:rPr>
      </w:pPr>
    </w:p>
    <w:p w:rsidR="00B14D7C" w:rsidRPr="00B32768" w:rsidRDefault="00B14D7C" w:rsidP="00B14D7C">
      <w:pPr>
        <w:autoSpaceDE w:val="0"/>
        <w:autoSpaceDN w:val="0"/>
        <w:adjustRightInd w:val="0"/>
        <w:spacing w:after="0" w:line="240" w:lineRule="auto"/>
        <w:jc w:val="both"/>
        <w:rPr>
          <w:rFonts w:cs="Times New Roman"/>
        </w:rPr>
      </w:pPr>
    </w:p>
    <w:p w:rsidR="00B14D7C" w:rsidRDefault="00B14D7C" w:rsidP="00B14D7C">
      <w:pPr>
        <w:autoSpaceDE w:val="0"/>
        <w:autoSpaceDN w:val="0"/>
        <w:adjustRightInd w:val="0"/>
        <w:spacing w:after="0" w:line="240" w:lineRule="auto"/>
        <w:jc w:val="both"/>
        <w:rPr>
          <w:rFonts w:cs="Times New Roman"/>
        </w:rPr>
      </w:pPr>
      <w:r>
        <w:rPr>
          <w:noProof/>
          <w:lang w:eastAsia="pl-PL"/>
        </w:rPr>
        <w:drawing>
          <wp:inline distT="0" distB="0" distL="0" distR="0" wp14:anchorId="5300E258" wp14:editId="63F8260E">
            <wp:extent cx="4572000" cy="6819900"/>
            <wp:effectExtent l="0" t="0" r="19050" b="1905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14D7C" w:rsidRDefault="00B14D7C" w:rsidP="00B14D7C">
      <w:pPr>
        <w:autoSpaceDE w:val="0"/>
        <w:autoSpaceDN w:val="0"/>
        <w:adjustRightInd w:val="0"/>
        <w:spacing w:after="0" w:line="240" w:lineRule="auto"/>
        <w:jc w:val="both"/>
        <w:rPr>
          <w:rFonts w:cs="Times New Roman"/>
        </w:rPr>
      </w:pPr>
    </w:p>
    <w:p w:rsidR="00B14D7C" w:rsidRDefault="00B14D7C" w:rsidP="00B14D7C">
      <w:pPr>
        <w:autoSpaceDE w:val="0"/>
        <w:autoSpaceDN w:val="0"/>
        <w:adjustRightInd w:val="0"/>
        <w:spacing w:after="0"/>
        <w:jc w:val="both"/>
        <w:rPr>
          <w:rFonts w:cs="Times New Roman"/>
        </w:rPr>
      </w:pPr>
      <w:r w:rsidRPr="00FD77F1">
        <w:rPr>
          <w:rFonts w:cs="Times New Roman"/>
        </w:rPr>
        <w:t xml:space="preserve">W ustawie z dnia 13 czerwca 2013 r. o gospodarce opakowaniami i odpadami opakowaniowymi, która dokonuje transpozycji dyrektywy 94/62/WE Parlamentu Europejskiego i Rady w sprawie opakowań i odpadów opakowaniowych, ustanowiono m.in. ogólne poziomy odzysku, w tym recyklingu odpadów opakowaniowych. Zgodnie z załącznikiem wymagany poziom odzysku odpadów opakowaniowych jest równy 61%, w tym recyklingu 56%. Porównując poziomy osiągnięte </w:t>
      </w:r>
      <w:r w:rsidRPr="00FD77F1">
        <w:rPr>
          <w:rFonts w:cs="Times New Roman"/>
        </w:rPr>
        <w:lastRenderedPageBreak/>
        <w:t>w poszczególnych latach 2014-2016 można zauważyć, że poziom odzysku i recyklingu został osiągnięty w 2015 r. i zachowany w 2016 r. W 2014 r. krajowe poziomy nie zostały osiągnięte (osiągnięto 60,3% odzysku i 55,6% recyklingu) jednak warto zaznaczyć, że poziomy wyznaczone ww. dyrektywą (60% odzysku i 55% recyklingu) zostały osiągnięte.</w:t>
      </w:r>
    </w:p>
    <w:p w:rsidR="00B14D7C" w:rsidRDefault="00B14D7C" w:rsidP="00B14D7C">
      <w:pPr>
        <w:autoSpaceDE w:val="0"/>
        <w:autoSpaceDN w:val="0"/>
        <w:adjustRightInd w:val="0"/>
        <w:spacing w:after="0"/>
        <w:jc w:val="both"/>
        <w:rPr>
          <w:rFonts w:cs="Times New Roman"/>
        </w:rPr>
      </w:pPr>
    </w:p>
    <w:p w:rsidR="00B14D7C" w:rsidRPr="00716AAD" w:rsidRDefault="00B14D7C" w:rsidP="00B14D7C">
      <w:pPr>
        <w:autoSpaceDE w:val="0"/>
        <w:autoSpaceDN w:val="0"/>
        <w:adjustRightInd w:val="0"/>
        <w:spacing w:after="0" w:line="240" w:lineRule="auto"/>
        <w:jc w:val="both"/>
        <w:rPr>
          <w:rFonts w:cs="Times New Roman"/>
        </w:rPr>
      </w:pPr>
      <w:r w:rsidRPr="00146179">
        <w:rPr>
          <w:rFonts w:cs="Times New Roman"/>
          <w:noProof/>
          <w:lang w:eastAsia="pl-PL"/>
        </w:rPr>
        <w:drawing>
          <wp:inline distT="0" distB="0" distL="0" distR="0" wp14:anchorId="41D8C9FE" wp14:editId="34C9E61F">
            <wp:extent cx="5486400" cy="3200400"/>
            <wp:effectExtent l="0" t="0" r="0"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14D7C" w:rsidRPr="0081620D" w:rsidRDefault="00B14D7C" w:rsidP="00B14D7C">
      <w:pPr>
        <w:spacing w:after="120" w:line="240" w:lineRule="auto"/>
        <w:jc w:val="both"/>
        <w:rPr>
          <w:rFonts w:cs="Times New Roman"/>
        </w:rPr>
      </w:pPr>
    </w:p>
    <w:p w:rsidR="00B14D7C" w:rsidRPr="0081620D" w:rsidRDefault="00B14D7C" w:rsidP="00B14D7C">
      <w:pPr>
        <w:spacing w:after="120" w:line="240" w:lineRule="auto"/>
        <w:jc w:val="both"/>
        <w:rPr>
          <w:rFonts w:cs="Times New Roman"/>
          <w:i/>
        </w:rPr>
      </w:pPr>
      <w:r w:rsidRPr="00B14D7C">
        <w:rPr>
          <w:rFonts w:cs="Times New Roman"/>
          <w:i/>
        </w:rPr>
        <w:t xml:space="preserve">Rys. </w:t>
      </w:r>
      <w:r w:rsidR="001E35FE">
        <w:rPr>
          <w:rFonts w:cs="Times New Roman"/>
          <w:i/>
        </w:rPr>
        <w:t>9</w:t>
      </w:r>
      <w:r>
        <w:rPr>
          <w:rFonts w:cs="Times New Roman"/>
          <w:i/>
        </w:rPr>
        <w:t>.4</w:t>
      </w:r>
      <w:r w:rsidRPr="00B14D7C">
        <w:rPr>
          <w:rFonts w:cs="Times New Roman"/>
          <w:i/>
        </w:rPr>
        <w:t>. Roczne poziomy odzysku i recyklingu odpadów opakowaniowych w Polsce w latach 2014-2016 (źródło: dane Ministerstwa Środowiska publikowane przez GUS)</w:t>
      </w:r>
    </w:p>
    <w:p w:rsidR="00B14D7C" w:rsidRPr="0081620D" w:rsidRDefault="00B14D7C" w:rsidP="00B14D7C">
      <w:pPr>
        <w:spacing w:after="0"/>
        <w:jc w:val="both"/>
        <w:rPr>
          <w:rFonts w:cs="Times New Roman"/>
        </w:rPr>
      </w:pPr>
      <w:r w:rsidRPr="00FD77F1">
        <w:rPr>
          <w:rFonts w:cs="Times New Roman"/>
        </w:rPr>
        <w:t xml:space="preserve">W roku 2006 wprowadzono w życie przepisy Unii Europejskiej w zakresie gospodarowania zużytym sprzętem elektronicznym. Nadzór nad systemem gospodarki zużytym sprzętem elektrycznym i elektronicznym sprawuje Główny Inspektorat Ochrony Środowiska (GIOŚ). Zauważalne są pozytywne tendencje w postępowaniu ze „złomem elektrycznym” (elektrośmieciami): coroczny wzrost poziomu zbierania zużytego sprzętu elektrycznego i elektronicznego z 4,88% w roku 2008 do 47,99% w roku 2016. Jednocześnie obserwowany jest wzrost poziomu zbierania sprzętu elektronicznego w gospodarstwach domowych z 1,85 % w 2008 r. do 33,66%w 2013 r. (od roku 2013 poziom zbierania zużytego sprzętu podawany jest łącznie bez wyszczególnienia osiągniętego poziomu zbierania zużytego sprzętu pochodzącego z gospodarstw domowych). W przeliczeniu na jednego mieszkańca ilość zebranego zużytego sprzętu elektrycznego i elektronicznego wzrosła z 0,71 kg w 2007 r. do 5,58 kg w 2016 r. </w:t>
      </w: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Default="00B14D7C" w:rsidP="00B14D7C">
      <w:pPr>
        <w:spacing w:after="0"/>
        <w:ind w:firstLine="709"/>
        <w:jc w:val="both"/>
        <w:rPr>
          <w:rFonts w:cs="Times New Roman"/>
        </w:rPr>
      </w:pPr>
    </w:p>
    <w:p w:rsidR="00B14D7C" w:rsidRPr="0081620D" w:rsidRDefault="00B14D7C" w:rsidP="00B14D7C">
      <w:pPr>
        <w:spacing w:after="0"/>
        <w:ind w:firstLine="709"/>
        <w:jc w:val="both"/>
        <w:rPr>
          <w:rFonts w:cs="Times New Roman"/>
        </w:rPr>
      </w:pPr>
    </w:p>
    <w:p w:rsidR="00B14D7C" w:rsidRPr="0081620D" w:rsidRDefault="00B14D7C" w:rsidP="00B14D7C">
      <w:pPr>
        <w:spacing w:after="0" w:line="240" w:lineRule="auto"/>
        <w:ind w:firstLine="709"/>
        <w:jc w:val="both"/>
        <w:rPr>
          <w:rFonts w:cs="Times New Roman"/>
        </w:rPr>
      </w:pPr>
    </w:p>
    <w:p w:rsidR="00B14D7C" w:rsidRPr="0081620D" w:rsidRDefault="00B14D7C" w:rsidP="00B14D7C">
      <w:pPr>
        <w:spacing w:after="0" w:line="240" w:lineRule="auto"/>
        <w:jc w:val="both"/>
        <w:rPr>
          <w:rFonts w:cs="Times New Roman"/>
          <w:i/>
        </w:rPr>
      </w:pPr>
      <w:r w:rsidRPr="00B14D7C">
        <w:rPr>
          <w:rFonts w:cs="Times New Roman"/>
          <w:i/>
        </w:rPr>
        <w:lastRenderedPageBreak/>
        <w:t xml:space="preserve">Rys. </w:t>
      </w:r>
      <w:r w:rsidR="001E35FE">
        <w:rPr>
          <w:rFonts w:cs="Times New Roman"/>
          <w:i/>
        </w:rPr>
        <w:t>9</w:t>
      </w:r>
      <w:r>
        <w:rPr>
          <w:rFonts w:cs="Times New Roman"/>
          <w:i/>
        </w:rPr>
        <w:t>.5</w:t>
      </w:r>
      <w:r w:rsidRPr="00B14D7C">
        <w:rPr>
          <w:rFonts w:cs="Times New Roman"/>
          <w:i/>
        </w:rPr>
        <w:t>. Poziom zbierania zużytego sprzętu elektrycznego i elektronicznego w Polsce w latach</w:t>
      </w:r>
      <w:r w:rsidRPr="00B14D7C">
        <w:rPr>
          <w:rFonts w:cs="Times New Roman"/>
          <w:i/>
        </w:rPr>
        <w:br/>
        <w:t>2008-2016 (źródło: GIOŚ)</w:t>
      </w:r>
    </w:p>
    <w:p w:rsidR="00B14D7C" w:rsidRPr="0081620D" w:rsidRDefault="00B14D7C" w:rsidP="00B14D7C">
      <w:pPr>
        <w:spacing w:after="0" w:line="240" w:lineRule="auto"/>
        <w:jc w:val="both"/>
        <w:rPr>
          <w:rFonts w:cs="Times New Roman"/>
        </w:rPr>
      </w:pPr>
    </w:p>
    <w:p w:rsidR="00B14D7C" w:rsidRPr="0081620D" w:rsidRDefault="00B14D7C" w:rsidP="00B14D7C">
      <w:pPr>
        <w:spacing w:after="0" w:line="240" w:lineRule="auto"/>
        <w:ind w:firstLine="709"/>
        <w:jc w:val="both"/>
        <w:rPr>
          <w:rFonts w:cs="Times New Roman"/>
        </w:rPr>
      </w:pPr>
    </w:p>
    <w:p w:rsidR="00B14D7C" w:rsidRDefault="00B14D7C" w:rsidP="00B14D7C">
      <w:pPr>
        <w:jc w:val="both"/>
      </w:pPr>
      <w:r>
        <w:rPr>
          <w:noProof/>
          <w:lang w:eastAsia="pl-PL"/>
        </w:rPr>
        <w:drawing>
          <wp:inline distT="0" distB="0" distL="0" distR="0" wp14:anchorId="408E0CBA" wp14:editId="248B10C4">
            <wp:extent cx="6048375" cy="278130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14D7C" w:rsidRPr="00D57877" w:rsidRDefault="00B14D7C" w:rsidP="00B14D7C">
      <w:pPr>
        <w:spacing w:after="0"/>
        <w:jc w:val="both"/>
      </w:pPr>
      <w:r w:rsidRPr="00065AAC">
        <w:rPr>
          <w:rFonts w:cs="Times New Roman"/>
        </w:rPr>
        <w:t>Ustawa z dnia 24 kwietnia 2009 r. o bateriach i akumulatorach (Dz. U. z 2016 r. poz. 1803)</w:t>
      </w:r>
      <w:r>
        <w:rPr>
          <w:rFonts w:cs="Times New Roman"/>
        </w:rPr>
        <w:t xml:space="preserve"> transponowała przepisy </w:t>
      </w:r>
      <w:r>
        <w:t>d</w:t>
      </w:r>
      <w:r w:rsidRPr="00065AAC">
        <w:t>yrektyw</w:t>
      </w:r>
      <w:r>
        <w:t>y</w:t>
      </w:r>
      <w:r w:rsidRPr="00065AAC">
        <w:t xml:space="preserve"> 2006/66/WE Parlamentu Europejskiego i Rady </w:t>
      </w:r>
      <w:r>
        <w:t>z dnia 6 września 2006 </w:t>
      </w:r>
      <w:r w:rsidRPr="00065AAC">
        <w:t xml:space="preserve">r. </w:t>
      </w:r>
      <w:r>
        <w:t>w </w:t>
      </w:r>
      <w:r w:rsidRPr="00065AAC">
        <w:t xml:space="preserve">sprawie baterii i </w:t>
      </w:r>
      <w:r w:rsidRPr="00D57877">
        <w:t>akumulatorów oraz zużytych baterii i akumulatorów</w:t>
      </w:r>
      <w:r>
        <w:t xml:space="preserve">, która </w:t>
      </w:r>
      <w:r w:rsidRPr="00D57877">
        <w:rPr>
          <w:rFonts w:cs="Times New Roman"/>
        </w:rPr>
        <w:t xml:space="preserve">zobowiązuje </w:t>
      </w:r>
      <w:r w:rsidRPr="00D57877">
        <w:rPr>
          <w:rFonts w:eastAsia="Calibri" w:cs="Times New Roman"/>
        </w:rPr>
        <w:t xml:space="preserve">państwa </w:t>
      </w:r>
      <w:r w:rsidRPr="00D57877">
        <w:rPr>
          <w:rFonts w:cs="Times New Roman"/>
        </w:rPr>
        <w:t>członkowskie do osiągnięcia następujących minimalnych poziomów zbierania</w:t>
      </w:r>
      <w:r w:rsidRPr="004D3103">
        <w:rPr>
          <w:rFonts w:cs="Times New Roman"/>
        </w:rPr>
        <w:t xml:space="preserve"> </w:t>
      </w:r>
      <w:r>
        <w:rPr>
          <w:rFonts w:cs="Times New Roman"/>
        </w:rPr>
        <w:t>zużytych baterii i akumulatorów przenośnych</w:t>
      </w:r>
      <w:r w:rsidRPr="00D57877">
        <w:rPr>
          <w:rFonts w:cs="Times New Roman"/>
        </w:rPr>
        <w:t>:</w:t>
      </w:r>
    </w:p>
    <w:p w:rsidR="00B14D7C" w:rsidRDefault="00B14D7C" w:rsidP="00B14D7C">
      <w:pPr>
        <w:tabs>
          <w:tab w:val="left" w:pos="284"/>
        </w:tabs>
        <w:autoSpaceDE w:val="0"/>
        <w:autoSpaceDN w:val="0"/>
        <w:adjustRightInd w:val="0"/>
        <w:spacing w:after="0" w:line="360" w:lineRule="auto"/>
        <w:ind w:left="510" w:firstLine="57"/>
        <w:jc w:val="both"/>
        <w:rPr>
          <w:rFonts w:cs="Times New Roman"/>
        </w:rPr>
      </w:pPr>
      <w:r>
        <w:rPr>
          <w:rFonts w:cs="Times New Roman"/>
        </w:rPr>
        <w:t xml:space="preserve">a) </w:t>
      </w:r>
      <w:r w:rsidRPr="00D57877">
        <w:rPr>
          <w:rFonts w:cs="Times New Roman"/>
        </w:rPr>
        <w:t>25 % do dnia 26 września 2012 r.;</w:t>
      </w:r>
    </w:p>
    <w:p w:rsidR="00B14D7C" w:rsidRPr="00D57877" w:rsidRDefault="00B14D7C" w:rsidP="00B14D7C">
      <w:pPr>
        <w:tabs>
          <w:tab w:val="left" w:pos="284"/>
        </w:tabs>
        <w:autoSpaceDE w:val="0"/>
        <w:autoSpaceDN w:val="0"/>
        <w:adjustRightInd w:val="0"/>
        <w:spacing w:after="0" w:line="360" w:lineRule="auto"/>
        <w:ind w:left="510" w:firstLine="57"/>
        <w:jc w:val="both"/>
        <w:rPr>
          <w:rFonts w:cs="Times New Roman"/>
        </w:rPr>
      </w:pPr>
      <w:r w:rsidRPr="00D57877">
        <w:rPr>
          <w:rFonts w:cs="Times New Roman"/>
        </w:rPr>
        <w:t>b) 45 % do dnia 26 września 2016 r.</w:t>
      </w:r>
    </w:p>
    <w:p w:rsidR="00B14D7C" w:rsidRDefault="00B14D7C" w:rsidP="00B14D7C">
      <w:pPr>
        <w:jc w:val="both"/>
        <w:rPr>
          <w:rFonts w:cs="Times New Roman"/>
        </w:rPr>
      </w:pPr>
      <w:r w:rsidRPr="00B6686C">
        <w:rPr>
          <w:rFonts w:cs="Times New Roman"/>
        </w:rPr>
        <w:t>Mimo wyraźnej</w:t>
      </w:r>
      <w:r>
        <w:rPr>
          <w:rFonts w:cs="Times New Roman"/>
        </w:rPr>
        <w:t>,</w:t>
      </w:r>
      <w:r w:rsidRPr="00B6686C">
        <w:rPr>
          <w:rFonts w:cs="Times New Roman"/>
        </w:rPr>
        <w:t xml:space="preserve"> </w:t>
      </w:r>
      <w:r>
        <w:rPr>
          <w:rFonts w:cs="Times New Roman"/>
        </w:rPr>
        <w:t xml:space="preserve">na przestrzeni lat 2010-2016, </w:t>
      </w:r>
      <w:r w:rsidRPr="00B6686C">
        <w:rPr>
          <w:rFonts w:cs="Times New Roman"/>
        </w:rPr>
        <w:t>tendencji wzrostowej w zakresie osiąganych poziomów zbierania</w:t>
      </w:r>
      <w:r>
        <w:rPr>
          <w:rFonts w:cs="Times New Roman"/>
        </w:rPr>
        <w:t xml:space="preserve"> </w:t>
      </w:r>
      <w:r w:rsidRPr="00B6686C">
        <w:rPr>
          <w:rFonts w:cs="Times New Roman"/>
        </w:rPr>
        <w:t xml:space="preserve">tego rodzaju odpadów dane za rok 2016 wskazują, że </w:t>
      </w:r>
      <w:r w:rsidRPr="001E1692">
        <w:t>Polska, osiągając roczny poziom zbierania równy 39,00%, nie wywiązała się z obowiązku osiągnięcia 45% poziomu nałożonego dyrektywą 2006/6</w:t>
      </w:r>
      <w:r>
        <w:t>6/WE.</w:t>
      </w:r>
      <w:r>
        <w:rPr>
          <w:rFonts w:cs="Times New Roman"/>
        </w:rPr>
        <w:t xml:space="preserve"> Na </w:t>
      </w:r>
      <w:r w:rsidRPr="00B6686C">
        <w:rPr>
          <w:rFonts w:cs="Times New Roman"/>
        </w:rPr>
        <w:t>zais</w:t>
      </w:r>
      <w:r>
        <w:rPr>
          <w:rFonts w:cs="Times New Roman"/>
        </w:rPr>
        <w:t>tniałą sytuację niewątpliwie ma </w:t>
      </w:r>
      <w:r w:rsidRPr="00B6686C">
        <w:rPr>
          <w:rFonts w:cs="Times New Roman"/>
        </w:rPr>
        <w:t>wpływ coroczny wzrost sprzedaży baterii i akumulatorów związany z rosnącym zapotrzebowaniem na</w:t>
      </w:r>
      <w:r>
        <w:rPr>
          <w:rFonts w:cs="Times New Roman"/>
        </w:rPr>
        <w:t> </w:t>
      </w:r>
      <w:r w:rsidRPr="00B6686C">
        <w:rPr>
          <w:rFonts w:cs="Times New Roman"/>
        </w:rPr>
        <w:t>korzystanie ze sprzętu elektrycznego i elektronicznego, który to w dużej części jest zasilany bateriami lub akumulatorami przenośnymi. Należy</w:t>
      </w:r>
      <w:r>
        <w:rPr>
          <w:rFonts w:cs="Times New Roman"/>
        </w:rPr>
        <w:t xml:space="preserve"> </w:t>
      </w:r>
      <w:r w:rsidRPr="00B6686C">
        <w:rPr>
          <w:rFonts w:cs="Times New Roman"/>
        </w:rPr>
        <w:t xml:space="preserve">zauważyć, </w:t>
      </w:r>
      <w:r>
        <w:rPr>
          <w:rFonts w:cs="Times New Roman"/>
        </w:rPr>
        <w:t xml:space="preserve">że </w:t>
      </w:r>
      <w:r w:rsidRPr="00B6686C">
        <w:rPr>
          <w:rFonts w:cs="Times New Roman"/>
        </w:rPr>
        <w:t>wzrost masy wprowadzanych do obrotu baterii i akumulatorów przenośnych następuje szybciej niż wytwarzanie tego rodzaju odp</w:t>
      </w:r>
      <w:r>
        <w:rPr>
          <w:rFonts w:cs="Times New Roman"/>
        </w:rPr>
        <w:t>adów. Wynika to między innymi z </w:t>
      </w:r>
      <w:r w:rsidRPr="00B6686C">
        <w:rPr>
          <w:rFonts w:cs="Times New Roman"/>
        </w:rPr>
        <w:t>poprawy jakości baterii i akumulatorów przejawiającej się przedłużeniem czasu ich eksploatacji.</w:t>
      </w:r>
    </w:p>
    <w:p w:rsidR="00B14D7C" w:rsidRDefault="00B14D7C" w:rsidP="00B14D7C">
      <w:pPr>
        <w:jc w:val="both"/>
      </w:pPr>
    </w:p>
    <w:p w:rsidR="0085436F" w:rsidRDefault="0085436F" w:rsidP="00B14D7C">
      <w:pPr>
        <w:jc w:val="both"/>
      </w:pPr>
    </w:p>
    <w:p w:rsidR="0085436F" w:rsidRDefault="0085436F" w:rsidP="00B14D7C">
      <w:pPr>
        <w:jc w:val="both"/>
      </w:pPr>
    </w:p>
    <w:p w:rsidR="0085436F" w:rsidRDefault="0085436F" w:rsidP="00B14D7C">
      <w:pPr>
        <w:jc w:val="both"/>
      </w:pPr>
    </w:p>
    <w:p w:rsidR="0085436F" w:rsidRDefault="0085436F" w:rsidP="00B14D7C">
      <w:pPr>
        <w:jc w:val="both"/>
      </w:pPr>
    </w:p>
    <w:p w:rsidR="00B14D7C" w:rsidRDefault="00B14D7C" w:rsidP="00B14D7C">
      <w:pPr>
        <w:jc w:val="both"/>
      </w:pPr>
      <w:r w:rsidRPr="0085436F">
        <w:rPr>
          <w:rFonts w:cs="Times New Roman"/>
          <w:i/>
        </w:rPr>
        <w:lastRenderedPageBreak/>
        <w:t xml:space="preserve">Rys. </w:t>
      </w:r>
      <w:r w:rsidR="001E35FE">
        <w:rPr>
          <w:rFonts w:cs="Times New Roman"/>
          <w:i/>
        </w:rPr>
        <w:t>9</w:t>
      </w:r>
      <w:r w:rsidRPr="0085436F">
        <w:rPr>
          <w:rFonts w:cs="Times New Roman"/>
          <w:i/>
        </w:rPr>
        <w:t>.</w:t>
      </w:r>
      <w:r w:rsidR="0085436F">
        <w:rPr>
          <w:rFonts w:cs="Times New Roman"/>
          <w:i/>
        </w:rPr>
        <w:t xml:space="preserve">6. </w:t>
      </w:r>
      <w:r w:rsidRPr="0085436F">
        <w:rPr>
          <w:rFonts w:cs="Times New Roman"/>
          <w:i/>
        </w:rPr>
        <w:t xml:space="preserve"> </w:t>
      </w:r>
      <w:r w:rsidRPr="00D57877">
        <w:rPr>
          <w:rFonts w:cs="Times New Roman"/>
          <w:i/>
        </w:rPr>
        <w:t xml:space="preserve">Roczne poziomy zbierania zużytych baterii </w:t>
      </w:r>
      <w:r w:rsidRPr="0064229B">
        <w:rPr>
          <w:rFonts w:cs="Times New Roman"/>
          <w:i/>
        </w:rPr>
        <w:t xml:space="preserve">przenośnych </w:t>
      </w:r>
      <w:r w:rsidRPr="00D57877">
        <w:rPr>
          <w:rFonts w:cs="Times New Roman"/>
          <w:i/>
        </w:rPr>
        <w:t xml:space="preserve">i </w:t>
      </w:r>
      <w:r w:rsidRPr="0064229B">
        <w:rPr>
          <w:rFonts w:cs="Times New Roman"/>
          <w:i/>
        </w:rPr>
        <w:t xml:space="preserve">zużytych </w:t>
      </w:r>
      <w:r w:rsidRPr="00D57877">
        <w:rPr>
          <w:rFonts w:cs="Times New Roman"/>
          <w:i/>
        </w:rPr>
        <w:t>akumulatorów przenośnych</w:t>
      </w:r>
      <w:r>
        <w:rPr>
          <w:rFonts w:cs="Times New Roman"/>
          <w:i/>
        </w:rPr>
        <w:t xml:space="preserve"> w </w:t>
      </w:r>
      <w:r w:rsidRPr="004C20E0">
        <w:rPr>
          <w:rFonts w:cs="Times New Roman"/>
          <w:i/>
        </w:rPr>
        <w:t>Polsce w latach</w:t>
      </w:r>
      <w:r>
        <w:rPr>
          <w:rFonts w:cs="Times New Roman"/>
          <w:i/>
        </w:rPr>
        <w:t xml:space="preserve"> </w:t>
      </w:r>
      <w:r w:rsidRPr="00D57877">
        <w:rPr>
          <w:rFonts w:cs="Times New Roman"/>
          <w:i/>
        </w:rPr>
        <w:t xml:space="preserve">2010-2016 (źródło: </w:t>
      </w:r>
      <w:r w:rsidRPr="00D57877">
        <w:rPr>
          <w:rFonts w:eastAsia="Calibri"/>
          <w:i/>
          <w:color w:val="000000"/>
        </w:rPr>
        <w:t>Raporty GIOŚ o funkcjonowaniu gospodarki bateriami i akumulatorami oraz zużytymi bateriami i zużytymi akumulatorami</w:t>
      </w:r>
      <w:r w:rsidRPr="00D57877">
        <w:rPr>
          <w:i/>
        </w:rPr>
        <w:t xml:space="preserve"> za lata 2010-2016</w:t>
      </w:r>
      <w:r w:rsidRPr="00D57877">
        <w:rPr>
          <w:rFonts w:cs="Times New Roman"/>
          <w:i/>
        </w:rPr>
        <w:t>)</w:t>
      </w:r>
    </w:p>
    <w:p w:rsidR="00B14D7C" w:rsidRDefault="00B14D7C" w:rsidP="00B14D7C">
      <w:pPr>
        <w:jc w:val="center"/>
      </w:pPr>
      <w:r>
        <w:rPr>
          <w:noProof/>
          <w:lang w:eastAsia="pl-PL"/>
        </w:rPr>
        <w:drawing>
          <wp:inline distT="0" distB="0" distL="0" distR="0" wp14:anchorId="060EF6D7" wp14:editId="07203C19">
            <wp:extent cx="4572000" cy="2743200"/>
            <wp:effectExtent l="0" t="0" r="0" b="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B14D7C" w:rsidRPr="0081620D" w:rsidRDefault="00B14D7C" w:rsidP="00B14D7C">
      <w:pPr>
        <w:jc w:val="center"/>
      </w:pPr>
    </w:p>
    <w:p w:rsidR="00B14D7C" w:rsidRPr="0081620D" w:rsidRDefault="00B14D7C" w:rsidP="0085436F">
      <w:pPr>
        <w:spacing w:after="120"/>
        <w:jc w:val="both"/>
        <w:rPr>
          <w:rFonts w:cs="Times New Roman"/>
        </w:rPr>
      </w:pPr>
      <w:r w:rsidRPr="0081620D">
        <w:rPr>
          <w:rFonts w:cs="Times New Roman"/>
        </w:rPr>
        <w:t xml:space="preserve">W roku 2005 wprowadzono w życie przepisy Unii Europejskiej w zakresie postępowania </w:t>
      </w:r>
      <w:r w:rsidRPr="0081620D">
        <w:rPr>
          <w:rFonts w:cs="Times New Roman"/>
        </w:rPr>
        <w:br/>
        <w:t>z pojazdami wycofanymi z eksploatacji. Analizując dostępne dane, można zauważyć systematyczny wzrost liczby pojazdów wycofanych z eksploatacji przekazanych do stacji demontażu: z 151 tys. w</w:t>
      </w:r>
      <w:r>
        <w:rPr>
          <w:rFonts w:cs="Times New Roman"/>
        </w:rPr>
        <w:t> </w:t>
      </w:r>
      <w:r w:rsidRPr="0081620D">
        <w:rPr>
          <w:rFonts w:cs="Times New Roman"/>
        </w:rPr>
        <w:t xml:space="preserve">roku 2006 do ponad </w:t>
      </w:r>
      <w:r>
        <w:rPr>
          <w:rFonts w:cs="Times New Roman"/>
        </w:rPr>
        <w:t>365</w:t>
      </w:r>
      <w:r w:rsidRPr="0081620D">
        <w:rPr>
          <w:rFonts w:cs="Times New Roman"/>
        </w:rPr>
        <w:t xml:space="preserve"> tys.</w:t>
      </w:r>
      <w:r>
        <w:rPr>
          <w:rFonts w:cs="Times New Roman"/>
        </w:rPr>
        <w:t xml:space="preserve"> sztuk</w:t>
      </w:r>
      <w:r w:rsidRPr="0081620D">
        <w:rPr>
          <w:rFonts w:cs="Times New Roman"/>
        </w:rPr>
        <w:t xml:space="preserve"> w roku 201</w:t>
      </w:r>
      <w:r>
        <w:rPr>
          <w:rFonts w:cs="Times New Roman"/>
        </w:rPr>
        <w:t>6</w:t>
      </w:r>
      <w:r w:rsidRPr="0081620D">
        <w:rPr>
          <w:rFonts w:cs="Times New Roman"/>
        </w:rPr>
        <w:t xml:space="preserve">. W </w:t>
      </w:r>
      <w:r>
        <w:rPr>
          <w:rFonts w:cs="Times New Roman"/>
        </w:rPr>
        <w:t>analogicznym</w:t>
      </w:r>
      <w:r w:rsidRPr="0081620D">
        <w:rPr>
          <w:rFonts w:cs="Times New Roman"/>
        </w:rPr>
        <w:t xml:space="preserve"> okresie poziom ponownego użycia i</w:t>
      </w:r>
      <w:r>
        <w:rPr>
          <w:rFonts w:cs="Times New Roman"/>
        </w:rPr>
        <w:t> </w:t>
      </w:r>
      <w:r w:rsidRPr="0081620D">
        <w:rPr>
          <w:rFonts w:cs="Times New Roman"/>
        </w:rPr>
        <w:t xml:space="preserve">recyklingu tego strumienia odpadów zwiększył się z 84,7% do </w:t>
      </w:r>
      <w:r>
        <w:rPr>
          <w:rFonts w:cs="Times New Roman"/>
        </w:rPr>
        <w:t xml:space="preserve">94,7 </w:t>
      </w:r>
      <w:r w:rsidRPr="0081620D">
        <w:rPr>
          <w:rFonts w:cs="Times New Roman"/>
        </w:rPr>
        <w:t>%, a poziom ponownego użycia i odzysku zwiększył się z 85,8% do 9</w:t>
      </w:r>
      <w:r>
        <w:rPr>
          <w:rFonts w:cs="Times New Roman"/>
        </w:rPr>
        <w:t>7</w:t>
      </w:r>
      <w:r w:rsidRPr="0081620D">
        <w:rPr>
          <w:rFonts w:cs="Times New Roman"/>
        </w:rPr>
        <w:t>%.</w:t>
      </w:r>
      <w:r w:rsidRPr="0081620D">
        <w:rPr>
          <w:rStyle w:val="Odwoanieprzypisudolnego"/>
          <w:rFonts w:cs="Times New Roman"/>
        </w:rPr>
        <w:footnoteReference w:id="63"/>
      </w:r>
      <w:r w:rsidRPr="0081620D">
        <w:rPr>
          <w:rFonts w:cs="Times New Roman"/>
        </w:rPr>
        <w:t xml:space="preserve"> </w:t>
      </w:r>
    </w:p>
    <w:p w:rsidR="00B14D7C" w:rsidRPr="0081620D" w:rsidRDefault="00B14D7C" w:rsidP="0085436F">
      <w:pPr>
        <w:jc w:val="both"/>
      </w:pPr>
      <w:r w:rsidRPr="0081620D">
        <w:rPr>
          <w:rFonts w:cs="Times New Roman"/>
        </w:rPr>
        <w:t xml:space="preserve">Instrumentami wspomagającymi racjonalną gospodarkę odpadami są plany gospodarki odpadami. Plany gospodarki odpadami opracowywane są na szczeblu krajowym i wojewódzkim. </w:t>
      </w:r>
      <w:r>
        <w:t>Istotna jest rola samorządów  gminnych, powiatowych i wojewódzkich w kreowaniu wśród mieszkańców prawidłowych zasad gospodarowania  odpadami w celu prowadzenia racjonalnej gospodarki odpadami zgodnej z przepisami prawa</w:t>
      </w:r>
      <w:r w:rsidRPr="0081620D">
        <w:rPr>
          <w:rFonts w:cs="Times New Roman"/>
        </w:rPr>
        <w:t>.</w:t>
      </w:r>
      <w:r>
        <w:rPr>
          <w:rFonts w:cs="Times New Roman"/>
        </w:rPr>
        <w:t xml:space="preserve"> </w:t>
      </w:r>
      <w:r>
        <w:t>Racjonalne postępowanie i gospodarowanie odpadami wytwarzanymi przez podmioty indywidualne, gospodarstwa domowe powinno być prowadzone przez zwiększanie świadomości mieszkańców z ewentualnych  zagrożeniach dla środowiska  na wskutek niewłaściwego postepowania z odpadami</w:t>
      </w:r>
    </w:p>
    <w:p w:rsidR="00BE6659" w:rsidRDefault="00BE6659" w:rsidP="00BE6659"/>
    <w:p w:rsidR="0085436F" w:rsidRDefault="0085436F" w:rsidP="00BE6659"/>
    <w:p w:rsidR="0085436F" w:rsidRPr="00BE6659" w:rsidRDefault="0085436F" w:rsidP="00BE6659"/>
    <w:p w:rsidR="00956E3C" w:rsidRDefault="00956E3C" w:rsidP="00956E3C">
      <w:pPr>
        <w:pStyle w:val="Nagwek1"/>
        <w:numPr>
          <w:ilvl w:val="0"/>
          <w:numId w:val="5"/>
        </w:numPr>
        <w:spacing w:after="240"/>
      </w:pPr>
      <w:bookmarkStart w:id="72" w:name="_Toc505604937"/>
      <w:bookmarkStart w:id="73" w:name="_Toc505605330"/>
      <w:r>
        <w:lastRenderedPageBreak/>
        <w:t>I</w:t>
      </w:r>
      <w:r w:rsidRPr="00E22A77">
        <w:t>nstrumenty polityki ek</w:t>
      </w:r>
      <w:r w:rsidR="001E35FE">
        <w:t>ologicznej państwa</w:t>
      </w:r>
      <w:bookmarkEnd w:id="72"/>
      <w:bookmarkEnd w:id="73"/>
    </w:p>
    <w:p w:rsidR="00504EE2" w:rsidRPr="00812649" w:rsidRDefault="00504EE2" w:rsidP="00812649">
      <w:pPr>
        <w:pStyle w:val="Nagwek2"/>
      </w:pPr>
      <w:bookmarkStart w:id="74" w:name="_Toc505604938"/>
      <w:bookmarkStart w:id="75" w:name="_Toc505605331"/>
      <w:r w:rsidRPr="00812649">
        <w:t>Podmioty biorące udział w zarzadzaniu środowiskiem (do uzupełnienia)</w:t>
      </w:r>
      <w:bookmarkEnd w:id="74"/>
      <w:bookmarkEnd w:id="75"/>
    </w:p>
    <w:p w:rsidR="00812649" w:rsidRDefault="00812649" w:rsidP="00504EE2">
      <w:pPr>
        <w:rPr>
          <w:b/>
          <w:i/>
        </w:rPr>
      </w:pPr>
    </w:p>
    <w:p w:rsidR="00504EE2" w:rsidRPr="00504EE2" w:rsidRDefault="00504EE2" w:rsidP="00812649">
      <w:pPr>
        <w:pStyle w:val="Nagwek2"/>
        <w:rPr>
          <w:b w:val="0"/>
          <w:i w:val="0"/>
        </w:rPr>
      </w:pPr>
      <w:bookmarkStart w:id="76" w:name="_Toc505604939"/>
      <w:bookmarkStart w:id="77" w:name="_Toc505605332"/>
      <w:r w:rsidRPr="00812649">
        <w:t>System finansowania ochrony środowiska</w:t>
      </w:r>
      <w:bookmarkEnd w:id="76"/>
      <w:bookmarkEnd w:id="77"/>
    </w:p>
    <w:p w:rsidR="00A7414F" w:rsidRPr="00A7414F" w:rsidRDefault="00A7414F" w:rsidP="00A7414F">
      <w:pPr>
        <w:rPr>
          <w:u w:val="single"/>
        </w:rPr>
      </w:pPr>
      <w:r w:rsidRPr="00A7414F">
        <w:rPr>
          <w:u w:val="single"/>
        </w:rPr>
        <w:t>System wielopoziomowy</w:t>
      </w:r>
    </w:p>
    <w:p w:rsidR="00A7414F" w:rsidRDefault="00A7414F" w:rsidP="00A7414F">
      <w:pPr>
        <w:spacing w:after="120"/>
        <w:jc w:val="both"/>
        <w:rPr>
          <w:rFonts w:cs="Times New Roman"/>
        </w:rPr>
      </w:pPr>
      <w:r w:rsidRPr="00C877D2">
        <w:rPr>
          <w:rFonts w:cs="Times New Roman"/>
        </w:rPr>
        <w:t xml:space="preserve">System finansowania zadań z obszaru ochrony środowiska tworzą instytucje, instrumenty ekonomiczne oraz przepisy określające zasady gromadzenia, a także tryb wykorzystania środków finansowych w celu poprawy jakości </w:t>
      </w:r>
      <w:r>
        <w:rPr>
          <w:rFonts w:cs="Times New Roman"/>
        </w:rPr>
        <w:t xml:space="preserve">środowiska naturalnego lub zachowania go w stanie niepogorszonym.  Źródłem finansowania są zarówno podmioty publiczne, jak i prywatne. </w:t>
      </w:r>
    </w:p>
    <w:p w:rsidR="00A7414F" w:rsidRPr="00E71E1C" w:rsidRDefault="00A7414F" w:rsidP="00A7414F">
      <w:pPr>
        <w:spacing w:after="120"/>
        <w:jc w:val="both"/>
        <w:rPr>
          <w:rFonts w:cs="Times New Roman"/>
        </w:rPr>
      </w:pPr>
      <w:r>
        <w:rPr>
          <w:rFonts w:cs="Times New Roman"/>
        </w:rPr>
        <w:t xml:space="preserve">Największą, wyodrębnioną instytucją publiczną powołaną w celu finansowania ochrony środowiska </w:t>
      </w:r>
      <w:r>
        <w:rPr>
          <w:rFonts w:cs="Times New Roman"/>
        </w:rPr>
        <w:br/>
        <w:t xml:space="preserve">w Polsce jest </w:t>
      </w:r>
      <w:r w:rsidRPr="00A76C2B">
        <w:rPr>
          <w:rFonts w:cs="Times New Roman"/>
        </w:rPr>
        <w:t>Narodowy Fundusz Ochrony Środowiska i Gospodarki Wodnej (NFOŚiGW), natomiast na szczeblu regionalnym wojewódzkie fundusze ochrony środowiska i gospodarki wodnej</w:t>
      </w:r>
      <w:r>
        <w:rPr>
          <w:rFonts w:cs="Times New Roman"/>
        </w:rPr>
        <w:t xml:space="preserve"> (wfośigw). Podmioty te posiadają osobowość prawną oraz możliwość samodzielnego decydowania </w:t>
      </w:r>
      <w:r>
        <w:rPr>
          <w:rFonts w:cs="Times New Roman"/>
        </w:rPr>
        <w:br/>
        <w:t xml:space="preserve">o kierunkach interwencji w granicach obowiązującego prawa, w szczególności ustawy – Prawo ochrony środowiska. Działalność NFOŚiGW jest nadzorowana przez Ministra Środowiska. Ważnym podmiotem finansującym ochronę środowiska jest </w:t>
      </w:r>
      <w:r w:rsidRPr="00A76C2B">
        <w:rPr>
          <w:rFonts w:cs="Times New Roman"/>
        </w:rPr>
        <w:t>Państwowe Gospodarstwo Leśne Lasy Państwowe.</w:t>
      </w:r>
      <w:r w:rsidRPr="007A1415">
        <w:rPr>
          <w:rFonts w:cs="Times New Roman"/>
          <w:b/>
        </w:rPr>
        <w:t xml:space="preserve"> </w:t>
      </w:r>
    </w:p>
    <w:p w:rsidR="00A7414F" w:rsidRPr="00A76C2B" w:rsidRDefault="00A7414F" w:rsidP="00A7414F">
      <w:pPr>
        <w:spacing w:after="120"/>
        <w:jc w:val="both"/>
        <w:rPr>
          <w:rFonts w:cs="Times New Roman"/>
        </w:rPr>
      </w:pPr>
      <w:r>
        <w:rPr>
          <w:rFonts w:cs="Times New Roman"/>
        </w:rPr>
        <w:t xml:space="preserve">Ochrona środowiska jest zagadnieniem horyzontalnym, dlatego jej finansowanie dokonuje się również przy udziale jednostek, których celem jest m.in. rozwój gospodarczy, wspieranie obszarów wiejskich, rozwój infrastruktury czy nauka. Mając na uwadze wielkość i ilość realizowanych przedsięwzięć do najważniejszych podmiotów zaliczyć można: </w:t>
      </w:r>
      <w:r w:rsidRPr="00A76C2B">
        <w:rPr>
          <w:rFonts w:cs="Times New Roman"/>
        </w:rPr>
        <w:t xml:space="preserve">Narodowe Centrum Badań i Rozwoju (finansowanie badań), Polską Agencję Rozwoju Przedsiębiorczości (wspieranie biznesu) czy Agencję Restrukturyzacji i Modernizacji Rolnictwa </w:t>
      </w:r>
      <w:r>
        <w:rPr>
          <w:rFonts w:cs="Times New Roman"/>
        </w:rPr>
        <w:t xml:space="preserve">(wsparcie środowiskowe producentów rolnych oraz obszarów wiejskich). Działania związane z przedsięwzięciami uwzględniającymi aspekty środowiskowe realizowane są również przez podmioty odpowiedzialne za budowę lub modernizację infrastruktury: drogowej (np. </w:t>
      </w:r>
      <w:r w:rsidRPr="00A76C2B">
        <w:rPr>
          <w:rFonts w:cs="Times New Roman"/>
        </w:rPr>
        <w:t>Generalna Dyrekcja Dróg Krajowych i Autostrad (GDDKiA)), kolejowej (np. PKP Polskie Linie Kolejowe) czy energetycznej.</w:t>
      </w:r>
    </w:p>
    <w:p w:rsidR="00A7414F" w:rsidRDefault="00A7414F" w:rsidP="00A7414F">
      <w:pPr>
        <w:spacing w:after="120"/>
        <w:jc w:val="both"/>
        <w:rPr>
          <w:rFonts w:cs="Times New Roman"/>
        </w:rPr>
      </w:pPr>
      <w:r w:rsidRPr="00A76C2B">
        <w:rPr>
          <w:rFonts w:cs="Times New Roman"/>
        </w:rPr>
        <w:t>Natomiast na szczeblu regionalnym i lokalnym ważnym elementem systemu są: jednostki samorządu terytorialnego.</w:t>
      </w:r>
      <w:r>
        <w:rPr>
          <w:rFonts w:cs="Times New Roman"/>
        </w:rPr>
        <w:t xml:space="preserve"> Marszałek Województwa, starosta, wójt, burmistrz lub prezydent miasta są zobowiązani m.in. zapewnić dostęp do podstawowej infrastruktury, której prawidłowe funkcjonowanie wpływa na stan środowiska (np. systemy kanalizacyjne). Samorządy województwa są odpowiedzialne również za wdrażanie regionalnych programów operacyjnych oraz realizację kontraktu wojewódzkiego. </w:t>
      </w:r>
    </w:p>
    <w:p w:rsidR="00A7414F" w:rsidRPr="00A76C2B" w:rsidRDefault="00A7414F" w:rsidP="00A7414F">
      <w:pPr>
        <w:spacing w:after="120"/>
        <w:jc w:val="both"/>
        <w:rPr>
          <w:rFonts w:cs="Times New Roman"/>
        </w:rPr>
      </w:pPr>
      <w:r w:rsidRPr="00A76C2B">
        <w:rPr>
          <w:rFonts w:cs="Times New Roman"/>
        </w:rPr>
        <w:t xml:space="preserve">Niezależnie od tego – kluczowym elementem systemu finansowania ochrony środowiska w Polsce są gospodarstwa domowe oraz przedsiębiorstwa. </w:t>
      </w:r>
    </w:p>
    <w:p w:rsidR="00A7414F" w:rsidRDefault="00A7414F" w:rsidP="00A7414F">
      <w:pPr>
        <w:spacing w:after="120"/>
        <w:jc w:val="both"/>
        <w:rPr>
          <w:rFonts w:cs="Times New Roman"/>
        </w:rPr>
      </w:pPr>
      <w:r>
        <w:rPr>
          <w:rFonts w:cs="Times New Roman"/>
        </w:rPr>
        <w:t xml:space="preserve">Szacuje się, że w Polsce jest ponad 14 mln gospodarstw domowych. Zgodnie z danymi GUS oraz EURSTAT polskie gospodarstwa domowe są znacznie mniej zamożne od gospodarstw domowych </w:t>
      </w:r>
      <w:r>
        <w:rPr>
          <w:rFonts w:cs="Times New Roman"/>
        </w:rPr>
        <w:br/>
        <w:t xml:space="preserve">w Europie Zachodniej, dysponując niższym dochodem rozporządzalnym na osobę. Taki stan rzeczy skutkuje specyficzną strukturą wydatków, w których dominuje zakup podstawowych dóbr i usług związanych z żywnością, użytkowaniem mieszkania, nośnikami energii czy zakupami odzieży. Kwestie </w:t>
      </w:r>
      <w:r>
        <w:rPr>
          <w:rFonts w:cs="Times New Roman"/>
        </w:rPr>
        <w:lastRenderedPageBreak/>
        <w:t>dotyczące dostosowania polskiego prawa do wymogów UE mają szczególne znaczenie w przypadku kosztów ponoszonych przez gospodarstwa domowe na użytkowanie mieszkania oraz koszt zakupu nośników energii. Tymczasem podmioty te pokrywają niemal połowę wszystkich nakładów związanych z ochroną środowiska w Polsce.</w:t>
      </w:r>
      <w:r>
        <w:rPr>
          <w:rStyle w:val="Odwoanieprzypisudolnego"/>
          <w:rFonts w:cs="Times New Roman"/>
        </w:rPr>
        <w:footnoteReference w:id="64"/>
      </w:r>
      <w:r>
        <w:rPr>
          <w:rFonts w:cs="Times New Roman"/>
        </w:rPr>
        <w:t xml:space="preserve"> Zatem wprowadzanie dodatkowych wymogów w obszarze ochrony środowiska zawsze powinno uwzględniać wpływ regulacji na obciążenia budżetów gospodarstw domowych. </w:t>
      </w:r>
    </w:p>
    <w:p w:rsidR="00A7414F" w:rsidRDefault="00A7414F" w:rsidP="00A7414F">
      <w:pPr>
        <w:spacing w:after="120"/>
        <w:jc w:val="both"/>
        <w:rPr>
          <w:rFonts w:cs="Times New Roman"/>
        </w:rPr>
      </w:pPr>
      <w:r>
        <w:rPr>
          <w:rFonts w:cs="Times New Roman"/>
        </w:rPr>
        <w:t xml:space="preserve">Grupą ponoszącą znaczne wydatki na ochronę środowiska w Polsce jest sektor biznesu. Zgodnie </w:t>
      </w:r>
      <w:r>
        <w:rPr>
          <w:rFonts w:cs="Times New Roman"/>
        </w:rPr>
        <w:br/>
        <w:t>z rejestrem REGON</w:t>
      </w:r>
      <w:r>
        <w:rPr>
          <w:rStyle w:val="Odwoanieprzypisudolnego"/>
          <w:rFonts w:cs="Times New Roman"/>
        </w:rPr>
        <w:footnoteReference w:id="65"/>
      </w:r>
      <w:r>
        <w:rPr>
          <w:rFonts w:cs="Times New Roman"/>
        </w:rPr>
        <w:t xml:space="preserve"> liczba zarejestrowanych podmiotów przekracza 4 mln (większość z nich to zarejestrowane osoby fizyczne prowadzące jednoosobową działalność gospodarczą). Zdecydowana większość przedsiębiorstw (prawie 99%) to mikro i małe firmy, które finansują swoją działalność ze środków własnych. </w:t>
      </w:r>
      <w:r w:rsidRPr="00751283">
        <w:rPr>
          <w:rFonts w:cs="Times New Roman"/>
        </w:rPr>
        <w:t>Konsekwencją struktury</w:t>
      </w:r>
      <w:r w:rsidRPr="006507BB">
        <w:rPr>
          <w:rFonts w:cs="Times New Roman"/>
        </w:rPr>
        <w:t xml:space="preserve"> polskiej gospodarki z </w:t>
      </w:r>
      <w:r w:rsidRPr="00751283">
        <w:rPr>
          <w:rFonts w:cs="Times New Roman"/>
        </w:rPr>
        <w:t>istotnym</w:t>
      </w:r>
      <w:r w:rsidRPr="006507BB">
        <w:rPr>
          <w:rFonts w:cs="Times New Roman"/>
        </w:rPr>
        <w:t xml:space="preserve"> udziałem rolnictwa oraz przemysłu </w:t>
      </w:r>
      <w:r w:rsidRPr="00751283">
        <w:rPr>
          <w:rFonts w:cs="Times New Roman"/>
        </w:rPr>
        <w:t xml:space="preserve">jest wysoki udział </w:t>
      </w:r>
      <w:r w:rsidRPr="00A76C2B">
        <w:rPr>
          <w:rFonts w:cs="Times New Roman"/>
        </w:rPr>
        <w:t>kosztów ponoszonych przez przedsiębiorstwa na zakup energii oraz surowców</w:t>
      </w:r>
      <w:r w:rsidRPr="006507BB">
        <w:rPr>
          <w:rFonts w:cs="Times New Roman"/>
          <w:b/>
        </w:rPr>
        <w:t xml:space="preserve"> </w:t>
      </w:r>
      <w:r w:rsidRPr="006507BB">
        <w:rPr>
          <w:rFonts w:cs="Times New Roman"/>
        </w:rPr>
        <w:t>wykorzystywanych w procesie produkcji</w:t>
      </w:r>
      <w:r>
        <w:rPr>
          <w:rFonts w:cs="Times New Roman"/>
        </w:rPr>
        <w:t xml:space="preserve"> lub dostarczania usług</w:t>
      </w:r>
      <w:r w:rsidRPr="006507BB">
        <w:rPr>
          <w:rFonts w:cs="Times New Roman"/>
        </w:rPr>
        <w:t>.</w:t>
      </w:r>
      <w:r>
        <w:rPr>
          <w:rFonts w:cs="Times New Roman"/>
        </w:rPr>
        <w:t xml:space="preserve"> Natomiast cena surowców i energii zależy w dużym stopniu od uwarunkowań prawnych dotyczących ich pozyskania, możliwości wykorzystania przy użyciu specyficznych technologii oraz obowiązującego sposobu gospodarowania odpadami. Zatem wprowadzenie zmian zaostrzających normy i wymagania w zakresie wykorzystywania środowiska bezpośrednio oddziałuje na wielkość i kierunek inwestycji oraz nakładów bieżących przedsiębiorstw funkcjonujących w Polsce. Niezależnym od powyższego wkładem finansowym biznesu na rzecz ochrony środowiska jest  ponoszenie ciężarów związanych </w:t>
      </w:r>
      <w:r>
        <w:rPr>
          <w:rFonts w:cs="Times New Roman"/>
        </w:rPr>
        <w:br/>
        <w:t>z ewidencjonowaniem i przekazywaniem danych statystycznych, w tym tych dotyczących środowiska. Zgodnie z badaniami (prowadzonymi również przez administrację publiczną) w Polce istnieje kilka tysięcy obowiązków informacyjnych, które są zapisane w kilkuset aktach prawnych. W przypadku niewielkich przedsiębiorstw wydatki związane z zarządzaniem informacją niezbędną do przekazania do wszystkich stosownych instytucji stanowić mogą duże obciążenie prowadzenia działalności gospodarczej</w:t>
      </w:r>
      <w:r>
        <w:rPr>
          <w:rStyle w:val="Odwoanieprzypisudolnego"/>
          <w:rFonts w:cs="Times New Roman"/>
        </w:rPr>
        <w:footnoteReference w:id="66"/>
      </w:r>
      <w:r>
        <w:rPr>
          <w:rFonts w:cs="Times New Roman"/>
        </w:rPr>
        <w:t xml:space="preserve">. </w:t>
      </w:r>
    </w:p>
    <w:p w:rsidR="00A7414F" w:rsidRDefault="00A7414F" w:rsidP="00A7414F">
      <w:pPr>
        <w:spacing w:after="120"/>
        <w:jc w:val="both"/>
        <w:rPr>
          <w:rFonts w:cs="Times New Roman"/>
        </w:rPr>
      </w:pPr>
      <w:r>
        <w:rPr>
          <w:rFonts w:cs="Times New Roman"/>
        </w:rPr>
        <w:t xml:space="preserve">Ważną rolę w finansowaniu ochrony środowiska odgrywa sektor bankowy, w tym Bank Gospodarstwa Krajowego oraz Bank Ochrony Środowiska S.A. Banki te uczestniczą m.in. w sprawnym wypłacaniu środków pomocowych oraz dostarczaniu preferencyjnych produktów finansowych ułatwiających dokonywanie inwestycji środowiskowych. </w:t>
      </w:r>
    </w:p>
    <w:p w:rsidR="00A7414F" w:rsidRPr="001943E6" w:rsidRDefault="00A7414F" w:rsidP="00A7414F">
      <w:pPr>
        <w:spacing w:after="0"/>
        <w:jc w:val="both"/>
        <w:rPr>
          <w:rFonts w:cs="Times New Roman"/>
        </w:rPr>
      </w:pPr>
      <w:r>
        <w:rPr>
          <w:rFonts w:cs="Times New Roman"/>
        </w:rPr>
        <w:t xml:space="preserve">Istniejąca konstrukcja systemu finansowania ochrony środowiska </w:t>
      </w:r>
      <w:r w:rsidRPr="00252CA8">
        <w:rPr>
          <w:rFonts w:cs="Times New Roman"/>
        </w:rPr>
        <w:t>prowadzi do wielu wyzwań związanych m.in.</w:t>
      </w:r>
      <w:r w:rsidRPr="00914FE9">
        <w:rPr>
          <w:rFonts w:cs="Times New Roman"/>
        </w:rPr>
        <w:t xml:space="preserve"> z:</w:t>
      </w:r>
    </w:p>
    <w:p w:rsidR="00A7414F" w:rsidRDefault="00A7414F" w:rsidP="00A7414F">
      <w:pPr>
        <w:pStyle w:val="Akapitzlist"/>
        <w:numPr>
          <w:ilvl w:val="0"/>
          <w:numId w:val="30"/>
        </w:numPr>
        <w:spacing w:after="0"/>
        <w:jc w:val="both"/>
        <w:rPr>
          <w:rFonts w:cs="Times New Roman"/>
        </w:rPr>
      </w:pPr>
      <w:r>
        <w:rPr>
          <w:rFonts w:cs="Times New Roman"/>
        </w:rPr>
        <w:t>ograniczoną możliwością koordynacji systemu będącego w zarządzaniu wielu niezależnych podmiotów,</w:t>
      </w:r>
    </w:p>
    <w:p w:rsidR="00A7414F" w:rsidRDefault="00A7414F" w:rsidP="00A7414F">
      <w:pPr>
        <w:pStyle w:val="Akapitzlist"/>
        <w:numPr>
          <w:ilvl w:val="0"/>
          <w:numId w:val="30"/>
        </w:numPr>
        <w:spacing w:after="0"/>
        <w:jc w:val="both"/>
        <w:rPr>
          <w:rFonts w:cs="Times New Roman"/>
        </w:rPr>
      </w:pPr>
      <w:r>
        <w:rPr>
          <w:rFonts w:cs="Times New Roman"/>
        </w:rPr>
        <w:t>występowaniem nie zawsze uzasadnionych różnic w udzielaniu pomocy na te same przedsięwzięcia środowiskowe w różnych częściach kraju lub w zależności od podmiotów prowadzących działania pomocowe,</w:t>
      </w:r>
    </w:p>
    <w:p w:rsidR="00A7414F" w:rsidRDefault="00A7414F" w:rsidP="00A7414F">
      <w:pPr>
        <w:pStyle w:val="Akapitzlist"/>
        <w:numPr>
          <w:ilvl w:val="0"/>
          <w:numId w:val="30"/>
        </w:numPr>
        <w:spacing w:after="0"/>
        <w:jc w:val="both"/>
        <w:rPr>
          <w:rFonts w:cs="Times New Roman"/>
        </w:rPr>
      </w:pPr>
      <w:r>
        <w:rPr>
          <w:rFonts w:cs="Times New Roman"/>
        </w:rPr>
        <w:lastRenderedPageBreak/>
        <w:t>realizacją dużych przedsięwzięć zintegrowanych – których montaż finansowy wymaga korzystania z różnych źródeł,</w:t>
      </w:r>
    </w:p>
    <w:p w:rsidR="00A7414F" w:rsidRDefault="00A7414F" w:rsidP="00A7414F">
      <w:pPr>
        <w:pStyle w:val="Akapitzlist"/>
        <w:numPr>
          <w:ilvl w:val="0"/>
          <w:numId w:val="30"/>
        </w:numPr>
        <w:spacing w:after="0"/>
        <w:jc w:val="both"/>
        <w:rPr>
          <w:rFonts w:cs="Times New Roman"/>
        </w:rPr>
      </w:pPr>
      <w:r>
        <w:rPr>
          <w:rFonts w:cs="Times New Roman"/>
        </w:rPr>
        <w:t>trudnościami związanymi z ewidencjonowaniem oraz klasyfikowaniem osiąganych efektów ekologicznych, które są wypracowywane w ramach działań wspieranych z różnych źródeł,</w:t>
      </w:r>
    </w:p>
    <w:p w:rsidR="00A7414F" w:rsidRDefault="00A7414F" w:rsidP="00A7414F">
      <w:pPr>
        <w:pStyle w:val="Akapitzlist"/>
        <w:numPr>
          <w:ilvl w:val="0"/>
          <w:numId w:val="30"/>
        </w:numPr>
        <w:spacing w:after="0"/>
        <w:jc w:val="both"/>
        <w:rPr>
          <w:rFonts w:cs="Times New Roman"/>
        </w:rPr>
      </w:pPr>
      <w:r>
        <w:rPr>
          <w:rFonts w:cs="Times New Roman"/>
        </w:rPr>
        <w:t xml:space="preserve">pojawieniem się z jednej strony zjawiska konkurowania różnych środków pomiędzy sobą </w:t>
      </w:r>
      <w:r>
        <w:rPr>
          <w:rFonts w:cs="Times New Roman"/>
        </w:rPr>
        <w:br/>
        <w:t>w wybranych obszarach, a z drugiej strony ryzykiem pojawienia się niedoborów na finansowanie pewnych kategorii przedsięwzięć,</w:t>
      </w:r>
    </w:p>
    <w:p w:rsidR="00A7414F" w:rsidRPr="00113BA9" w:rsidRDefault="00A7414F" w:rsidP="00A7414F">
      <w:pPr>
        <w:pStyle w:val="Akapitzlist"/>
        <w:numPr>
          <w:ilvl w:val="0"/>
          <w:numId w:val="30"/>
        </w:numPr>
        <w:spacing w:after="0"/>
        <w:jc w:val="both"/>
        <w:rPr>
          <w:rFonts w:cs="Times New Roman"/>
        </w:rPr>
      </w:pPr>
      <w:r>
        <w:rPr>
          <w:rFonts w:cs="Times New Roman"/>
        </w:rPr>
        <w:t xml:space="preserve">ograniczoną zdolnością systemu do dokonania szybkiej reorientacji kierunków pomocy </w:t>
      </w:r>
      <w:r>
        <w:rPr>
          <w:rFonts w:cs="Times New Roman"/>
        </w:rPr>
        <w:br/>
        <w:t xml:space="preserve">w przypadku pojawienia się nagłych potrzeb. </w:t>
      </w:r>
    </w:p>
    <w:p w:rsidR="00A7414F" w:rsidRDefault="00A7414F" w:rsidP="00A7414F">
      <w:pPr>
        <w:spacing w:after="0"/>
        <w:jc w:val="both"/>
        <w:rPr>
          <w:rFonts w:cs="Times New Roman"/>
        </w:rPr>
      </w:pPr>
    </w:p>
    <w:p w:rsidR="00A7414F" w:rsidRPr="00A7414F" w:rsidRDefault="00A7414F" w:rsidP="00A7414F">
      <w:pPr>
        <w:rPr>
          <w:u w:val="single"/>
        </w:rPr>
      </w:pPr>
      <w:r w:rsidRPr="00A7414F">
        <w:rPr>
          <w:u w:val="single"/>
        </w:rPr>
        <w:t>System finansowany z wielu źródeł</w:t>
      </w:r>
    </w:p>
    <w:p w:rsidR="00A7414F" w:rsidRPr="00A76C2B" w:rsidRDefault="00A7414F" w:rsidP="00A7414F">
      <w:pPr>
        <w:spacing w:after="0"/>
        <w:jc w:val="both"/>
        <w:rPr>
          <w:rFonts w:cs="Times New Roman"/>
        </w:rPr>
      </w:pPr>
      <w:r>
        <w:rPr>
          <w:rFonts w:cs="Times New Roman"/>
        </w:rPr>
        <w:t xml:space="preserve">Konsekwencją dekoncentracji i decentralizacji systemu jest różnorodność źródeł jego finansowania. Zgodnie z danymi GUS ogólne nakłady na ochronę środowiska (nakłady na środki trwałe i koszty bieżące netto) wyniosły w 2015 roku około 2,4% PKB, co odpowiada wydatkom w wysokości około 43,5 mld złotych. </w:t>
      </w:r>
      <w:r w:rsidRPr="00A76C2B">
        <w:rPr>
          <w:rFonts w:cs="Times New Roman"/>
        </w:rPr>
        <w:t xml:space="preserve">Niemal połowa tych kosztów została poniesiona przez gospodarstwa domowe. </w:t>
      </w:r>
    </w:p>
    <w:p w:rsidR="00A7414F" w:rsidRDefault="00A7414F" w:rsidP="00A7414F">
      <w:pPr>
        <w:spacing w:after="0"/>
        <w:jc w:val="both"/>
        <w:rPr>
          <w:rFonts w:cs="Times New Roman"/>
        </w:rPr>
      </w:pPr>
    </w:p>
    <w:p w:rsidR="00A7414F" w:rsidRDefault="00A7414F" w:rsidP="00A7414F">
      <w:pPr>
        <w:spacing w:after="0"/>
        <w:jc w:val="both"/>
        <w:rPr>
          <w:rFonts w:cs="Times New Roman"/>
        </w:rPr>
      </w:pPr>
      <w:r w:rsidRPr="000731A5">
        <w:rPr>
          <w:rFonts w:cs="Times New Roman"/>
        </w:rPr>
        <w:t>Dane GUS</w:t>
      </w:r>
      <w:r>
        <w:rPr>
          <w:rFonts w:cs="Times New Roman"/>
        </w:rPr>
        <w:t xml:space="preserve"> w</w:t>
      </w:r>
      <w:r w:rsidRPr="000731A5">
        <w:rPr>
          <w:rFonts w:cs="Times New Roman"/>
        </w:rPr>
        <w:t xml:space="preserve">skazują, że w ostatniej dekadzie nastąpił wzrost nakładów na środki trwałe służące ochronie środowiska i gospodarce wodnej. Wielkość tych nakładów w 2015 roku wyniosła około </w:t>
      </w:r>
      <w:r>
        <w:rPr>
          <w:rFonts w:cs="Times New Roman"/>
        </w:rPr>
        <w:br/>
      </w:r>
      <w:r w:rsidRPr="005F1321">
        <w:rPr>
          <w:rFonts w:cs="Times New Roman"/>
        </w:rPr>
        <w:t>15,2</w:t>
      </w:r>
      <w:r w:rsidRPr="000731A5">
        <w:rPr>
          <w:rFonts w:cs="Times New Roman"/>
        </w:rPr>
        <w:t xml:space="preserve"> mld zł i była niemal</w:t>
      </w:r>
      <w:r>
        <w:rPr>
          <w:rFonts w:cs="Times New Roman"/>
        </w:rPr>
        <w:t xml:space="preserve"> o</w:t>
      </w:r>
      <w:r w:rsidRPr="000731A5">
        <w:rPr>
          <w:rFonts w:cs="Times New Roman"/>
        </w:rPr>
        <w:t xml:space="preserve"> połowę</w:t>
      </w:r>
      <w:r>
        <w:rPr>
          <w:rFonts w:cs="Times New Roman"/>
        </w:rPr>
        <w:t xml:space="preserve"> wyższa</w:t>
      </w:r>
      <w:r w:rsidRPr="000731A5">
        <w:rPr>
          <w:rFonts w:cs="Times New Roman"/>
        </w:rPr>
        <w:t xml:space="preserve"> w porównaniu </w:t>
      </w:r>
      <w:r>
        <w:rPr>
          <w:rFonts w:cs="Times New Roman"/>
        </w:rPr>
        <w:t>z</w:t>
      </w:r>
      <w:r w:rsidRPr="000731A5">
        <w:rPr>
          <w:rFonts w:cs="Times New Roman"/>
        </w:rPr>
        <w:t xml:space="preserve"> rok</w:t>
      </w:r>
      <w:r>
        <w:rPr>
          <w:rFonts w:cs="Times New Roman"/>
        </w:rPr>
        <w:t>iem</w:t>
      </w:r>
      <w:r w:rsidRPr="000731A5">
        <w:rPr>
          <w:rFonts w:cs="Times New Roman"/>
        </w:rPr>
        <w:t xml:space="preserve"> 2010 i niemal czterokrotnie </w:t>
      </w:r>
      <w:r>
        <w:rPr>
          <w:rFonts w:cs="Times New Roman"/>
        </w:rPr>
        <w:t xml:space="preserve">większa </w:t>
      </w:r>
      <w:r w:rsidRPr="000731A5">
        <w:rPr>
          <w:rFonts w:cs="Times New Roman"/>
        </w:rPr>
        <w:t xml:space="preserve">niż w roku 2005. W strukturze finansowania środków trwałych dominowały środki własne </w:t>
      </w:r>
      <w:r>
        <w:rPr>
          <w:rFonts w:cs="Times New Roman"/>
        </w:rPr>
        <w:br/>
        <w:t>gmin i przedsiębiorstw,</w:t>
      </w:r>
      <w:r w:rsidRPr="000731A5">
        <w:rPr>
          <w:rFonts w:cs="Times New Roman"/>
        </w:rPr>
        <w:t xml:space="preserve"> które stanowiły 41,6% wszystkich źródeł finansowania. Kolejnym istotnym źródłem finansowania </w:t>
      </w:r>
      <w:r>
        <w:rPr>
          <w:rFonts w:cs="Times New Roman"/>
        </w:rPr>
        <w:t xml:space="preserve">były </w:t>
      </w:r>
      <w:r w:rsidRPr="000731A5">
        <w:rPr>
          <w:rFonts w:cs="Times New Roman"/>
        </w:rPr>
        <w:t xml:space="preserve">środki z zagranicy (26,9%), fundusze ekologiczne – pożyczki, kredyty </w:t>
      </w:r>
      <w:r>
        <w:rPr>
          <w:rFonts w:cs="Times New Roman"/>
        </w:rPr>
        <w:br/>
      </w:r>
      <w:r w:rsidRPr="000731A5">
        <w:rPr>
          <w:rFonts w:cs="Times New Roman"/>
        </w:rPr>
        <w:t xml:space="preserve">i dotacje (17,8%). Źródłem pozostałych nakładów były kredyty i pożyczki krajowe, inne środki w tym nakłady niefinansowane oraz środki budżetu centralnego. </w:t>
      </w:r>
      <w:r w:rsidRPr="00A76C2B">
        <w:rPr>
          <w:rFonts w:cs="Times New Roman"/>
        </w:rPr>
        <w:t>Należy przy tym pamiętać, że ponad 2/3 nakładów inwestycyjnych poniosły przedsiębiorstwa</w:t>
      </w:r>
      <w:r w:rsidRPr="000731A5">
        <w:rPr>
          <w:rFonts w:cs="Times New Roman"/>
        </w:rPr>
        <w:t xml:space="preserve">, około 1/5 gminy, natomiast jednostki budżetowe finansowały około 1/16 wszystkich nakładów. </w:t>
      </w:r>
    </w:p>
    <w:p w:rsidR="00A7414F" w:rsidRDefault="00A7414F" w:rsidP="00A7414F">
      <w:pPr>
        <w:spacing w:after="0"/>
        <w:jc w:val="both"/>
        <w:rPr>
          <w:rFonts w:cs="Times New Roman"/>
        </w:rPr>
      </w:pPr>
      <w:r w:rsidRPr="004D31D5">
        <w:rPr>
          <w:noProof/>
          <w:sz w:val="19"/>
          <w:szCs w:val="19"/>
          <w:lang w:eastAsia="pl-PL"/>
        </w:rPr>
        <w:lastRenderedPageBreak/>
        <w:drawing>
          <wp:anchor distT="0" distB="0" distL="114300" distR="114300" simplePos="0" relativeHeight="251672576" behindDoc="0" locked="0" layoutInCell="1" allowOverlap="1" wp14:anchorId="7AAE4213" wp14:editId="0A29DF8C">
            <wp:simplePos x="0" y="0"/>
            <wp:positionH relativeFrom="column">
              <wp:posOffset>3810</wp:posOffset>
            </wp:positionH>
            <wp:positionV relativeFrom="paragraph">
              <wp:posOffset>171450</wp:posOffset>
            </wp:positionV>
            <wp:extent cx="5762625" cy="3271520"/>
            <wp:effectExtent l="0" t="0" r="9525" b="5080"/>
            <wp:wrapTopAndBottom/>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2625" cy="3271520"/>
                    </a:xfrm>
                    <a:prstGeom prst="rect">
                      <a:avLst/>
                    </a:prstGeom>
                    <a:noFill/>
                    <a:ln>
                      <a:noFill/>
                    </a:ln>
                  </pic:spPr>
                </pic:pic>
              </a:graphicData>
            </a:graphic>
          </wp:anchor>
        </w:drawing>
      </w:r>
    </w:p>
    <w:p w:rsidR="00A7414F" w:rsidRPr="00A7414F" w:rsidRDefault="00A7414F" w:rsidP="00A7414F">
      <w:pPr>
        <w:spacing w:after="0"/>
        <w:jc w:val="both"/>
        <w:rPr>
          <w:rFonts w:cs="Times New Roman"/>
          <w:i/>
        </w:rPr>
      </w:pPr>
      <w:r w:rsidRPr="00A7414F">
        <w:rPr>
          <w:rFonts w:cs="Times New Roman"/>
          <w:i/>
        </w:rPr>
        <w:t xml:space="preserve">Rys. X: Nakłady na środki trwałe służące ochronie środowiska,(źródło:  GUS 2016.) </w:t>
      </w:r>
    </w:p>
    <w:p w:rsidR="00A7414F" w:rsidRDefault="00A7414F" w:rsidP="00A7414F">
      <w:pPr>
        <w:spacing w:after="0"/>
        <w:jc w:val="both"/>
        <w:rPr>
          <w:rFonts w:cs="Times New Roman"/>
        </w:rPr>
      </w:pPr>
    </w:p>
    <w:p w:rsidR="00A7414F" w:rsidRDefault="00A7414F" w:rsidP="00A7414F">
      <w:pPr>
        <w:spacing w:after="0"/>
        <w:jc w:val="both"/>
        <w:rPr>
          <w:rFonts w:eastAsia="Calibri" w:cs="Times New Roman"/>
        </w:rPr>
      </w:pPr>
      <w:r>
        <w:rPr>
          <w:rFonts w:eastAsia="Calibri" w:cs="Times New Roman"/>
        </w:rPr>
        <w:t>W przypadku środków publicznych s</w:t>
      </w:r>
      <w:r w:rsidRPr="00C877D2">
        <w:rPr>
          <w:rFonts w:eastAsia="Calibri" w:cs="Times New Roman"/>
        </w:rPr>
        <w:t xml:space="preserve">pecyfika polskiego systemu finansowania ochrony środowiska polega na kierunkowym, ściśle określonym wydatkowaniu środków pochodzących z opłat i kar za korzystanie ze środowiska. W ten sposób, realizowana jest w Polsce zasada </w:t>
      </w:r>
      <w:r w:rsidRPr="00751283">
        <w:rPr>
          <w:rFonts w:eastAsia="Calibri" w:cs="Times New Roman"/>
          <w:i/>
        </w:rPr>
        <w:t>zanieczyszczający płaci</w:t>
      </w:r>
      <w:r w:rsidRPr="00627107">
        <w:rPr>
          <w:rFonts w:eastAsia="Calibri" w:cs="Times New Roman"/>
        </w:rPr>
        <w:t xml:space="preserve">, </w:t>
      </w:r>
      <w:r>
        <w:rPr>
          <w:rFonts w:eastAsia="Calibri" w:cs="Times New Roman"/>
        </w:rPr>
        <w:br/>
      </w:r>
      <w:r w:rsidRPr="00C877D2">
        <w:rPr>
          <w:rFonts w:eastAsia="Calibri" w:cs="Times New Roman"/>
        </w:rPr>
        <w:t>a uzyskane dzięki temu środki, przekazywane są na inwestycje ograniczające zanieczyszczenie środowiska.</w:t>
      </w:r>
      <w:r>
        <w:rPr>
          <w:rFonts w:eastAsia="Calibri" w:cs="Times New Roman"/>
        </w:rPr>
        <w:t xml:space="preserve"> </w:t>
      </w:r>
      <w:r w:rsidRPr="00C877D2">
        <w:rPr>
          <w:rFonts w:cs="Times New Roman"/>
        </w:rPr>
        <w:t>Zgodnie z ustawą</w:t>
      </w:r>
      <w:r>
        <w:rPr>
          <w:rFonts w:cs="Times New Roman"/>
        </w:rPr>
        <w:t xml:space="preserve"> – </w:t>
      </w:r>
      <w:r w:rsidRPr="00A76C2B">
        <w:rPr>
          <w:rFonts w:cs="Times New Roman"/>
          <w:i/>
        </w:rPr>
        <w:t>Prawo ochrony środowiska</w:t>
      </w:r>
      <w:r>
        <w:rPr>
          <w:rFonts w:cs="Times New Roman"/>
        </w:rPr>
        <w:t xml:space="preserve"> </w:t>
      </w:r>
      <w:r w:rsidRPr="00C877D2">
        <w:rPr>
          <w:rFonts w:cs="Times New Roman"/>
        </w:rPr>
        <w:t xml:space="preserve">do środków finansowo-prawnych ochrony środowiska należą w szczególności: opłata za korzystanie ze środowiska; administracyjna kara pieniężna; zróżnicowane stawki podatków i innych danin publicznych służące celom ochrony środowiska. </w:t>
      </w:r>
      <w:r w:rsidRPr="00C877D2">
        <w:rPr>
          <w:rFonts w:cs="Times New Roman"/>
          <w:iCs/>
        </w:rPr>
        <w:t xml:space="preserve">Wpływy z tytułu opłat za korzystanie ze środowiska i kar pieniężnych za przekroczenie lub naruszenie warunków korzystania ze środowiska stanowią przychody </w:t>
      </w:r>
      <w:r>
        <w:rPr>
          <w:rFonts w:cs="Times New Roman"/>
          <w:iCs/>
        </w:rPr>
        <w:t>NFOŚiGW</w:t>
      </w:r>
      <w:r w:rsidRPr="00C877D2">
        <w:rPr>
          <w:rFonts w:cs="Times New Roman"/>
          <w:iCs/>
        </w:rPr>
        <w:t xml:space="preserve">, </w:t>
      </w:r>
      <w:r>
        <w:rPr>
          <w:rFonts w:cs="Times New Roman"/>
          <w:iCs/>
        </w:rPr>
        <w:t>wfośigw</w:t>
      </w:r>
      <w:r w:rsidRPr="00C877D2">
        <w:rPr>
          <w:rFonts w:cs="Times New Roman"/>
          <w:iCs/>
        </w:rPr>
        <w:t xml:space="preserve"> oraz dochody budżetów powiatów i budżetów gmin. </w:t>
      </w:r>
      <w:r w:rsidRPr="00C877D2">
        <w:rPr>
          <w:rFonts w:eastAsia="Calibri" w:cs="Times New Roman"/>
        </w:rPr>
        <w:t>Dodatkowo, zadania związane z ochroną środowiska są współfinansowane również ze środków budżetu państwa (np. zadania związane z gospodarką wodną).</w:t>
      </w:r>
    </w:p>
    <w:p w:rsidR="00A7414F" w:rsidRPr="00751283" w:rsidRDefault="00A7414F" w:rsidP="00A7414F">
      <w:pPr>
        <w:spacing w:after="0"/>
        <w:jc w:val="both"/>
        <w:rPr>
          <w:rFonts w:eastAsia="Calibri" w:cs="Times New Roman"/>
        </w:rPr>
      </w:pPr>
    </w:p>
    <w:p w:rsidR="00A7414F" w:rsidRDefault="00A7414F" w:rsidP="00A7414F">
      <w:pPr>
        <w:spacing w:after="0"/>
        <w:jc w:val="both"/>
        <w:rPr>
          <w:rFonts w:eastAsia="Calibri" w:cs="Times New Roman"/>
        </w:rPr>
      </w:pPr>
      <w:r>
        <w:rPr>
          <w:rFonts w:eastAsia="Calibri" w:cs="Times New Roman"/>
        </w:rPr>
        <w:t xml:space="preserve">W tym kontekście należy zwrócić uwagę, że konsekwencją pozytywnych zmian zachodzących </w:t>
      </w:r>
      <w:r>
        <w:rPr>
          <w:rFonts w:eastAsia="Calibri" w:cs="Times New Roman"/>
        </w:rPr>
        <w:br/>
        <w:t xml:space="preserve">w polskiej gospodarce i zmniejszenia jej negatywnego oddziaływania na środowisko jest możliwe ograniczenie wpływów środków służących ochronie środowiska pochodzących z kar i opłat środowiskowych. W sytuacji występującej niepewności dotyczącej zakresu oraz wielkości finansowania ochrony środowiska ze środków zagranicznych po 2020 roku - istotnym wydaje się uwzględnienie tej możliwości w trakcie programowania polityki finansowania ochrony środowiska w Polsce. Konieczne przy tym wydaje się  uwzględnieniem faktu, że zasada „zanieczyszczający płaci” nie zawsze może doprowadzić do zabezpieczenia dostępu dla społeczeństwa do krytycznych usług ekosystemowych (bardzo często o charakterze dóbr publicznych – np. zapewnienia odpowiedniej jakości powietrza na obszarach zurbanizowanych). Taki stan rzeczy sprawia, że w dalszym ciągu </w:t>
      </w:r>
      <w:r>
        <w:rPr>
          <w:rFonts w:eastAsia="Calibri" w:cs="Times New Roman"/>
        </w:rPr>
        <w:lastRenderedPageBreak/>
        <w:t>występuje potrzeba wspierania inwestycji ze strony państwa – również z udziałem bezzwrotnych form pomocy.</w:t>
      </w:r>
    </w:p>
    <w:p w:rsidR="00A7414F" w:rsidRPr="00751283" w:rsidRDefault="00A7414F" w:rsidP="00A7414F">
      <w:pPr>
        <w:spacing w:after="0"/>
        <w:jc w:val="both"/>
        <w:rPr>
          <w:rFonts w:eastAsia="Calibri" w:cs="Times New Roman"/>
        </w:rPr>
      </w:pPr>
    </w:p>
    <w:p w:rsidR="00A7414F" w:rsidRDefault="00A7414F" w:rsidP="00A7414F">
      <w:pPr>
        <w:jc w:val="both"/>
        <w:rPr>
          <w:rFonts w:cs="Times New Roman"/>
          <w:bCs/>
          <w:color w:val="000000"/>
        </w:rPr>
      </w:pPr>
      <w:r w:rsidRPr="000731A5">
        <w:rPr>
          <w:rFonts w:cs="Times New Roman"/>
          <w:bCs/>
          <w:color w:val="000000"/>
        </w:rPr>
        <w:t>N</w:t>
      </w:r>
      <w:r>
        <w:rPr>
          <w:rFonts w:cs="Times New Roman"/>
          <w:bCs/>
          <w:color w:val="000000"/>
        </w:rPr>
        <w:t xml:space="preserve">FOŚiGW </w:t>
      </w:r>
      <w:r w:rsidRPr="000731A5">
        <w:rPr>
          <w:rFonts w:cs="Times New Roman"/>
          <w:bCs/>
          <w:color w:val="000000"/>
        </w:rPr>
        <w:t>finansuj</w:t>
      </w:r>
      <w:r>
        <w:rPr>
          <w:rFonts w:cs="Times New Roman"/>
          <w:bCs/>
          <w:color w:val="000000"/>
        </w:rPr>
        <w:t>e</w:t>
      </w:r>
      <w:r w:rsidRPr="000731A5">
        <w:rPr>
          <w:rFonts w:cs="Times New Roman"/>
          <w:bCs/>
          <w:color w:val="000000"/>
        </w:rPr>
        <w:t xml:space="preserve"> lub współfinansuj</w:t>
      </w:r>
      <w:r>
        <w:rPr>
          <w:rFonts w:cs="Times New Roman"/>
          <w:bCs/>
          <w:color w:val="000000"/>
        </w:rPr>
        <w:t xml:space="preserve">e </w:t>
      </w:r>
      <w:r w:rsidRPr="000731A5">
        <w:rPr>
          <w:rFonts w:cs="Times New Roman"/>
          <w:bCs/>
          <w:color w:val="000000"/>
        </w:rPr>
        <w:t xml:space="preserve">przedsięwzięcia proekologiczne ze środków własnych </w:t>
      </w:r>
      <w:r>
        <w:rPr>
          <w:rFonts w:cs="Times New Roman"/>
          <w:bCs/>
          <w:color w:val="000000"/>
        </w:rPr>
        <w:br/>
      </w:r>
      <w:r w:rsidRPr="000731A5">
        <w:rPr>
          <w:rFonts w:cs="Times New Roman"/>
          <w:bCs/>
          <w:color w:val="000000"/>
        </w:rPr>
        <w:t xml:space="preserve">i będących w jego dyspozycji </w:t>
      </w:r>
      <w:r>
        <w:rPr>
          <w:rFonts w:cs="Times New Roman"/>
          <w:bCs/>
          <w:color w:val="000000"/>
        </w:rPr>
        <w:t>(</w:t>
      </w:r>
      <w:r w:rsidRPr="000731A5">
        <w:rPr>
          <w:rFonts w:cs="Times New Roman"/>
          <w:bCs/>
          <w:color w:val="000000"/>
        </w:rPr>
        <w:t>lub obsługiwanych przez niego</w:t>
      </w:r>
      <w:r>
        <w:rPr>
          <w:rFonts w:cs="Times New Roman"/>
          <w:bCs/>
          <w:color w:val="000000"/>
        </w:rPr>
        <w:t>)</w:t>
      </w:r>
      <w:r w:rsidRPr="000731A5">
        <w:rPr>
          <w:rFonts w:cs="Times New Roman"/>
          <w:bCs/>
          <w:color w:val="000000"/>
        </w:rPr>
        <w:t xml:space="preserve"> środków europejskich</w:t>
      </w:r>
      <w:r>
        <w:rPr>
          <w:rStyle w:val="Odwoanieprzypisudolnego"/>
          <w:rFonts w:cs="Times New Roman"/>
          <w:bCs/>
          <w:color w:val="000000"/>
        </w:rPr>
        <w:footnoteReference w:id="67"/>
      </w:r>
      <w:r w:rsidRPr="000731A5">
        <w:rPr>
          <w:rFonts w:cs="Times New Roman"/>
          <w:bCs/>
          <w:color w:val="000000"/>
        </w:rPr>
        <w:t>.</w:t>
      </w:r>
      <w:r>
        <w:rPr>
          <w:rFonts w:cs="Times New Roman"/>
          <w:bCs/>
          <w:color w:val="000000"/>
        </w:rPr>
        <w:t xml:space="preserve"> </w:t>
      </w:r>
      <w:r w:rsidRPr="000731A5">
        <w:rPr>
          <w:rFonts w:cs="Times New Roman"/>
          <w:bCs/>
          <w:color w:val="000000"/>
        </w:rPr>
        <w:t>W latach 2007</w:t>
      </w:r>
      <w:r>
        <w:rPr>
          <w:rFonts w:cs="Times New Roman"/>
          <w:bCs/>
          <w:color w:val="000000"/>
        </w:rPr>
        <w:t>–</w:t>
      </w:r>
      <w:r w:rsidRPr="000731A5">
        <w:rPr>
          <w:rFonts w:cs="Times New Roman"/>
          <w:bCs/>
          <w:color w:val="000000"/>
        </w:rPr>
        <w:t xml:space="preserve">2016 z tzw. „wpływów ekologicznych”, NFOŚiGW został zasilony kwotą </w:t>
      </w:r>
      <w:r w:rsidRPr="005F1321">
        <w:rPr>
          <w:rFonts w:cs="Times New Roman"/>
          <w:bCs/>
          <w:color w:val="000000"/>
        </w:rPr>
        <w:t xml:space="preserve">16,2 mld zł, </w:t>
      </w:r>
      <w:r w:rsidRPr="00A76C2B">
        <w:rPr>
          <w:rFonts w:cs="Times New Roman"/>
          <w:bCs/>
          <w:color w:val="000000"/>
        </w:rPr>
        <w:t>natomiast wydatkował (środki własne) łącznie ok. 22,9 mld zł.</w:t>
      </w:r>
      <w:r>
        <w:rPr>
          <w:rFonts w:cs="Times New Roman"/>
          <w:bCs/>
          <w:color w:val="000000"/>
        </w:rPr>
        <w:t xml:space="preserve"> </w:t>
      </w:r>
      <w:r w:rsidRPr="000731A5">
        <w:rPr>
          <w:rFonts w:cs="Times New Roman"/>
          <w:bCs/>
          <w:color w:val="000000"/>
        </w:rPr>
        <w:t>NFOŚiGW do</w:t>
      </w:r>
      <w:r>
        <w:rPr>
          <w:rFonts w:cs="Times New Roman"/>
          <w:bCs/>
          <w:color w:val="000000"/>
        </w:rPr>
        <w:t xml:space="preserve">finansowuje ochronę środowiska </w:t>
      </w:r>
      <w:r>
        <w:rPr>
          <w:rFonts w:cs="Times New Roman"/>
          <w:bCs/>
          <w:color w:val="000000"/>
        </w:rPr>
        <w:br/>
      </w:r>
      <w:r w:rsidRPr="000731A5">
        <w:rPr>
          <w:rFonts w:cs="Times New Roman"/>
          <w:bCs/>
          <w:color w:val="000000"/>
        </w:rPr>
        <w:t>i gospodarkę wodną</w:t>
      </w:r>
      <w:r>
        <w:rPr>
          <w:rFonts w:cs="Times New Roman"/>
          <w:bCs/>
          <w:color w:val="000000"/>
        </w:rPr>
        <w:t>,</w:t>
      </w:r>
      <w:r w:rsidRPr="000731A5">
        <w:rPr>
          <w:rFonts w:cs="Times New Roman"/>
          <w:bCs/>
          <w:color w:val="000000"/>
        </w:rPr>
        <w:t xml:space="preserve"> stosując bezzwrotne i zwr</w:t>
      </w:r>
      <w:r>
        <w:rPr>
          <w:rFonts w:cs="Times New Roman"/>
          <w:bCs/>
          <w:color w:val="000000"/>
        </w:rPr>
        <w:t xml:space="preserve">otne formy finansowego wsparcia. </w:t>
      </w:r>
    </w:p>
    <w:p w:rsidR="00A7414F" w:rsidRDefault="00A7414F" w:rsidP="00A7414F">
      <w:pPr>
        <w:jc w:val="both"/>
        <w:rPr>
          <w:bCs/>
        </w:rPr>
      </w:pPr>
      <w:r>
        <w:rPr>
          <w:rFonts w:cs="Times New Roman"/>
          <w:bCs/>
          <w:color w:val="000000"/>
        </w:rPr>
        <w:t xml:space="preserve">Ważnym źródłem finansowania ochrony środowiska są środki zarządzane przez 16 wfośigw. </w:t>
      </w:r>
      <w:r>
        <w:rPr>
          <w:rFonts w:cs="Times New Roman"/>
          <w:bCs/>
          <w:color w:val="000000"/>
        </w:rPr>
        <w:br/>
      </w:r>
      <w:r w:rsidRPr="00652BD0">
        <w:rPr>
          <w:bCs/>
        </w:rPr>
        <w:t>W okresie 2007</w:t>
      </w:r>
      <w:r>
        <w:rPr>
          <w:bCs/>
        </w:rPr>
        <w:t>–</w:t>
      </w:r>
      <w:r w:rsidRPr="00652BD0">
        <w:rPr>
          <w:bCs/>
        </w:rPr>
        <w:t xml:space="preserve">2016 wydatkowały </w:t>
      </w:r>
      <w:r>
        <w:rPr>
          <w:bCs/>
        </w:rPr>
        <w:t xml:space="preserve">one </w:t>
      </w:r>
      <w:r w:rsidRPr="00652BD0">
        <w:rPr>
          <w:bCs/>
        </w:rPr>
        <w:t xml:space="preserve">na ochronę środowiska i gospodarkę wodną </w:t>
      </w:r>
      <w:r>
        <w:rPr>
          <w:bCs/>
        </w:rPr>
        <w:t xml:space="preserve">kwotę </w:t>
      </w:r>
      <w:r w:rsidRPr="00A76C2B">
        <w:rPr>
          <w:bCs/>
        </w:rPr>
        <w:t>około 21,4 mld zł.</w:t>
      </w:r>
      <w:r>
        <w:rPr>
          <w:bCs/>
        </w:rPr>
        <w:t xml:space="preserve"> </w:t>
      </w:r>
      <w:r w:rsidRPr="007B5EEA">
        <w:rPr>
          <w:bCs/>
        </w:rPr>
        <w:t>Przychody statu</w:t>
      </w:r>
      <w:r>
        <w:rPr>
          <w:bCs/>
        </w:rPr>
        <w:t xml:space="preserve">towe wfośigw, w zakresie opłat </w:t>
      </w:r>
      <w:r w:rsidRPr="007B5EEA">
        <w:rPr>
          <w:bCs/>
        </w:rPr>
        <w:t>za gospodarcze k</w:t>
      </w:r>
      <w:r>
        <w:rPr>
          <w:bCs/>
        </w:rPr>
        <w:t xml:space="preserve">orzystanie ze środowiska i kar </w:t>
      </w:r>
      <w:r w:rsidRPr="007B5EEA">
        <w:rPr>
          <w:bCs/>
        </w:rPr>
        <w:t>za nieprzestrzegan</w:t>
      </w:r>
      <w:r>
        <w:rPr>
          <w:bCs/>
        </w:rPr>
        <w:t xml:space="preserve">ie norm emisji zanieczyszczeń, </w:t>
      </w:r>
      <w:r w:rsidRPr="007B5EEA">
        <w:rPr>
          <w:bCs/>
        </w:rPr>
        <w:t>w okresie 2007</w:t>
      </w:r>
      <w:r>
        <w:rPr>
          <w:bCs/>
        </w:rPr>
        <w:t>–</w:t>
      </w:r>
      <w:r w:rsidRPr="007B5EEA">
        <w:rPr>
          <w:bCs/>
        </w:rPr>
        <w:t xml:space="preserve">2016, wyniosły </w:t>
      </w:r>
      <w:r w:rsidRPr="005F1321">
        <w:rPr>
          <w:bCs/>
        </w:rPr>
        <w:t>łącznie 6,5 mld zł.</w:t>
      </w:r>
    </w:p>
    <w:p w:rsidR="00A7414F" w:rsidRPr="00751283" w:rsidRDefault="00A7414F" w:rsidP="00A7414F">
      <w:pPr>
        <w:jc w:val="both"/>
        <w:rPr>
          <w:rFonts w:cs="Times New Roman"/>
          <w:bCs/>
          <w:color w:val="000000"/>
        </w:rPr>
      </w:pPr>
      <w:r>
        <w:rPr>
          <w:rFonts w:cs="Times New Roman"/>
          <w:bCs/>
          <w:color w:val="000000"/>
        </w:rPr>
        <w:t xml:space="preserve">Stosowanie przez NFOŚiGW i wfośigw zwrotnych form finansowania, w szczególności pożyczek, zapewnia częściową odnawialność zasobów finansowych tych Funduszy, a tym samym jest jednym </w:t>
      </w:r>
      <w:r>
        <w:rPr>
          <w:rFonts w:cs="Times New Roman"/>
          <w:bCs/>
          <w:color w:val="000000"/>
        </w:rPr>
        <w:br/>
        <w:t xml:space="preserve">z mechanizmów zapewnienia ciągłości realizacji ich zadań i dostępu zainteresowanych podmiotów </w:t>
      </w:r>
      <w:r>
        <w:rPr>
          <w:rFonts w:cs="Times New Roman"/>
          <w:bCs/>
          <w:color w:val="000000"/>
        </w:rPr>
        <w:br/>
        <w:t>do niekomercyjnych i preferencyjnych źródeł finansowania przedsięwzięć służących ochronie środowiska.</w:t>
      </w:r>
    </w:p>
    <w:p w:rsidR="00A7414F" w:rsidRDefault="00A7414F" w:rsidP="00A7414F">
      <w:pPr>
        <w:spacing w:after="0"/>
        <w:jc w:val="both"/>
        <w:rPr>
          <w:rFonts w:cs="Times New Roman"/>
          <w:bCs/>
          <w:color w:val="000000"/>
        </w:rPr>
      </w:pPr>
      <w:r>
        <w:rPr>
          <w:rFonts w:cs="Times New Roman"/>
          <w:bCs/>
          <w:color w:val="000000"/>
        </w:rPr>
        <w:t xml:space="preserve">Zauważalną rolę w finansowaniu ochrony środowiska (szczególnie w części inwestycyjnej) odgrywają środki zagraniczne. W ramach Programu Operacyjnego Infrastruktura i Środowisko (2014-2020) przeznaczono kwotę  (ze środków Funduszu Spójności) w wysokości ponad </w:t>
      </w:r>
      <w:r w:rsidRPr="00B118B0">
        <w:rPr>
          <w:rFonts w:cs="Times New Roman"/>
          <w:bCs/>
          <w:color w:val="000000"/>
        </w:rPr>
        <w:t>3,5 mld euro</w:t>
      </w:r>
      <w:r>
        <w:rPr>
          <w:rFonts w:cs="Times New Roman"/>
          <w:bCs/>
          <w:color w:val="000000"/>
        </w:rPr>
        <w:t xml:space="preserve"> na przedsięwzięcia związane z adaptacją do zmian klimatu, gospodarkę odpadami, gospodarkę wodno-ściekową, ochronę przyrody i edukację ekologiczną oraz środowisko miejskie. W ramach poprzedniej perspektywy finansowej (lata 2007-2013) środki te wynosiły około </w:t>
      </w:r>
      <w:r w:rsidRPr="00B118B0">
        <w:rPr>
          <w:rFonts w:cs="Times New Roman"/>
          <w:bCs/>
          <w:color w:val="000000"/>
        </w:rPr>
        <w:t>4,8 mld euro.</w:t>
      </w:r>
      <w:r>
        <w:rPr>
          <w:rFonts w:cs="Times New Roman"/>
          <w:bCs/>
          <w:color w:val="000000"/>
        </w:rPr>
        <w:t xml:space="preserve"> Do najważniejszych działań finansowanych w ramach PO IiŚ 2007-2013 należały: gospodarka wodno-ściekowa, gospodarka odpadami oraz ochrona powierzchni ziemi, zarządzanie zasobami, ochrona przed zagrożeniami, ochrona przyrody i edukacja ekologiczna oraz wsparcie przedsiębiorstw.</w:t>
      </w:r>
    </w:p>
    <w:p w:rsidR="00A7414F" w:rsidRDefault="00A7414F" w:rsidP="00A7414F">
      <w:pPr>
        <w:spacing w:after="0"/>
        <w:jc w:val="both"/>
        <w:rPr>
          <w:rFonts w:cs="Times New Roman"/>
          <w:bCs/>
          <w:color w:val="000000"/>
        </w:rPr>
      </w:pPr>
    </w:p>
    <w:p w:rsidR="00A7414F" w:rsidRDefault="00A7414F" w:rsidP="00A7414F">
      <w:pPr>
        <w:spacing w:after="0"/>
        <w:jc w:val="both"/>
        <w:rPr>
          <w:rFonts w:cs="Times New Roman"/>
          <w:bCs/>
          <w:color w:val="000000"/>
        </w:rPr>
      </w:pPr>
      <w:r>
        <w:rPr>
          <w:rFonts w:cs="Times New Roman"/>
          <w:bCs/>
          <w:color w:val="000000"/>
        </w:rPr>
        <w:t xml:space="preserve">Znaczne środki pomocowe są zarządzane przez podmioty niezależne od ministra właściwego ds. środowiska </w:t>
      </w:r>
    </w:p>
    <w:p w:rsidR="00A7414F" w:rsidRDefault="00A7414F" w:rsidP="00A7414F">
      <w:pPr>
        <w:spacing w:after="0"/>
        <w:jc w:val="both"/>
        <w:rPr>
          <w:rFonts w:cs="Times New Roman"/>
          <w:bCs/>
          <w:color w:val="000000"/>
        </w:rPr>
      </w:pPr>
    </w:p>
    <w:p w:rsidR="00A7414F" w:rsidRPr="00B118B0" w:rsidRDefault="00A7414F" w:rsidP="00A7414F">
      <w:pPr>
        <w:spacing w:after="0"/>
        <w:jc w:val="both"/>
        <w:rPr>
          <w:rFonts w:cs="Times New Roman"/>
          <w:bCs/>
          <w:color w:val="000000"/>
        </w:rPr>
      </w:pPr>
      <w:r>
        <w:rPr>
          <w:rFonts w:cs="Times New Roman"/>
          <w:bCs/>
          <w:color w:val="000000"/>
        </w:rPr>
        <w:t xml:space="preserve">Minister Rolnictwa i Rozwoju Wsi zarządza </w:t>
      </w:r>
      <w:r w:rsidRPr="00113BA9">
        <w:rPr>
          <w:rFonts w:cs="Times New Roman"/>
          <w:bCs/>
          <w:color w:val="000000"/>
        </w:rPr>
        <w:t xml:space="preserve">Programem Rozwoju Obszarów Wiejskich </w:t>
      </w:r>
      <w:r>
        <w:rPr>
          <w:rFonts w:cs="Times New Roman"/>
          <w:bCs/>
          <w:color w:val="000000"/>
        </w:rPr>
        <w:t xml:space="preserve"> (PROW) na lata 2007-2013 oraz 2014-2020.  Programy te są finansowane ze strony Europejskiego Funduszu Rolnego na Rzecz Rozwoju Obszarów Wiejskich (EFRROW) i budżetu państwa. W </w:t>
      </w:r>
      <w:r w:rsidRPr="0004330D">
        <w:rPr>
          <w:rFonts w:cs="Times New Roman"/>
          <w:bCs/>
          <w:color w:val="000000"/>
        </w:rPr>
        <w:t xml:space="preserve">ramach PROW </w:t>
      </w:r>
      <w:r>
        <w:rPr>
          <w:rFonts w:cs="Times New Roman"/>
          <w:bCs/>
          <w:color w:val="000000"/>
        </w:rPr>
        <w:t xml:space="preserve">(zarówno </w:t>
      </w:r>
      <w:r>
        <w:rPr>
          <w:rFonts w:cs="Times New Roman"/>
          <w:bCs/>
          <w:color w:val="000000"/>
        </w:rPr>
        <w:br/>
        <w:t xml:space="preserve">w latach </w:t>
      </w:r>
      <w:r w:rsidRPr="0004330D">
        <w:rPr>
          <w:rFonts w:cs="Times New Roman"/>
          <w:bCs/>
          <w:color w:val="000000"/>
        </w:rPr>
        <w:t xml:space="preserve">2007-2013 </w:t>
      </w:r>
      <w:r>
        <w:rPr>
          <w:rFonts w:cs="Times New Roman"/>
          <w:bCs/>
          <w:color w:val="000000"/>
        </w:rPr>
        <w:t xml:space="preserve">jak i 2014-2020) </w:t>
      </w:r>
      <w:r w:rsidRPr="0004330D">
        <w:rPr>
          <w:rFonts w:cs="Times New Roman"/>
          <w:bCs/>
          <w:color w:val="000000"/>
        </w:rPr>
        <w:t>dofinansowywane były projekty mające na celu poprawę stanu środowiska m.in. poprzez zrównoważone użytkowanie gruntów rolnych, zachęcenie rolników do stosowania metod produkcji rolnej zgodnych z zasadami ochrony środowiska, a także wypłacanie rekompensat rolnikom poniesionych kosztów ze względu na położenie gospodarstwa na obszarze sieci NATURA 2000 (m.in. w ramach płatności rolno</w:t>
      </w:r>
      <w:r>
        <w:rPr>
          <w:rFonts w:cs="Times New Roman"/>
          <w:bCs/>
          <w:color w:val="000000"/>
        </w:rPr>
        <w:t>-</w:t>
      </w:r>
      <w:r w:rsidRPr="0004330D">
        <w:rPr>
          <w:rFonts w:cs="Times New Roman"/>
          <w:bCs/>
          <w:color w:val="000000"/>
        </w:rPr>
        <w:t>środowiskowych)</w:t>
      </w:r>
      <w:r>
        <w:rPr>
          <w:rFonts w:cs="Times New Roman"/>
          <w:bCs/>
          <w:color w:val="000000"/>
        </w:rPr>
        <w:t>.</w:t>
      </w:r>
      <w:r w:rsidRPr="0004330D">
        <w:rPr>
          <w:rFonts w:cs="Times New Roman"/>
          <w:bCs/>
          <w:color w:val="000000"/>
        </w:rPr>
        <w:t xml:space="preserve"> Ponadto rolnicy mogli ubiegać się </w:t>
      </w:r>
      <w:r>
        <w:rPr>
          <w:rFonts w:cs="Times New Roman"/>
          <w:bCs/>
          <w:color w:val="000000"/>
        </w:rPr>
        <w:br/>
      </w:r>
      <w:r w:rsidRPr="0004330D">
        <w:rPr>
          <w:rFonts w:cs="Times New Roman"/>
          <w:bCs/>
          <w:color w:val="000000"/>
        </w:rPr>
        <w:t>o wsparcie finansowe w zakresie zalesiania gru</w:t>
      </w:r>
      <w:r>
        <w:rPr>
          <w:rFonts w:cs="Times New Roman"/>
          <w:bCs/>
          <w:color w:val="000000"/>
        </w:rPr>
        <w:t xml:space="preserve">ntów rolnych i innych niż rolne, </w:t>
      </w:r>
      <w:r w:rsidRPr="006507BB">
        <w:rPr>
          <w:rFonts w:cs="Times New Roman"/>
          <w:bCs/>
          <w:color w:val="000000"/>
        </w:rPr>
        <w:t xml:space="preserve">działania z zakresu </w:t>
      </w:r>
      <w:r w:rsidRPr="006507BB">
        <w:rPr>
          <w:rFonts w:cs="Times New Roman"/>
          <w:bCs/>
          <w:color w:val="000000"/>
        </w:rPr>
        <w:lastRenderedPageBreak/>
        <w:t>ochrony lasów przed pożarami oraz katastrofami naturalnymi.</w:t>
      </w:r>
      <w:r w:rsidRPr="0004330D">
        <w:rPr>
          <w:rFonts w:cs="Times New Roman"/>
          <w:bCs/>
          <w:color w:val="000000"/>
        </w:rPr>
        <w:t xml:space="preserve"> Środki dostępne </w:t>
      </w:r>
      <w:r>
        <w:rPr>
          <w:rFonts w:cs="Times New Roman"/>
          <w:bCs/>
          <w:color w:val="000000"/>
        </w:rPr>
        <w:t xml:space="preserve">na ww. działania wyniosły </w:t>
      </w:r>
      <w:r w:rsidRPr="0004330D">
        <w:rPr>
          <w:rFonts w:cs="Times New Roman"/>
          <w:bCs/>
          <w:color w:val="000000"/>
        </w:rPr>
        <w:t xml:space="preserve">ogółem ok. </w:t>
      </w:r>
      <w:r w:rsidRPr="00B118B0">
        <w:rPr>
          <w:rFonts w:cs="Times New Roman"/>
          <w:bCs/>
          <w:color w:val="000000"/>
        </w:rPr>
        <w:t>5,29 mld euro</w:t>
      </w:r>
      <w:r w:rsidRPr="0004330D">
        <w:rPr>
          <w:rFonts w:cs="Times New Roman"/>
          <w:bCs/>
          <w:color w:val="000000"/>
        </w:rPr>
        <w:t xml:space="preserve"> (w tym 4,24 mld euro EFRROW</w:t>
      </w:r>
      <w:r>
        <w:rPr>
          <w:rFonts w:cs="Times New Roman"/>
          <w:bCs/>
          <w:color w:val="000000"/>
        </w:rPr>
        <w:t xml:space="preserve">) w latach 2007-2013 oraz </w:t>
      </w:r>
      <w:r w:rsidRPr="00B118B0">
        <w:rPr>
          <w:rFonts w:cs="Times New Roman"/>
          <w:bCs/>
          <w:color w:val="000000"/>
        </w:rPr>
        <w:t>ok. 4,76 mld euro (w tym 3,07 mld EFRROW) w latach 2014-2020.</w:t>
      </w:r>
    </w:p>
    <w:p w:rsidR="00A7414F" w:rsidRDefault="00A7414F" w:rsidP="00A7414F">
      <w:pPr>
        <w:spacing w:after="0"/>
        <w:jc w:val="both"/>
        <w:rPr>
          <w:rFonts w:cs="Times New Roman"/>
          <w:bCs/>
          <w:color w:val="000000"/>
        </w:rPr>
      </w:pPr>
    </w:p>
    <w:p w:rsidR="00A7414F" w:rsidRDefault="00A7414F" w:rsidP="00A7414F">
      <w:pPr>
        <w:spacing w:after="0"/>
        <w:jc w:val="both"/>
        <w:rPr>
          <w:rFonts w:cs="Times New Roman"/>
          <w:bCs/>
          <w:color w:val="000000"/>
        </w:rPr>
      </w:pPr>
      <w:r>
        <w:rPr>
          <w:rFonts w:cs="Times New Roman"/>
          <w:bCs/>
          <w:color w:val="000000"/>
        </w:rPr>
        <w:t xml:space="preserve">Działania prośrodowiskowe są finansowane także ze środków Europejskiego Funduszu Rozwoju Regionalnego w ramach </w:t>
      </w:r>
      <w:r w:rsidRPr="0004330D">
        <w:rPr>
          <w:rFonts w:cs="Times New Roman"/>
          <w:bCs/>
          <w:color w:val="000000"/>
        </w:rPr>
        <w:t xml:space="preserve">16 Regionalnych Programów Operacyjnych. Kluczową rolę w zarządzaniu </w:t>
      </w:r>
      <w:r>
        <w:rPr>
          <w:rFonts w:cs="Times New Roman"/>
          <w:bCs/>
          <w:color w:val="000000"/>
        </w:rPr>
        <w:br/>
      </w:r>
      <w:r w:rsidRPr="0004330D">
        <w:rPr>
          <w:rFonts w:cs="Times New Roman"/>
          <w:bCs/>
          <w:color w:val="000000"/>
        </w:rPr>
        <w:t>i wdrażaniu RPO pełnią zarządy województw</w:t>
      </w:r>
      <w:r>
        <w:rPr>
          <w:rFonts w:cs="Times New Roman"/>
          <w:bCs/>
          <w:color w:val="000000"/>
        </w:rPr>
        <w:t xml:space="preserve">, które </w:t>
      </w:r>
      <w:r w:rsidRPr="0004330D">
        <w:rPr>
          <w:rFonts w:cs="Times New Roman"/>
          <w:bCs/>
          <w:color w:val="000000"/>
        </w:rPr>
        <w:t xml:space="preserve">jako Instytucje Zarządzające programami (IZ), odpowiadają za przygotowanie i realizację RPO.W perspektywie 2007-2013 na ochronę środowiska </w:t>
      </w:r>
      <w:r>
        <w:rPr>
          <w:rFonts w:cs="Times New Roman"/>
          <w:bCs/>
          <w:color w:val="000000"/>
        </w:rPr>
        <w:br/>
      </w:r>
      <w:r w:rsidRPr="0004330D">
        <w:rPr>
          <w:rFonts w:cs="Times New Roman"/>
          <w:bCs/>
          <w:color w:val="000000"/>
        </w:rPr>
        <w:t xml:space="preserve">i zapobieganie zagrożeniom przeznaczono alokację w wysokości prawie </w:t>
      </w:r>
      <w:r w:rsidRPr="00B118B0">
        <w:rPr>
          <w:rFonts w:cs="Times New Roman"/>
          <w:bCs/>
          <w:color w:val="000000"/>
        </w:rPr>
        <w:t>1,8 mld euro.</w:t>
      </w:r>
      <w:r w:rsidRPr="0004330D">
        <w:rPr>
          <w:rFonts w:cs="Times New Roman"/>
          <w:bCs/>
          <w:color w:val="000000"/>
        </w:rPr>
        <w:t xml:space="preserve"> Środki te zostały </w:t>
      </w:r>
      <w:r>
        <w:rPr>
          <w:rFonts w:cs="Times New Roman"/>
          <w:bCs/>
          <w:color w:val="000000"/>
        </w:rPr>
        <w:t>spożytkowane na przedsięwzięcia związane m.in. z gospodarką</w:t>
      </w:r>
      <w:r w:rsidRPr="0004330D">
        <w:rPr>
          <w:rFonts w:cs="Times New Roman"/>
          <w:bCs/>
          <w:color w:val="000000"/>
        </w:rPr>
        <w:t xml:space="preserve"> w</w:t>
      </w:r>
      <w:r>
        <w:rPr>
          <w:rFonts w:cs="Times New Roman"/>
          <w:bCs/>
          <w:color w:val="000000"/>
        </w:rPr>
        <w:t>odno-kanalizacyjną, gospodarką</w:t>
      </w:r>
      <w:r w:rsidRPr="0004330D">
        <w:rPr>
          <w:rFonts w:cs="Times New Roman"/>
          <w:bCs/>
          <w:color w:val="000000"/>
        </w:rPr>
        <w:t xml:space="preserve"> odpadami komunalnymi i przemysłowymi, promowanie</w:t>
      </w:r>
      <w:r>
        <w:rPr>
          <w:rFonts w:cs="Times New Roman"/>
          <w:bCs/>
          <w:color w:val="000000"/>
        </w:rPr>
        <w:t>m różnorodności biologicznej, ochroną przyrody, rewaloryzacją</w:t>
      </w:r>
      <w:r w:rsidRPr="0004330D">
        <w:rPr>
          <w:rFonts w:cs="Times New Roman"/>
          <w:bCs/>
          <w:color w:val="000000"/>
        </w:rPr>
        <w:t xml:space="preserve"> obszarów przemysłowych </w:t>
      </w:r>
      <w:r>
        <w:rPr>
          <w:rFonts w:cs="Times New Roman"/>
          <w:bCs/>
          <w:color w:val="000000"/>
        </w:rPr>
        <w:t>i rekultywacją skażonych gruntów, ochroną powietrza i kontrolą</w:t>
      </w:r>
      <w:r w:rsidRPr="0004330D">
        <w:rPr>
          <w:rFonts w:cs="Times New Roman"/>
          <w:bCs/>
          <w:color w:val="000000"/>
        </w:rPr>
        <w:t xml:space="preserve"> zanieczyszczeń.</w:t>
      </w:r>
      <w:r>
        <w:rPr>
          <w:rFonts w:cs="Times New Roman"/>
          <w:bCs/>
          <w:color w:val="000000"/>
        </w:rPr>
        <w:t xml:space="preserve"> Natomiast w</w:t>
      </w:r>
      <w:r w:rsidRPr="0004330D">
        <w:rPr>
          <w:rFonts w:cs="Times New Roman"/>
          <w:bCs/>
          <w:color w:val="000000"/>
        </w:rPr>
        <w:t xml:space="preserve"> perspektywie 2014-2020 przeznaczono </w:t>
      </w:r>
      <w:r>
        <w:rPr>
          <w:rFonts w:cs="Times New Roman"/>
          <w:bCs/>
          <w:color w:val="000000"/>
        </w:rPr>
        <w:t xml:space="preserve">kwotę </w:t>
      </w:r>
      <w:r w:rsidRPr="00B118B0">
        <w:rPr>
          <w:rFonts w:cs="Times New Roman"/>
          <w:bCs/>
          <w:color w:val="000000"/>
        </w:rPr>
        <w:t xml:space="preserve">2,6 mld euro </w:t>
      </w:r>
      <w:r w:rsidRPr="00751283">
        <w:rPr>
          <w:rFonts w:cs="Times New Roman"/>
          <w:bCs/>
          <w:color w:val="000000"/>
        </w:rPr>
        <w:t>na</w:t>
      </w:r>
      <w:r>
        <w:rPr>
          <w:rFonts w:cs="Times New Roman"/>
          <w:bCs/>
          <w:color w:val="000000"/>
        </w:rPr>
        <w:t xml:space="preserve"> </w:t>
      </w:r>
      <w:r w:rsidRPr="0004330D">
        <w:rPr>
          <w:rFonts w:cs="Times New Roman"/>
          <w:bCs/>
          <w:color w:val="000000"/>
        </w:rPr>
        <w:t>inwestycje dotyczące:</w:t>
      </w:r>
      <w:r>
        <w:rPr>
          <w:rFonts w:cs="Times New Roman"/>
          <w:bCs/>
          <w:color w:val="000000"/>
        </w:rPr>
        <w:t xml:space="preserve"> poprawy bezpieczeństwa powodziowego i przeciwdziałania suszy, zabezpieczenie obszarów miejskich, rozwój systemów wczesnego ostrzegania i prognozowania zagrożeń, sektora gospodarki odpadami, budowy i modernizacji sieci kanalizacji i oczyszczalni ścieków, ochrony różnorodności biologicznej. W ramach RPO finansowane są również przedsięwzięcia związane z tzw. gospodarką niskoemisyjną (wkład UE przekracza </w:t>
      </w:r>
      <w:r w:rsidRPr="00B118B0">
        <w:rPr>
          <w:rFonts w:cs="Times New Roman"/>
          <w:bCs/>
          <w:color w:val="000000"/>
        </w:rPr>
        <w:t>4,5 mld euro)</w:t>
      </w:r>
    </w:p>
    <w:p w:rsidR="00A7414F" w:rsidRDefault="00A7414F" w:rsidP="00A7414F">
      <w:pPr>
        <w:spacing w:after="0"/>
        <w:jc w:val="both"/>
        <w:rPr>
          <w:rFonts w:cs="Times New Roman"/>
          <w:bCs/>
          <w:color w:val="000000"/>
        </w:rPr>
      </w:pPr>
    </w:p>
    <w:p w:rsidR="00A7414F" w:rsidRPr="00B118B0" w:rsidRDefault="00A7414F" w:rsidP="00A7414F">
      <w:pPr>
        <w:spacing w:after="0"/>
        <w:jc w:val="both"/>
        <w:rPr>
          <w:rFonts w:cs="Times New Roman"/>
          <w:bCs/>
          <w:color w:val="000000"/>
        </w:rPr>
      </w:pPr>
      <w:r>
        <w:rPr>
          <w:rFonts w:cs="Times New Roman"/>
          <w:bCs/>
          <w:color w:val="000000"/>
        </w:rPr>
        <w:t xml:space="preserve">Natomiast właściwy ds. energii nadzoruje finansowanie przedsięwzięć realizowanych w ramach </w:t>
      </w:r>
      <w:r>
        <w:rPr>
          <w:rFonts w:cs="Times New Roman"/>
          <w:bCs/>
          <w:color w:val="000000"/>
        </w:rPr>
        <w:br/>
        <w:t xml:space="preserve">I osi priorytetowej Programu Operacyjnego Infrastruktura i Środowisko 2014-2020. Wkład UE na działania związane z gospodarką niskoemisyjną w ramach I osi POIiŚ 2014-2020 przekracza </w:t>
      </w:r>
      <w:r w:rsidRPr="00B118B0">
        <w:rPr>
          <w:rFonts w:cs="Times New Roman"/>
          <w:bCs/>
          <w:color w:val="000000"/>
        </w:rPr>
        <w:t>1,8 mld euro.</w:t>
      </w:r>
    </w:p>
    <w:p w:rsidR="00A7414F" w:rsidRDefault="00A7414F" w:rsidP="00A7414F">
      <w:pPr>
        <w:spacing w:after="0"/>
        <w:jc w:val="both"/>
        <w:rPr>
          <w:rFonts w:cs="Times New Roman"/>
          <w:bCs/>
          <w:color w:val="000000"/>
        </w:rPr>
      </w:pPr>
    </w:p>
    <w:p w:rsidR="00A7414F" w:rsidRDefault="00A7414F" w:rsidP="00A7414F">
      <w:pPr>
        <w:spacing w:after="120"/>
        <w:jc w:val="both"/>
        <w:rPr>
          <w:rFonts w:cs="Arial"/>
          <w:color w:val="000000"/>
          <w:lang w:eastAsia="ko-KR"/>
        </w:rPr>
      </w:pPr>
      <w:r>
        <w:rPr>
          <w:rFonts w:cs="Arial"/>
          <w:color w:val="000000"/>
          <w:lang w:eastAsia="ko-KR"/>
        </w:rPr>
        <w:t>Z</w:t>
      </w:r>
      <w:r w:rsidRPr="00627107">
        <w:rPr>
          <w:rFonts w:cs="Arial"/>
          <w:color w:val="000000"/>
          <w:lang w:eastAsia="ko-KR"/>
        </w:rPr>
        <w:t xml:space="preserve"> chwilą przystąpienia do UE Polska </w:t>
      </w:r>
      <w:r>
        <w:rPr>
          <w:rFonts w:cs="Arial"/>
          <w:color w:val="000000"/>
          <w:lang w:eastAsia="ko-KR"/>
        </w:rPr>
        <w:t xml:space="preserve">stała się również </w:t>
      </w:r>
      <w:r w:rsidRPr="00627107">
        <w:rPr>
          <w:rFonts w:cs="Arial"/>
          <w:color w:val="000000"/>
          <w:lang w:eastAsia="ko-KR"/>
        </w:rPr>
        <w:t xml:space="preserve">beneficjentem funduszy </w:t>
      </w:r>
      <w:r>
        <w:rPr>
          <w:rFonts w:cs="Arial"/>
          <w:color w:val="000000"/>
          <w:lang w:eastAsia="ko-KR"/>
        </w:rPr>
        <w:t xml:space="preserve"> w ramach</w:t>
      </w:r>
      <w:r w:rsidRPr="00627107">
        <w:rPr>
          <w:rFonts w:cs="Arial"/>
          <w:color w:val="000000"/>
          <w:lang w:eastAsia="ko-KR"/>
        </w:rPr>
        <w:t xml:space="preserve"> Norweskiego Mechanizmu Finansowego (NMF) i Mechanizmu Finansowego Europejskiego Obszaru Gospodarczego (MF EOG)</w:t>
      </w:r>
      <w:r>
        <w:rPr>
          <w:rFonts w:cs="Arial"/>
          <w:color w:val="000000"/>
          <w:lang w:eastAsia="ko-KR"/>
        </w:rPr>
        <w:t>. Ze środków alokowanych</w:t>
      </w:r>
      <w:r w:rsidRPr="00627107">
        <w:rPr>
          <w:rFonts w:cs="Arial"/>
          <w:color w:val="000000"/>
          <w:lang w:eastAsia="ko-KR"/>
        </w:rPr>
        <w:t xml:space="preserve"> na lata 2004</w:t>
      </w:r>
      <w:r>
        <w:rPr>
          <w:rFonts w:cs="Arial"/>
          <w:color w:val="000000"/>
          <w:lang w:eastAsia="ko-KR"/>
        </w:rPr>
        <w:t>–</w:t>
      </w:r>
      <w:r w:rsidRPr="00627107">
        <w:rPr>
          <w:rFonts w:cs="Arial"/>
          <w:color w:val="000000"/>
          <w:lang w:eastAsia="ko-KR"/>
        </w:rPr>
        <w:t xml:space="preserve">2009 na realizację inwestycji ekologicznych uzyskano wsparcie wynoszące ok. </w:t>
      </w:r>
      <w:r w:rsidRPr="00B118B0">
        <w:rPr>
          <w:rFonts w:cs="Arial"/>
          <w:color w:val="000000"/>
          <w:lang w:eastAsia="ko-KR"/>
        </w:rPr>
        <w:t>112</w:t>
      </w:r>
      <w:r w:rsidRPr="00627107">
        <w:rPr>
          <w:rFonts w:cs="Arial"/>
          <w:color w:val="000000"/>
          <w:lang w:eastAsia="ko-KR"/>
        </w:rPr>
        <w:t xml:space="preserve"> mln euro</w:t>
      </w:r>
      <w:r>
        <w:rPr>
          <w:rFonts w:cs="Arial"/>
          <w:color w:val="000000"/>
          <w:lang w:eastAsia="ko-KR"/>
        </w:rPr>
        <w:t xml:space="preserve">, na lata 2009-2014 kolejne </w:t>
      </w:r>
      <w:r w:rsidRPr="00B118B0">
        <w:rPr>
          <w:rFonts w:cs="Arial"/>
          <w:color w:val="000000"/>
          <w:lang w:eastAsia="ko-KR"/>
        </w:rPr>
        <w:t>180</w:t>
      </w:r>
      <w:r w:rsidRPr="00627107">
        <w:rPr>
          <w:rFonts w:cs="Arial"/>
          <w:color w:val="000000"/>
          <w:lang w:eastAsia="ko-KR"/>
        </w:rPr>
        <w:t xml:space="preserve"> mln euro.</w:t>
      </w:r>
      <w:r>
        <w:rPr>
          <w:rFonts w:cs="Arial"/>
          <w:color w:val="000000"/>
          <w:lang w:eastAsia="ko-KR"/>
        </w:rPr>
        <w:t xml:space="preserve"> W ramach nowej perspektywy finansowej (na lata 2014-2021) c</w:t>
      </w:r>
      <w:r w:rsidRPr="00627107">
        <w:rPr>
          <w:rFonts w:cs="Arial"/>
          <w:color w:val="000000"/>
          <w:lang w:eastAsia="ko-KR"/>
        </w:rPr>
        <w:t xml:space="preserve">ałkowita kwota przeznaczona dla Polski wynosi ponad </w:t>
      </w:r>
      <w:r w:rsidRPr="00B118B0">
        <w:rPr>
          <w:rFonts w:cs="Arial"/>
          <w:color w:val="000000"/>
          <w:lang w:eastAsia="ko-KR"/>
        </w:rPr>
        <w:t xml:space="preserve">800 </w:t>
      </w:r>
      <w:r w:rsidRPr="00627107">
        <w:rPr>
          <w:rFonts w:cs="Arial"/>
          <w:color w:val="000000"/>
          <w:lang w:eastAsia="ko-KR"/>
        </w:rPr>
        <w:t>mln euro</w:t>
      </w:r>
      <w:r>
        <w:rPr>
          <w:rFonts w:cs="Arial"/>
          <w:color w:val="000000"/>
          <w:lang w:eastAsia="ko-KR"/>
        </w:rPr>
        <w:t>.</w:t>
      </w:r>
    </w:p>
    <w:p w:rsidR="00A7414F" w:rsidRDefault="00A7414F" w:rsidP="00A7414F">
      <w:pPr>
        <w:jc w:val="both"/>
        <w:rPr>
          <w:rFonts w:cs="Times New Roman"/>
          <w:bCs/>
          <w:color w:val="000000"/>
        </w:rPr>
      </w:pPr>
      <w:r>
        <w:rPr>
          <w:rFonts w:cs="Arial"/>
          <w:color w:val="000000"/>
          <w:lang w:eastAsia="ko-KR"/>
        </w:rPr>
        <w:t>Od 2008 r. Polska korzysta również z p</w:t>
      </w:r>
      <w:r w:rsidRPr="00B56FD2">
        <w:rPr>
          <w:rFonts w:cs="Arial"/>
          <w:color w:val="000000"/>
          <w:lang w:eastAsia="ko-KR"/>
        </w:rPr>
        <w:t>rogram</w:t>
      </w:r>
      <w:r>
        <w:rPr>
          <w:rFonts w:cs="Arial"/>
          <w:color w:val="000000"/>
          <w:lang w:eastAsia="ko-KR"/>
        </w:rPr>
        <w:t>u</w:t>
      </w:r>
      <w:r w:rsidRPr="00B56FD2">
        <w:rPr>
          <w:rFonts w:cs="Arial"/>
          <w:color w:val="000000"/>
          <w:lang w:eastAsia="ko-KR"/>
        </w:rPr>
        <w:t xml:space="preserve"> LIFE</w:t>
      </w:r>
      <w:r>
        <w:rPr>
          <w:rFonts w:cs="Arial"/>
          <w:color w:val="000000"/>
          <w:lang w:eastAsia="ko-KR"/>
        </w:rPr>
        <w:t xml:space="preserve">, będącego </w:t>
      </w:r>
      <w:r w:rsidRPr="00B56FD2">
        <w:rPr>
          <w:rFonts w:cs="Arial"/>
          <w:color w:val="000000"/>
          <w:lang w:eastAsia="ko-KR"/>
        </w:rPr>
        <w:t xml:space="preserve">jedynym instrumentem finansowym Unii Europejskiej koncentrującym się wyłącznie na współfinansowaniu projektów z dziedziny ochrony środowiska i klimatu. W perspektywie 2007-2013, w ramach LIFE+ </w:t>
      </w:r>
      <w:r>
        <w:rPr>
          <w:rFonts w:cs="Arial"/>
          <w:color w:val="000000"/>
          <w:lang w:eastAsia="ko-KR"/>
        </w:rPr>
        <w:t>a</w:t>
      </w:r>
      <w:r w:rsidRPr="0097420B">
        <w:rPr>
          <w:rFonts w:cs="Arial"/>
          <w:color w:val="000000"/>
          <w:lang w:eastAsia="ko-KR"/>
        </w:rPr>
        <w:t>lokacja dla Polski wyn</w:t>
      </w:r>
      <w:r>
        <w:rPr>
          <w:rFonts w:cs="Arial"/>
          <w:color w:val="000000"/>
          <w:lang w:eastAsia="ko-KR"/>
        </w:rPr>
        <w:t xml:space="preserve">iosła </w:t>
      </w:r>
      <w:r w:rsidRPr="0097420B">
        <w:rPr>
          <w:rFonts w:cs="Arial"/>
          <w:color w:val="000000"/>
          <w:lang w:eastAsia="ko-KR"/>
        </w:rPr>
        <w:t>ok</w:t>
      </w:r>
      <w:r w:rsidRPr="00445B2C">
        <w:rPr>
          <w:rFonts w:cs="Arial"/>
          <w:color w:val="000000"/>
          <w:lang w:eastAsia="ko-KR"/>
        </w:rPr>
        <w:t>. 88,3</w:t>
      </w:r>
      <w:r w:rsidRPr="0097420B">
        <w:rPr>
          <w:rFonts w:cs="Arial"/>
          <w:color w:val="000000"/>
          <w:lang w:eastAsia="ko-KR"/>
        </w:rPr>
        <w:t xml:space="preserve"> mln euro.</w:t>
      </w:r>
      <w:r>
        <w:rPr>
          <w:rFonts w:cs="Arial"/>
          <w:color w:val="000000"/>
          <w:lang w:eastAsia="ko-KR"/>
        </w:rPr>
        <w:t xml:space="preserve"> W perspektywie finansowej </w:t>
      </w:r>
      <w:r w:rsidRPr="003D73F5">
        <w:rPr>
          <w:rFonts w:cs="Times New Roman"/>
          <w:bCs/>
          <w:color w:val="000000"/>
        </w:rPr>
        <w:t>2014-2020</w:t>
      </w:r>
      <w:r>
        <w:rPr>
          <w:rFonts w:cs="Times New Roman"/>
          <w:bCs/>
          <w:color w:val="000000"/>
        </w:rPr>
        <w:t xml:space="preserve"> zmianie uległ sposób dystrybucji środków:  </w:t>
      </w:r>
      <w:r w:rsidRPr="003D73F5">
        <w:rPr>
          <w:rFonts w:cs="Times New Roman"/>
          <w:bCs/>
          <w:color w:val="000000"/>
        </w:rPr>
        <w:t xml:space="preserve">alokacje krajowe określone zostały jedynie na lata 2014-2017 i wyłącznie dla Podprogramu na rzecz środowiska. </w:t>
      </w:r>
      <w:r>
        <w:rPr>
          <w:rFonts w:cs="Times New Roman"/>
          <w:bCs/>
          <w:color w:val="000000"/>
        </w:rPr>
        <w:t xml:space="preserve">Przyznana alokacja dla Polski </w:t>
      </w:r>
      <w:r w:rsidRPr="003D73F5">
        <w:rPr>
          <w:rFonts w:cs="Times New Roman"/>
          <w:bCs/>
          <w:color w:val="000000"/>
        </w:rPr>
        <w:t xml:space="preserve">wynosi </w:t>
      </w:r>
      <w:r w:rsidRPr="00445B2C">
        <w:rPr>
          <w:rFonts w:cs="Times New Roman"/>
          <w:bCs/>
          <w:color w:val="000000"/>
        </w:rPr>
        <w:t xml:space="preserve">51 </w:t>
      </w:r>
      <w:r w:rsidRPr="003D73F5">
        <w:rPr>
          <w:rFonts w:cs="Times New Roman"/>
          <w:bCs/>
          <w:color w:val="000000"/>
        </w:rPr>
        <w:t>mln euro.</w:t>
      </w:r>
    </w:p>
    <w:p w:rsidR="00A7414F" w:rsidRDefault="00A7414F" w:rsidP="00A7414F">
      <w:pPr>
        <w:jc w:val="both"/>
        <w:rPr>
          <w:rFonts w:cs="Times New Roman"/>
          <w:bCs/>
          <w:color w:val="000000"/>
        </w:rPr>
      </w:pPr>
      <w:r>
        <w:rPr>
          <w:rFonts w:cs="Times New Roman"/>
          <w:bCs/>
          <w:color w:val="000000"/>
        </w:rPr>
        <w:t xml:space="preserve">Polska jest również beneficjentem Szwajcarsko-Polskiego Programu Współpracy. W latach 2007-2017 finansowaniem objęto działania związane z zagospodarowaniem odpadów niebezpiecznych (azbest), zwiększeniem efektywności energetycznej oraz ochroną różnorodności biologicznej. Kwota dofinansowania przekroczyła </w:t>
      </w:r>
      <w:r w:rsidRPr="00445B2C">
        <w:rPr>
          <w:rFonts w:cs="Times New Roman"/>
          <w:bCs/>
          <w:color w:val="000000"/>
        </w:rPr>
        <w:t>160 mln franków szwajcarskich.</w:t>
      </w:r>
    </w:p>
    <w:p w:rsidR="00A7414F" w:rsidRDefault="00A7414F" w:rsidP="00A7414F">
      <w:pPr>
        <w:spacing w:after="0"/>
        <w:jc w:val="both"/>
        <w:rPr>
          <w:bCs/>
        </w:rPr>
      </w:pPr>
      <w:r w:rsidRPr="008B7762">
        <w:rPr>
          <w:bCs/>
        </w:rPr>
        <w:t>Istotną rolę w  systemie</w:t>
      </w:r>
      <w:r>
        <w:rPr>
          <w:bCs/>
        </w:rPr>
        <w:t xml:space="preserve"> </w:t>
      </w:r>
      <w:r w:rsidRPr="008B7762">
        <w:rPr>
          <w:bCs/>
        </w:rPr>
        <w:t xml:space="preserve">finansowania ochrony środowiska w Polsce odgrywa również Bank Ochrony Środowiska S.A., </w:t>
      </w:r>
      <w:r w:rsidRPr="008B7762">
        <w:t>świadczący m.in. wyspecjalizowane usługi bankowe wspierające działania służące ochronie środowiska i gospodarki wodnej.</w:t>
      </w:r>
      <w:r>
        <w:t xml:space="preserve"> </w:t>
      </w:r>
      <w:r w:rsidRPr="000731A5">
        <w:rPr>
          <w:bCs/>
        </w:rPr>
        <w:t>Bank Ochrony Środowiska S.A.</w:t>
      </w:r>
      <w:r w:rsidRPr="000B70BC">
        <w:rPr>
          <w:bCs/>
        </w:rPr>
        <w:t xml:space="preserve"> posiada doświadczenie </w:t>
      </w:r>
      <w:r>
        <w:rPr>
          <w:bCs/>
        </w:rPr>
        <w:br/>
      </w:r>
      <w:r w:rsidRPr="000B70BC">
        <w:rPr>
          <w:bCs/>
        </w:rPr>
        <w:lastRenderedPageBreak/>
        <w:t xml:space="preserve">w finansowaniu zadań proekologicznych i </w:t>
      </w:r>
      <w:r>
        <w:rPr>
          <w:bCs/>
        </w:rPr>
        <w:t>uczestniczy</w:t>
      </w:r>
      <w:r w:rsidRPr="000B70BC">
        <w:rPr>
          <w:bCs/>
        </w:rPr>
        <w:t xml:space="preserve"> we współfinansowaniu przedsięwzięć inwestycyjnych realizowanych w ramach programów zasilanych środkami zagranicznymi.</w:t>
      </w:r>
      <w:r>
        <w:rPr>
          <w:bCs/>
        </w:rPr>
        <w:t xml:space="preserve"> W</w:t>
      </w:r>
      <w:r w:rsidRPr="000731A5">
        <w:rPr>
          <w:bCs/>
        </w:rPr>
        <w:t>ciągu ponad 20 lat przeznaczył 11 mld zł na finansowanie projektów ekologicznych</w:t>
      </w:r>
      <w:r>
        <w:rPr>
          <w:bCs/>
        </w:rPr>
        <w:t>.</w:t>
      </w:r>
    </w:p>
    <w:p w:rsidR="00504EE2" w:rsidRPr="00504EE2" w:rsidRDefault="00504EE2" w:rsidP="00504EE2">
      <w:pPr>
        <w:rPr>
          <w:b/>
          <w:i/>
        </w:rPr>
      </w:pPr>
    </w:p>
    <w:p w:rsidR="004E65E5" w:rsidRPr="00812649" w:rsidRDefault="004E65E5" w:rsidP="00812649">
      <w:pPr>
        <w:pStyle w:val="Nagwek2"/>
      </w:pPr>
      <w:bookmarkStart w:id="78" w:name="_Toc505604940"/>
      <w:bookmarkStart w:id="79" w:name="_Toc505605333"/>
      <w:r w:rsidRPr="00812649">
        <w:t>Formy ochrony przyrody</w:t>
      </w:r>
      <w:bookmarkEnd w:id="78"/>
      <w:bookmarkEnd w:id="79"/>
      <w:r w:rsidRPr="00812649">
        <w:t xml:space="preserve"> </w:t>
      </w:r>
    </w:p>
    <w:p w:rsidR="004E65E5" w:rsidRDefault="004E65E5" w:rsidP="003211A8">
      <w:pPr>
        <w:pStyle w:val="Tekstpodstawowyzwciciem"/>
        <w:spacing w:after="0"/>
        <w:ind w:firstLine="0"/>
        <w:jc w:val="both"/>
        <w:rPr>
          <w:rFonts w:cs="Times New Roman"/>
        </w:rPr>
      </w:pPr>
      <w:r w:rsidRPr="00884B36">
        <w:rPr>
          <w:rFonts w:cs="Times New Roman"/>
        </w:rPr>
        <w:t>Tworzenie</w:t>
      </w:r>
      <w:r w:rsidRPr="00AA0E74">
        <w:rPr>
          <w:rFonts w:cs="Times New Roman"/>
        </w:rPr>
        <w:t xml:space="preserve"> i funkcjonowanie form ochrony przyrody jest ważnym elementem realizacji celów ochrony przyrody w Polsce. Formy ochrony przyrody funkcjonują w oparciu o podstawy naukowe i wieloletnią praktykę krajowej ochrony przyrody. Każda z form spełnia inną rolę w polskim systemie ochrony przyrody i służy innym celom, dlatego charakteryzuje się odmiennym reżimem ochronnym oraz zakresem ograniczeń w użytkowaniu.</w:t>
      </w:r>
      <w:r>
        <w:rPr>
          <w:rFonts w:cs="Times New Roman"/>
        </w:rPr>
        <w:t xml:space="preserve"> </w:t>
      </w:r>
      <w:r w:rsidRPr="00884B36">
        <w:rPr>
          <w:rFonts w:cs="Times New Roman"/>
        </w:rPr>
        <w:t>Ustawa o ochronie przyrody wyróżnia następujące formy ochrony przyrody:</w:t>
      </w:r>
      <w:r>
        <w:rPr>
          <w:rFonts w:cs="Times New Roman"/>
        </w:rPr>
        <w:t xml:space="preserve"> </w:t>
      </w:r>
      <w:r w:rsidRPr="00884B36">
        <w:rPr>
          <w:rFonts w:cs="Times New Roman"/>
        </w:rPr>
        <w:t>parki narodowe,</w:t>
      </w:r>
      <w:r>
        <w:rPr>
          <w:rFonts w:cs="Times New Roman"/>
        </w:rPr>
        <w:t xml:space="preserve"> </w:t>
      </w:r>
      <w:r w:rsidRPr="00884B36">
        <w:rPr>
          <w:rFonts w:cs="Times New Roman"/>
        </w:rPr>
        <w:t>rezerwaty przyrody,</w:t>
      </w:r>
      <w:r>
        <w:rPr>
          <w:rFonts w:cs="Times New Roman"/>
        </w:rPr>
        <w:t xml:space="preserve"> </w:t>
      </w:r>
      <w:r w:rsidRPr="00884B36">
        <w:rPr>
          <w:rFonts w:cs="Times New Roman"/>
        </w:rPr>
        <w:t>parki krajobrazowe,</w:t>
      </w:r>
      <w:r>
        <w:rPr>
          <w:rFonts w:cs="Times New Roman"/>
        </w:rPr>
        <w:t xml:space="preserve"> </w:t>
      </w:r>
      <w:r w:rsidRPr="00884B36">
        <w:rPr>
          <w:rFonts w:cs="Times New Roman"/>
        </w:rPr>
        <w:t>obszary chronionego krajobrazu,</w:t>
      </w:r>
      <w:r>
        <w:rPr>
          <w:rFonts w:cs="Times New Roman"/>
        </w:rPr>
        <w:t xml:space="preserve"> </w:t>
      </w:r>
      <w:r w:rsidRPr="00884B36">
        <w:rPr>
          <w:rFonts w:cs="Times New Roman"/>
        </w:rPr>
        <w:t>obszary Natura 2000,</w:t>
      </w:r>
      <w:r>
        <w:rPr>
          <w:rFonts w:cs="Times New Roman"/>
        </w:rPr>
        <w:t xml:space="preserve"> </w:t>
      </w:r>
      <w:r w:rsidRPr="00884B36">
        <w:rPr>
          <w:rFonts w:cs="Times New Roman"/>
        </w:rPr>
        <w:t>pomniki przyrody,</w:t>
      </w:r>
      <w:r>
        <w:rPr>
          <w:rFonts w:cs="Times New Roman"/>
        </w:rPr>
        <w:t xml:space="preserve"> s</w:t>
      </w:r>
      <w:r w:rsidRPr="00884B36">
        <w:rPr>
          <w:rFonts w:cs="Times New Roman"/>
        </w:rPr>
        <w:t>tanowiska dokumentacyjne,</w:t>
      </w:r>
      <w:r>
        <w:rPr>
          <w:rFonts w:cs="Times New Roman"/>
        </w:rPr>
        <w:t xml:space="preserve"> u</w:t>
      </w:r>
      <w:r w:rsidRPr="00884B36">
        <w:rPr>
          <w:rFonts w:cs="Times New Roman"/>
        </w:rPr>
        <w:t>żytki ekologiczne,</w:t>
      </w:r>
      <w:r>
        <w:rPr>
          <w:rFonts w:cs="Times New Roman"/>
        </w:rPr>
        <w:t xml:space="preserve"> </w:t>
      </w:r>
      <w:r w:rsidRPr="00884B36">
        <w:rPr>
          <w:rFonts w:cs="Times New Roman"/>
        </w:rPr>
        <w:t>zespoły przyrodniczo-krajobrazowe,</w:t>
      </w:r>
      <w:r>
        <w:rPr>
          <w:rFonts w:cs="Times New Roman"/>
        </w:rPr>
        <w:t xml:space="preserve"> </w:t>
      </w:r>
      <w:r w:rsidRPr="00884B36">
        <w:rPr>
          <w:rFonts w:cs="Times New Roman"/>
        </w:rPr>
        <w:t>ochrona gatunkowa roślin, zwierząt i grzybów.</w:t>
      </w:r>
      <w:r>
        <w:rPr>
          <w:rFonts w:cs="Times New Roman"/>
        </w:rPr>
        <w:t xml:space="preserve"> W Polsce działa </w:t>
      </w:r>
      <w:r w:rsidRPr="00884B36">
        <w:rPr>
          <w:rFonts w:cs="Times New Roman"/>
        </w:rPr>
        <w:t>Centraln</w:t>
      </w:r>
      <w:r>
        <w:rPr>
          <w:rFonts w:cs="Times New Roman"/>
        </w:rPr>
        <w:t>y</w:t>
      </w:r>
      <w:r w:rsidRPr="00884B36">
        <w:rPr>
          <w:rFonts w:cs="Times New Roman"/>
        </w:rPr>
        <w:t xml:space="preserve"> Rejestr Form Ochrony Przyrody</w:t>
      </w:r>
      <w:r>
        <w:rPr>
          <w:rFonts w:cs="Times New Roman"/>
        </w:rPr>
        <w:t>, którego p</w:t>
      </w:r>
      <w:r w:rsidRPr="00884B36">
        <w:rPr>
          <w:rFonts w:cs="Times New Roman"/>
        </w:rPr>
        <w:t>rowadzenie znajduje się w kompetencjach Generalnego Dyrektora Ochrony Środowiska (zgodnie z art. 113 ust.1 ustawy z dnia 16 kwietnia 2004 r. o ochronie przyrody). Rejestr stanowi bazę form ochrony przyrody i jest na bieżąco aktualizowany.</w:t>
      </w:r>
      <w:r>
        <w:rPr>
          <w:rFonts w:cs="Times New Roman"/>
        </w:rPr>
        <w:t xml:space="preserve"> </w:t>
      </w:r>
      <w:r w:rsidRPr="00884B36">
        <w:rPr>
          <w:rFonts w:cs="Times New Roman"/>
        </w:rPr>
        <w:t>W celu zachowania dziedzictwa przyrodniczego Polski, do końca września 2017 r. r. krajowymi formami obszarowej ochrony przyrody objęte było wg danych GDOS 11 330,1 tys. ha powierzchni Polski  W okresie od 11.2008 – 09.2017 regionalni dyrektorzy ochrony środowiska utworzyli łącznie 79 rezerwatów.</w:t>
      </w:r>
    </w:p>
    <w:p w:rsidR="004E65E5" w:rsidRDefault="004E65E5" w:rsidP="003211A8">
      <w:pPr>
        <w:pStyle w:val="Tekstpodstawowyzwciciem"/>
        <w:spacing w:after="0"/>
        <w:ind w:firstLine="0"/>
        <w:jc w:val="both"/>
        <w:rPr>
          <w:rFonts w:cs="Times New Roman"/>
        </w:rPr>
      </w:pPr>
    </w:p>
    <w:p w:rsidR="004E65E5" w:rsidRDefault="004E65E5" w:rsidP="004E65E5">
      <w:pPr>
        <w:pStyle w:val="Tekstpodstawowyzwciciem"/>
        <w:spacing w:after="0" w:line="240" w:lineRule="auto"/>
        <w:ind w:firstLine="0"/>
        <w:jc w:val="both"/>
        <w:rPr>
          <w:rFonts w:cs="Times New Roman"/>
        </w:rPr>
      </w:pPr>
      <w:r>
        <w:rPr>
          <w:noProof/>
          <w:lang w:eastAsia="pl-PL"/>
        </w:rPr>
        <w:drawing>
          <wp:inline distT="0" distB="0" distL="0" distR="0" wp14:anchorId="0371AF17" wp14:editId="3B56C5CB">
            <wp:extent cx="4543745" cy="4071668"/>
            <wp:effectExtent l="0" t="0" r="9525" b="508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3838" t="20037" r="18440" b="15309"/>
                    <a:stretch/>
                  </pic:blipFill>
                  <pic:spPr bwMode="auto">
                    <a:xfrm>
                      <a:off x="0" y="0"/>
                      <a:ext cx="4552493" cy="4079507"/>
                    </a:xfrm>
                    <a:prstGeom prst="rect">
                      <a:avLst/>
                    </a:prstGeom>
                    <a:ln>
                      <a:noFill/>
                    </a:ln>
                    <a:extLst>
                      <a:ext uri="{53640926-AAD7-44D8-BBD7-CCE9431645EC}">
                        <a14:shadowObscured xmlns:a14="http://schemas.microsoft.com/office/drawing/2010/main"/>
                      </a:ext>
                    </a:extLst>
                  </pic:spPr>
                </pic:pic>
              </a:graphicData>
            </a:graphic>
          </wp:inline>
        </w:drawing>
      </w:r>
    </w:p>
    <w:p w:rsidR="004E65E5" w:rsidRDefault="004E65E5" w:rsidP="004E65E5">
      <w:pPr>
        <w:pStyle w:val="Tekstpodstawowyzwciciem"/>
        <w:spacing w:after="0" w:line="240" w:lineRule="auto"/>
        <w:ind w:firstLine="0"/>
        <w:jc w:val="both"/>
        <w:rPr>
          <w:rFonts w:cs="Times New Roman"/>
        </w:rPr>
      </w:pPr>
    </w:p>
    <w:p w:rsidR="004E65E5" w:rsidRPr="003211A8" w:rsidRDefault="004E65E5" w:rsidP="004E65E5">
      <w:pPr>
        <w:pStyle w:val="Tekstpodstawowyzwciciem"/>
        <w:spacing w:after="0" w:line="240" w:lineRule="auto"/>
        <w:ind w:firstLine="0"/>
        <w:jc w:val="both"/>
        <w:rPr>
          <w:rFonts w:cs="Times New Roman"/>
          <w:i/>
        </w:rPr>
      </w:pPr>
      <w:r w:rsidRPr="003211A8">
        <w:rPr>
          <w:rFonts w:cs="Times New Roman"/>
          <w:i/>
        </w:rPr>
        <w:t xml:space="preserve">Rys. </w:t>
      </w:r>
      <w:r w:rsidR="001E35FE">
        <w:rPr>
          <w:rFonts w:cs="Times New Roman"/>
          <w:i/>
        </w:rPr>
        <w:t>10</w:t>
      </w:r>
      <w:r w:rsidR="003211A8">
        <w:rPr>
          <w:rFonts w:cs="Times New Roman"/>
          <w:i/>
        </w:rPr>
        <w:t xml:space="preserve">.1 </w:t>
      </w:r>
      <w:r w:rsidRPr="003211A8">
        <w:rPr>
          <w:rFonts w:cs="Times New Roman"/>
          <w:i/>
        </w:rPr>
        <w:t xml:space="preserve">Obszary chronione w Polsce </w:t>
      </w:r>
      <w:r w:rsidR="003211A8">
        <w:rPr>
          <w:rFonts w:cs="Times New Roman"/>
          <w:i/>
        </w:rPr>
        <w:t>(</w:t>
      </w:r>
      <w:r w:rsidRPr="003211A8">
        <w:rPr>
          <w:rFonts w:cs="Times New Roman"/>
          <w:i/>
        </w:rPr>
        <w:t xml:space="preserve">źródło: </w:t>
      </w:r>
      <w:hyperlink r:id="rId72" w:history="1">
        <w:r w:rsidRPr="003211A8">
          <w:rPr>
            <w:rStyle w:val="Hipercze"/>
            <w:i/>
          </w:rPr>
          <w:t>http://geoserwis.gdos.gov.pl/mapy/</w:t>
        </w:r>
      </w:hyperlink>
      <w:r w:rsidRPr="003211A8">
        <w:rPr>
          <w:rFonts w:cs="Times New Roman"/>
          <w:i/>
        </w:rPr>
        <w:t xml:space="preserve"> dostęp 07.11.2017 </w:t>
      </w:r>
      <w:r w:rsidR="003211A8">
        <w:rPr>
          <w:rFonts w:cs="Times New Roman"/>
          <w:i/>
        </w:rPr>
        <w:t>)</w:t>
      </w:r>
    </w:p>
    <w:p w:rsidR="004E65E5" w:rsidRPr="003211A8" w:rsidRDefault="004E65E5" w:rsidP="004E65E5">
      <w:pPr>
        <w:pStyle w:val="Tekstpodstawowyzwciciem"/>
        <w:spacing w:after="0" w:line="240" w:lineRule="auto"/>
        <w:ind w:firstLine="0"/>
        <w:jc w:val="both"/>
        <w:rPr>
          <w:rFonts w:cs="Times New Roman"/>
          <w:i/>
        </w:rPr>
      </w:pPr>
    </w:p>
    <w:p w:rsidR="004E65E5" w:rsidRDefault="004E65E5" w:rsidP="004E65E5">
      <w:pPr>
        <w:pStyle w:val="Akapitzlist"/>
        <w:ind w:left="851"/>
        <w:contextualSpacing w:val="0"/>
        <w:jc w:val="both"/>
        <w:rPr>
          <w:color w:val="000000"/>
        </w:rPr>
      </w:pPr>
    </w:p>
    <w:p w:rsidR="004E65E5" w:rsidRPr="00EF1BFF" w:rsidRDefault="004E65E5" w:rsidP="004E65E5">
      <w:pPr>
        <w:spacing w:after="0" w:line="240" w:lineRule="auto"/>
        <w:jc w:val="center"/>
        <w:rPr>
          <w:rFonts w:ascii="Times New Roman" w:hAnsi="Times New Roman" w:cs="Times New Roman"/>
          <w:sz w:val="24"/>
          <w:szCs w:val="24"/>
        </w:rPr>
      </w:pPr>
      <w:r>
        <w:rPr>
          <w:noProof/>
          <w:lang w:eastAsia="pl-PL"/>
        </w:rPr>
        <w:drawing>
          <wp:inline distT="0" distB="0" distL="0" distR="0" wp14:anchorId="0AEEDEAE" wp14:editId="08E17C33">
            <wp:extent cx="5227608" cy="2286000"/>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E65E5" w:rsidRPr="003211A8" w:rsidRDefault="003211A8" w:rsidP="003211A8">
      <w:pPr>
        <w:spacing w:after="0" w:line="240" w:lineRule="auto"/>
        <w:jc w:val="both"/>
        <w:rPr>
          <w:rFonts w:ascii="Times New Roman" w:hAnsi="Times New Roman" w:cs="Times New Roman"/>
          <w:i/>
          <w:color w:val="000000"/>
          <w:sz w:val="24"/>
          <w:szCs w:val="24"/>
        </w:rPr>
      </w:pPr>
      <w:r w:rsidRPr="003211A8">
        <w:rPr>
          <w:rFonts w:cs="Times New Roman"/>
          <w:i/>
        </w:rPr>
        <w:t xml:space="preserve">Rys. </w:t>
      </w:r>
      <w:r w:rsidR="001E35FE">
        <w:rPr>
          <w:rFonts w:cs="Times New Roman"/>
          <w:i/>
        </w:rPr>
        <w:t>10</w:t>
      </w:r>
      <w:r>
        <w:rPr>
          <w:rFonts w:cs="Times New Roman"/>
          <w:i/>
        </w:rPr>
        <w:t>.2</w:t>
      </w:r>
      <w:r w:rsidRPr="003211A8">
        <w:rPr>
          <w:rFonts w:cs="Times New Roman"/>
          <w:i/>
        </w:rPr>
        <w:t xml:space="preserve"> </w:t>
      </w:r>
      <w:r>
        <w:rPr>
          <w:rFonts w:cs="Times New Roman"/>
          <w:i/>
        </w:rPr>
        <w:t>Obiekty i obszary o szczególnych walorach przyrodniczych prawnie chronione w 2016 r. (</w:t>
      </w:r>
      <w:r w:rsidR="004E65E5" w:rsidRPr="003211A8">
        <w:rPr>
          <w:rFonts w:cs="Times New Roman"/>
          <w:i/>
        </w:rPr>
        <w:t>Źródło: GUS</w:t>
      </w:r>
      <w:r w:rsidRPr="003211A8">
        <w:rPr>
          <w:rFonts w:cs="Times New Roman"/>
          <w:i/>
        </w:rPr>
        <w:t>)</w:t>
      </w:r>
    </w:p>
    <w:p w:rsidR="003211A8" w:rsidRDefault="003211A8" w:rsidP="003211A8">
      <w:pPr>
        <w:pStyle w:val="Tekstpodstawowyzwciciem"/>
        <w:spacing w:after="0"/>
        <w:ind w:firstLine="0"/>
        <w:jc w:val="both"/>
        <w:rPr>
          <w:rFonts w:ascii="Times New Roman" w:eastAsia="Calibri" w:hAnsi="Times New Roman" w:cs="Times New Roman"/>
          <w:bCs/>
          <w:i/>
          <w:sz w:val="24"/>
          <w:szCs w:val="24"/>
          <w:lang w:eastAsia="ar-SA"/>
        </w:rPr>
      </w:pPr>
    </w:p>
    <w:p w:rsidR="004E65E5" w:rsidRDefault="004E65E5" w:rsidP="003211A8">
      <w:pPr>
        <w:pStyle w:val="Tekstpodstawowyzwciciem"/>
        <w:spacing w:after="0"/>
        <w:ind w:firstLine="0"/>
        <w:jc w:val="both"/>
        <w:rPr>
          <w:rFonts w:cs="Times New Roman"/>
        </w:rPr>
      </w:pPr>
      <w:r w:rsidRPr="00B605E9">
        <w:rPr>
          <w:rFonts w:cs="Times New Roman"/>
        </w:rPr>
        <w:t xml:space="preserve">W celu zachowania gatunków i typów siedlisk przyrodniczych, które są cenne i na terytorium </w:t>
      </w:r>
      <w:r>
        <w:rPr>
          <w:rFonts w:cs="Times New Roman"/>
        </w:rPr>
        <w:t>Unii</w:t>
      </w:r>
      <w:r w:rsidRPr="00B605E9">
        <w:rPr>
          <w:rFonts w:cs="Times New Roman"/>
        </w:rPr>
        <w:t xml:space="preserve"> Europejskiej (tj. wymienionych w załącznikach </w:t>
      </w:r>
      <w:r>
        <w:rPr>
          <w:rFonts w:cs="Times New Roman"/>
        </w:rPr>
        <w:t>D</w:t>
      </w:r>
      <w:r w:rsidRPr="00B605E9">
        <w:rPr>
          <w:rFonts w:cs="Times New Roman"/>
        </w:rPr>
        <w:t xml:space="preserve">yrektyw </w:t>
      </w:r>
      <w:r>
        <w:rPr>
          <w:rFonts w:cs="Times New Roman"/>
        </w:rPr>
        <w:t>s</w:t>
      </w:r>
      <w:r w:rsidRPr="00B605E9">
        <w:rPr>
          <w:rFonts w:cs="Times New Roman"/>
        </w:rPr>
        <w:t xml:space="preserve">iedliskowej i </w:t>
      </w:r>
      <w:r>
        <w:rPr>
          <w:rFonts w:cs="Times New Roman"/>
        </w:rPr>
        <w:t>p</w:t>
      </w:r>
      <w:r w:rsidRPr="00B605E9">
        <w:rPr>
          <w:rFonts w:cs="Times New Roman"/>
        </w:rPr>
        <w:t>tasiej</w:t>
      </w:r>
      <w:r w:rsidRPr="00B605E9">
        <w:rPr>
          <w:rStyle w:val="Odwoanieprzypisudolnego"/>
          <w:rFonts w:cs="Times New Roman"/>
        </w:rPr>
        <w:footnoteReference w:id="68"/>
      </w:r>
      <w:r w:rsidRPr="00B605E9">
        <w:rPr>
          <w:rFonts w:cs="Times New Roman"/>
        </w:rPr>
        <w:t>), objęto je ochroną w ramach sieci Natura 2000. Sieć ta tworzona jest stosownie do wymagań obu ww. dyrektyw i składa się z tzw. obszarów specjalnej ochrony ptaków (</w:t>
      </w:r>
      <w:r>
        <w:rPr>
          <w:rFonts w:cs="Times New Roman"/>
        </w:rPr>
        <w:t>oso</w:t>
      </w:r>
      <w:r w:rsidRPr="00B605E9">
        <w:rPr>
          <w:rFonts w:cs="Times New Roman"/>
        </w:rPr>
        <w:t xml:space="preserve">) oraz </w:t>
      </w:r>
      <w:r>
        <w:rPr>
          <w:rFonts w:cs="Times New Roman"/>
        </w:rPr>
        <w:t>obszarów mających znaczenie dla Wspólnoty</w:t>
      </w:r>
      <w:r w:rsidRPr="00B605E9">
        <w:rPr>
          <w:rFonts w:cs="Times New Roman"/>
        </w:rPr>
        <w:t xml:space="preserve"> (</w:t>
      </w:r>
      <w:r>
        <w:rPr>
          <w:rFonts w:cs="Times New Roman"/>
        </w:rPr>
        <w:t>ozw</w:t>
      </w:r>
      <w:r w:rsidRPr="00B605E9">
        <w:rPr>
          <w:rFonts w:cs="Times New Roman"/>
        </w:rPr>
        <w:t>)</w:t>
      </w:r>
      <w:r>
        <w:rPr>
          <w:rFonts w:cs="Times New Roman"/>
        </w:rPr>
        <w:t xml:space="preserve">/specjalnych obszarów ochrony </w:t>
      </w:r>
      <w:r w:rsidRPr="005C24F3">
        <w:rPr>
          <w:rFonts w:cs="Times New Roman"/>
        </w:rPr>
        <w:t>(soo). Obszary ozw po wydaniu stosownych rozporządzeń Ministra Środowiska stają się docelowo tzw. specjalnymi obszarami ochrony siedlisk.</w:t>
      </w:r>
      <w:r>
        <w:rPr>
          <w:rFonts w:cs="Times New Roman"/>
        </w:rPr>
        <w:t xml:space="preserve"> </w:t>
      </w:r>
      <w:r w:rsidRPr="005C24F3">
        <w:rPr>
          <w:rFonts w:cs="Times New Roman"/>
        </w:rPr>
        <w:t xml:space="preserve">Zgodnie ze stanem na koniec września 2017 r. status soo uzyskały 83 obszary. </w:t>
      </w:r>
    </w:p>
    <w:p w:rsidR="003211A8" w:rsidRDefault="003211A8" w:rsidP="003211A8">
      <w:pPr>
        <w:spacing w:after="0"/>
        <w:jc w:val="both"/>
        <w:rPr>
          <w:rFonts w:cs="Times New Roman"/>
        </w:rPr>
      </w:pPr>
    </w:p>
    <w:p w:rsidR="00096C06" w:rsidRDefault="004E65E5" w:rsidP="003211A8">
      <w:pPr>
        <w:spacing w:after="0"/>
        <w:jc w:val="both"/>
        <w:rPr>
          <w:rFonts w:cs="Times New Roman"/>
        </w:rPr>
      </w:pPr>
      <w:r w:rsidRPr="005C24F3">
        <w:rPr>
          <w:rFonts w:cs="Times New Roman"/>
        </w:rPr>
        <w:t>Obecnie</w:t>
      </w:r>
      <w:r w:rsidRPr="005C24F3">
        <w:rPr>
          <w:rStyle w:val="Odwoanieprzypisudolnego"/>
          <w:rFonts w:cs="Times New Roman"/>
        </w:rPr>
        <w:footnoteReference w:id="69"/>
      </w:r>
      <w:r w:rsidRPr="005C24F3">
        <w:rPr>
          <w:rFonts w:cs="Times New Roman"/>
        </w:rPr>
        <w:t xml:space="preserve"> sieć Natura 2000 w Polsce składa się z 987 obszarów, w tym 145 obszarów „ptasich” o łącznej powierzchnię 55 599 km</w:t>
      </w:r>
      <w:r w:rsidRPr="005C24F3">
        <w:rPr>
          <w:rFonts w:cs="Times New Roman"/>
          <w:vertAlign w:val="superscript"/>
        </w:rPr>
        <w:t>2</w:t>
      </w:r>
      <w:r w:rsidRPr="005C24F3">
        <w:rPr>
          <w:rFonts w:cs="Times New Roman"/>
        </w:rPr>
        <w:t xml:space="preserve"> </w:t>
      </w:r>
      <w:r w:rsidRPr="00B83329">
        <w:rPr>
          <w:rFonts w:cs="Times New Roman"/>
        </w:rPr>
        <w:t xml:space="preserve"> </w:t>
      </w:r>
      <w:r>
        <w:rPr>
          <w:rFonts w:cs="Times New Roman"/>
        </w:rPr>
        <w:t>(</w:t>
      </w:r>
      <w:r w:rsidRPr="00B83329">
        <w:rPr>
          <w:rFonts w:cs="Times New Roman"/>
        </w:rPr>
        <w:t>17,3% powierzchni ogólnej kraju</w:t>
      </w:r>
      <w:r>
        <w:rPr>
          <w:rFonts w:cs="Times New Roman"/>
        </w:rPr>
        <w:t xml:space="preserve">) </w:t>
      </w:r>
      <w:r w:rsidRPr="005C24F3">
        <w:rPr>
          <w:rFonts w:cs="Times New Roman"/>
        </w:rPr>
        <w:t>(z czego 7209km</w:t>
      </w:r>
      <w:r w:rsidRPr="005C24F3">
        <w:rPr>
          <w:rFonts w:cs="Times New Roman"/>
          <w:vertAlign w:val="superscript"/>
        </w:rPr>
        <w:t xml:space="preserve">2 </w:t>
      </w:r>
      <w:r w:rsidRPr="005C24F3">
        <w:rPr>
          <w:rFonts w:cs="Times New Roman"/>
        </w:rPr>
        <w:t>leży na morzu), oraz 849 obszarów „siedliskowych” zajmujących 38 510 km</w:t>
      </w:r>
      <w:r w:rsidRPr="005C24F3">
        <w:rPr>
          <w:rFonts w:cs="Times New Roman"/>
          <w:vertAlign w:val="superscript"/>
        </w:rPr>
        <w:t>2</w:t>
      </w:r>
      <w:r>
        <w:rPr>
          <w:rFonts w:cs="Times New Roman"/>
          <w:vertAlign w:val="superscript"/>
        </w:rPr>
        <w:t xml:space="preserve"> </w:t>
      </w:r>
      <w:r w:rsidRPr="005C24F3">
        <w:rPr>
          <w:rFonts w:cs="Times New Roman"/>
        </w:rPr>
        <w:t xml:space="preserve"> </w:t>
      </w:r>
      <w:r>
        <w:rPr>
          <w:rFonts w:cs="Times New Roman"/>
        </w:rPr>
        <w:t>(</w:t>
      </w:r>
      <w:r w:rsidRPr="00B83329">
        <w:rPr>
          <w:rFonts w:cs="Times New Roman"/>
        </w:rPr>
        <w:t>11,8%</w:t>
      </w:r>
      <w:r>
        <w:rPr>
          <w:rFonts w:cs="Times New Roman"/>
        </w:rPr>
        <w:t xml:space="preserve"> </w:t>
      </w:r>
      <w:r w:rsidRPr="00B83329">
        <w:rPr>
          <w:rFonts w:cs="Times New Roman"/>
        </w:rPr>
        <w:t>powierzchni ogólnej kraju</w:t>
      </w:r>
      <w:r>
        <w:rPr>
          <w:rFonts w:cs="Times New Roman"/>
        </w:rPr>
        <w:t>)</w:t>
      </w:r>
      <w:r w:rsidRPr="005C24F3">
        <w:rPr>
          <w:rFonts w:cs="Times New Roman"/>
        </w:rPr>
        <w:t xml:space="preserve"> (z czego 4 346 km</w:t>
      </w:r>
      <w:r w:rsidRPr="005C24F3">
        <w:rPr>
          <w:rFonts w:cs="Times New Roman"/>
          <w:vertAlign w:val="superscript"/>
        </w:rPr>
        <w:t xml:space="preserve">2 </w:t>
      </w:r>
      <w:r w:rsidRPr="005C24F3">
        <w:rPr>
          <w:rFonts w:cs="Times New Roman"/>
        </w:rPr>
        <w:t>leży na morzu</w:t>
      </w:r>
      <w:r w:rsidRPr="005C24F3">
        <w:rPr>
          <w:rStyle w:val="Odwoanieprzypisudolnego"/>
          <w:rFonts w:cs="Times New Roman"/>
        </w:rPr>
        <w:footnoteReference w:id="70"/>
      </w:r>
      <w:r w:rsidRPr="005C24F3">
        <w:rPr>
          <w:rFonts w:cs="Times New Roman"/>
        </w:rPr>
        <w:t>)</w:t>
      </w:r>
      <w:r w:rsidR="003211A8">
        <w:rPr>
          <w:rStyle w:val="Odwoanieprzypisudolnego"/>
          <w:rFonts w:cs="Times New Roman"/>
        </w:rPr>
        <w:footnoteReference w:id="71"/>
      </w:r>
      <w:r w:rsidR="003211A8">
        <w:rPr>
          <w:rFonts w:cs="Times New Roman"/>
        </w:rPr>
        <w:t xml:space="preserve"> </w:t>
      </w:r>
      <w:r w:rsidRPr="005C24F3">
        <w:rPr>
          <w:rFonts w:cs="Times New Roman"/>
        </w:rPr>
        <w:t>Siedem obszarów o łącznej powierzchni 3 490 km</w:t>
      </w:r>
      <w:r w:rsidRPr="005C24F3">
        <w:rPr>
          <w:rFonts w:cs="Times New Roman"/>
          <w:vertAlign w:val="superscript"/>
        </w:rPr>
        <w:t>2</w:t>
      </w:r>
      <w:r w:rsidRPr="005C24F3">
        <w:rPr>
          <w:rFonts w:cs="Times New Roman"/>
        </w:rPr>
        <w:t xml:space="preserve"> ma status „wspólnych”, tj. utworzonych zarówno dla ochrony ptaków, jak i gatunków i siedlisk przyrodniczych. W skład sieci obszarów Natura 2000 wchodzi duża część obszarów prawnie chronionych, w tym wszystkie parki narodowe i część parków krajobrazowych.</w:t>
      </w:r>
      <w:r w:rsidRPr="00B83329">
        <w:rPr>
          <w:rFonts w:cs="Times New Roman"/>
        </w:rPr>
        <w:t xml:space="preserve"> </w:t>
      </w:r>
    </w:p>
    <w:p w:rsidR="00096C06" w:rsidRDefault="00096C06" w:rsidP="003211A8">
      <w:pPr>
        <w:spacing w:after="0"/>
        <w:jc w:val="both"/>
        <w:rPr>
          <w:rFonts w:cs="Times New Roman"/>
        </w:rPr>
      </w:pPr>
    </w:p>
    <w:p w:rsidR="00096C06" w:rsidRDefault="004E65E5" w:rsidP="003211A8">
      <w:pPr>
        <w:spacing w:after="0"/>
        <w:jc w:val="both"/>
        <w:rPr>
          <w:rFonts w:cs="Times New Roman"/>
        </w:rPr>
      </w:pPr>
      <w:r w:rsidRPr="00FD4ACC">
        <w:rPr>
          <w:rFonts w:cs="Times New Roman"/>
        </w:rPr>
        <w:t xml:space="preserve">Niezależnie od współistnienia obszarów Natura 2000 i innych form ochrony przyrody, ustanawianych na podstawie prawodawstwa krajowego, należy zaznaczyć, że system obszarów chronionych w Polsce jest spójny i komplementarny. Warte podkreślenia jest, iż krajowe formy ochrony przyrody mają inne cele ochrony i posiadają odrębny reżim ochronny niż obszary Natura 2000, a za działania ochronne, nadzór oraz ich właściwe funkcjonowanie mogą być odpowiedzialne inne podmioty. Na </w:t>
      </w:r>
      <w:r w:rsidRPr="00FD4ACC">
        <w:rPr>
          <w:rFonts w:cs="Times New Roman"/>
        </w:rPr>
        <w:lastRenderedPageBreak/>
        <w:t xml:space="preserve">poziomie centralnym (parki narodowe, rezerwaty przyrody i obszary Natura 2000) zapisy ustawowe nakazują,  łączenie funkcji zarządczych tychże obszarów. Dla przykładu, co do zasady sprawującym nadzór nad obszarem Natura 2000 zlokalizowanym w danym województwie jest regionalny dyrektor ochrony środowiska, który sprawuje również nadzór nad rezerwatami przyrody. Niemniej jednak stosownie do  art. 32 ust. 5 uop w przypadku, gdy obszar Natura 2000 obejmuje w całości lub w części obszar parku narodowego, sprawującym nadzór nad obszarem Natura 2000 w granicach parku narodowego jest dyrektor parku narodowego. Współistnienie na danym terenie różnych form ochrony przyrody powoduje konieczność wypracowania właściwych dla obu form (czasem kompromisowych) synergicznych działań zmierzających do osiągania celów ochrony, co w ogólnym rozrachunku daje korzystne efekty dla przyrody i krajobrazu. </w:t>
      </w:r>
    </w:p>
    <w:p w:rsidR="00096C06" w:rsidRDefault="00096C06" w:rsidP="003211A8">
      <w:pPr>
        <w:spacing w:after="0"/>
        <w:jc w:val="both"/>
        <w:rPr>
          <w:rFonts w:cs="Times New Roman"/>
        </w:rPr>
      </w:pPr>
    </w:p>
    <w:p w:rsidR="004E65E5" w:rsidRDefault="004E65E5" w:rsidP="003211A8">
      <w:pPr>
        <w:spacing w:after="0"/>
        <w:jc w:val="both"/>
        <w:rPr>
          <w:rFonts w:ascii="Times New Roman" w:hAnsi="Times New Roman" w:cs="Times New Roman"/>
          <w:sz w:val="24"/>
          <w:szCs w:val="24"/>
        </w:rPr>
      </w:pPr>
      <w:r w:rsidRPr="00FD4ACC">
        <w:rPr>
          <w:rFonts w:cs="Times New Roman"/>
        </w:rPr>
        <w:t>Ewidentnym przykładem takiego synergicznego podejścia jest zapis art. 20 ust. 5 uop, wg którego plany ochrony dla parku narodowego, rezerwatu przyrody lub parku krajobrazowego w części pokrywającej się z obszarem Natura 2000 powinny uwzględniać zakres planu zadań ochronnych dla obszaru Natura 2000, albo zakres planu ochrony dla obszaru Natura 2000. Na poziomie wojewódzkim i lokalnym, według ustawodawcy samorządy mogą decydować, które obiekty objąć ochroną, co daje im pewną autonomię w zakresie ochrony przyrody i krajobrazu oraz stanowi element zrównoważonego, pod względem hierarchicznym, zarządzania. Nie wszystko co chronione na poziomie lokalnym mogłoby i powinno być chronione na poziomie centralnym. Dzięki takiemu układowi i zróżnicowaniu form możliwe jest objęcie ochroną pełnego</w:t>
      </w:r>
      <w:r w:rsidR="00096C06">
        <w:rPr>
          <w:rFonts w:cs="Times New Roman"/>
        </w:rPr>
        <w:t xml:space="preserve"> spektrum różnorodności form i </w:t>
      </w:r>
      <w:r w:rsidRPr="00FD4ACC">
        <w:rPr>
          <w:rFonts w:cs="Times New Roman"/>
        </w:rPr>
        <w:t>zasobów przyrodniczych kraju.</w:t>
      </w:r>
    </w:p>
    <w:p w:rsidR="00096C06" w:rsidRDefault="00096C06" w:rsidP="004E65E5">
      <w:pPr>
        <w:pStyle w:val="Listapunktowana"/>
        <w:numPr>
          <w:ilvl w:val="0"/>
          <w:numId w:val="0"/>
        </w:numPr>
        <w:spacing w:after="0" w:line="240" w:lineRule="auto"/>
        <w:contextualSpacing w:val="0"/>
        <w:jc w:val="both"/>
        <w:rPr>
          <w:rFonts w:cs="Times New Roman"/>
        </w:rPr>
      </w:pPr>
      <w:r>
        <w:rPr>
          <w:noProof/>
          <w:lang w:eastAsia="pl-PL"/>
        </w:rPr>
        <w:drawing>
          <wp:inline distT="0" distB="0" distL="0" distR="0" wp14:anchorId="4D6672D7" wp14:editId="6E50726D">
            <wp:extent cx="3545205" cy="3399790"/>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23988" t="18352" r="21139" b="15871"/>
                    <a:stretch/>
                  </pic:blipFill>
                  <pic:spPr bwMode="auto">
                    <a:xfrm>
                      <a:off x="0" y="0"/>
                      <a:ext cx="3545205" cy="3399790"/>
                    </a:xfrm>
                    <a:prstGeom prst="rect">
                      <a:avLst/>
                    </a:prstGeom>
                    <a:ln>
                      <a:noFill/>
                    </a:ln>
                    <a:extLst>
                      <a:ext uri="{53640926-AAD7-44D8-BBD7-CCE9431645EC}">
                        <a14:shadowObscured xmlns:a14="http://schemas.microsoft.com/office/drawing/2010/main"/>
                      </a:ext>
                    </a:extLst>
                  </pic:spPr>
                </pic:pic>
              </a:graphicData>
            </a:graphic>
          </wp:inline>
        </w:drawing>
      </w:r>
    </w:p>
    <w:p w:rsidR="00096C06" w:rsidRDefault="00096C06" w:rsidP="004E65E5">
      <w:pPr>
        <w:pStyle w:val="Listapunktowana"/>
        <w:numPr>
          <w:ilvl w:val="0"/>
          <w:numId w:val="0"/>
        </w:numPr>
        <w:spacing w:after="0" w:line="240" w:lineRule="auto"/>
        <w:contextualSpacing w:val="0"/>
        <w:jc w:val="both"/>
        <w:rPr>
          <w:rFonts w:cs="Times New Roman"/>
        </w:rPr>
      </w:pPr>
    </w:p>
    <w:p w:rsidR="004E65E5" w:rsidRPr="00096C06" w:rsidRDefault="004E65E5" w:rsidP="004E65E5">
      <w:pPr>
        <w:pStyle w:val="Listapunktowana"/>
        <w:numPr>
          <w:ilvl w:val="0"/>
          <w:numId w:val="0"/>
        </w:numPr>
        <w:spacing w:after="0" w:line="240" w:lineRule="auto"/>
        <w:contextualSpacing w:val="0"/>
        <w:jc w:val="both"/>
        <w:rPr>
          <w:rFonts w:cs="Times New Roman"/>
          <w:i/>
        </w:rPr>
      </w:pPr>
      <w:r w:rsidRPr="00096C06">
        <w:rPr>
          <w:rFonts w:cs="Times New Roman"/>
          <w:i/>
        </w:rPr>
        <w:t>Rys.</w:t>
      </w:r>
      <w:r w:rsidR="00096C06" w:rsidRPr="00096C06">
        <w:rPr>
          <w:rFonts w:cs="Times New Roman"/>
          <w:i/>
        </w:rPr>
        <w:t xml:space="preserve"> </w:t>
      </w:r>
      <w:r w:rsidR="001E35FE">
        <w:rPr>
          <w:rFonts w:cs="Times New Roman"/>
          <w:i/>
        </w:rPr>
        <w:t>10</w:t>
      </w:r>
      <w:r w:rsidR="00096C06" w:rsidRPr="00096C06">
        <w:rPr>
          <w:rFonts w:cs="Times New Roman"/>
          <w:i/>
        </w:rPr>
        <w:t>.3.</w:t>
      </w:r>
      <w:r w:rsidRPr="00096C06">
        <w:rPr>
          <w:rFonts w:cs="Times New Roman"/>
          <w:i/>
        </w:rPr>
        <w:t xml:space="preserve"> Obszary Natura 2000 w Polsce źródło: </w:t>
      </w:r>
      <w:hyperlink r:id="rId75" w:history="1">
        <w:r w:rsidRPr="00096C06">
          <w:rPr>
            <w:i/>
          </w:rPr>
          <w:t>http://geoserwis.gdos.gov.pl/mapy/</w:t>
        </w:r>
      </w:hyperlink>
      <w:r w:rsidRPr="00096C06">
        <w:rPr>
          <w:rFonts w:cs="Times New Roman"/>
          <w:i/>
        </w:rPr>
        <w:t xml:space="preserve"> dostęp 07.11.2017</w:t>
      </w:r>
    </w:p>
    <w:p w:rsidR="004E65E5" w:rsidRPr="00EF1BFF" w:rsidRDefault="004E65E5" w:rsidP="004E65E5">
      <w:pPr>
        <w:spacing w:after="0" w:line="240" w:lineRule="auto"/>
        <w:ind w:firstLine="709"/>
        <w:rPr>
          <w:rFonts w:ascii="Times New Roman" w:hAnsi="Times New Roman" w:cs="Times New Roman"/>
          <w:sz w:val="24"/>
          <w:szCs w:val="24"/>
        </w:rPr>
      </w:pPr>
    </w:p>
    <w:p w:rsidR="004E65E5" w:rsidRPr="004A1093" w:rsidRDefault="004E65E5" w:rsidP="00096C06">
      <w:pPr>
        <w:pStyle w:val="Tekstpodstawowyzwciciem"/>
        <w:spacing w:after="0"/>
        <w:ind w:firstLine="0"/>
        <w:jc w:val="both"/>
        <w:rPr>
          <w:rFonts w:cs="Times New Roman"/>
          <w:color w:val="000000" w:themeColor="text1"/>
        </w:rPr>
      </w:pPr>
      <w:r w:rsidRPr="004A1093">
        <w:rPr>
          <w:rFonts w:cs="Times New Roman"/>
        </w:rPr>
        <w:t xml:space="preserve">Polskim obszarom cennym przyrodniczo nadano również inne statusy międzynarodowe, </w:t>
      </w:r>
      <w:r w:rsidRPr="004A1093">
        <w:rPr>
          <w:rFonts w:cs="Times New Roman"/>
        </w:rPr>
        <w:br/>
        <w:t xml:space="preserve">a nawet światowe. Są to: </w:t>
      </w:r>
    </w:p>
    <w:p w:rsidR="004E65E5" w:rsidRPr="004A1093" w:rsidRDefault="004E65E5" w:rsidP="00096C06">
      <w:pPr>
        <w:pStyle w:val="Tekstpodstawowyzwciciem"/>
        <w:numPr>
          <w:ilvl w:val="0"/>
          <w:numId w:val="18"/>
        </w:numPr>
        <w:spacing w:after="0"/>
        <w:jc w:val="both"/>
        <w:rPr>
          <w:rFonts w:cs="Times New Roman"/>
          <w:color w:val="000000" w:themeColor="text1"/>
        </w:rPr>
      </w:pPr>
      <w:r w:rsidRPr="004A1093">
        <w:rPr>
          <w:rFonts w:cs="Times New Roman"/>
          <w:color w:val="000000" w:themeColor="text1"/>
        </w:rPr>
        <w:lastRenderedPageBreak/>
        <w:t>obszary Ramsar - Konwencja o obszarach wodno-błotnych mających znaczenie międzynarodowe, zwłaszcza jako środowisko życiowe ptactwa wodnego, zwana Konwencją Ramsarską, została podpisana w Ramsarze 2 lutego 1971 r. Dotychczas ratyfikowało ją 168 państw, które wyznaczyły 2186 obszarów wodno-błotnych o międzynarodowym znaczeniu. Celem Konwencji Ramsarskiej jest ochrona i zrównoważone użytkowanie wszystkich mokradeł poprzez działania na szczeblu krajowym i lokalnym oraz współpracę międzynarodową. Działania te stanowią wkład w osiągnięcie zrównoważonego rozwoju na całym świecie.</w:t>
      </w:r>
    </w:p>
    <w:p w:rsidR="004E65E5" w:rsidRPr="004A1093" w:rsidRDefault="004E65E5" w:rsidP="00096C06">
      <w:pPr>
        <w:pStyle w:val="Tekstpodstawowyzwciciem"/>
        <w:numPr>
          <w:ilvl w:val="0"/>
          <w:numId w:val="24"/>
        </w:numPr>
        <w:spacing w:after="0"/>
        <w:jc w:val="both"/>
        <w:rPr>
          <w:rFonts w:cs="Times New Roman"/>
          <w:color w:val="000000" w:themeColor="text1"/>
        </w:rPr>
      </w:pPr>
      <w:r w:rsidRPr="004A1093">
        <w:rPr>
          <w:rFonts w:cs="Times New Roman"/>
          <w:color w:val="000000" w:themeColor="text1"/>
        </w:rPr>
        <w:t xml:space="preserve">W Polsce jest 13 obszarów przyrody chronionej (łącznie ponad 145 tys. ha) w tym obszary 7 parków narodowych i 6 rezerwatów przyrody, wpisanych na listę konwencji ramsarskiej. Polska jest Stroną Konwencji od 22 marca 1978 r. </w:t>
      </w:r>
    </w:p>
    <w:p w:rsidR="004E65E5" w:rsidRPr="004A1093" w:rsidRDefault="004E65E5" w:rsidP="00096C06">
      <w:pPr>
        <w:pStyle w:val="Tekstpodstawowyzwciciem"/>
        <w:numPr>
          <w:ilvl w:val="0"/>
          <w:numId w:val="18"/>
        </w:numPr>
        <w:spacing w:after="0"/>
        <w:jc w:val="both"/>
        <w:rPr>
          <w:rFonts w:cs="Times New Roman"/>
          <w:color w:val="000000" w:themeColor="text1"/>
        </w:rPr>
      </w:pPr>
      <w:r w:rsidRPr="004A1093">
        <w:rPr>
          <w:rFonts w:cs="Times New Roman"/>
          <w:color w:val="000000" w:themeColor="text1"/>
        </w:rPr>
        <w:t>rezerwaty biosfery UNESCO-MaB (</w:t>
      </w:r>
      <w:r w:rsidRPr="004A1093">
        <w:rPr>
          <w:rFonts w:cs="Times New Roman"/>
          <w:i/>
          <w:color w:val="000000" w:themeColor="text1"/>
        </w:rPr>
        <w:t>Man and Biosphere</w:t>
      </w:r>
      <w:r w:rsidRPr="004A1093">
        <w:rPr>
          <w:rFonts w:cs="Times New Roman"/>
          <w:color w:val="000000" w:themeColor="text1"/>
        </w:rPr>
        <w:t xml:space="preserve">) – Międzynarodowy Program "Człowiek i Biosfera", zapoczątkowany został przez UNESCO w 1971 roku. Celem programu jest kreowanie zrównoważonych relacji między ludźmi i biosferą, zaś metodą realizacji tego zamierzenia jest tworzenie międzynarodowej Sieci Rezerwatów Biosfery. Skupia ona obecnie 669 takich obiektów w 120 krajach. 16 z nich to rezerwaty transgraniczne. Rezerwaty mają na celu ochronę różnorodności biologicznej i poprawę zdolności obserwowania zmian ekologicznych w obszarze całej planety. Służą także pobudzaniu społecznej świadomości powiązań istniejących pomiędzy różnorodnością ekologiczną i kulturową. </w:t>
      </w:r>
    </w:p>
    <w:p w:rsidR="004E65E5" w:rsidRPr="004A1093" w:rsidRDefault="004E65E5" w:rsidP="00096C06">
      <w:pPr>
        <w:pStyle w:val="Tekstpodstawowyzwciciem"/>
        <w:numPr>
          <w:ilvl w:val="0"/>
          <w:numId w:val="24"/>
        </w:numPr>
        <w:spacing w:after="0"/>
        <w:jc w:val="both"/>
        <w:rPr>
          <w:rFonts w:cs="Times New Roman"/>
          <w:color w:val="000000" w:themeColor="text1"/>
        </w:rPr>
      </w:pPr>
      <w:r w:rsidRPr="004A1093">
        <w:rPr>
          <w:rFonts w:cs="Times New Roman"/>
          <w:color w:val="000000" w:themeColor="text1"/>
        </w:rPr>
        <w:t>Na Światowej Liście Rezerwatów Biosfery UNESCO jest 10 Polskich obiektów, o łącznej pow. 717 532 ha obejmują one m.in. 7 parków narodowych i inne obszary chronione), z których 3 mają status transgraniczny (Rezerwat Biosfery „Karpaty Wschodnie”, Rezerwat  Biosfery  „Karkonosze” i „Tatrzański Rezerwat Biosfery”.</w:t>
      </w:r>
    </w:p>
    <w:p w:rsidR="004E65E5" w:rsidRPr="004A1093" w:rsidRDefault="004E65E5" w:rsidP="00096C06">
      <w:pPr>
        <w:pStyle w:val="Tekstpodstawowyzwciciem"/>
        <w:numPr>
          <w:ilvl w:val="0"/>
          <w:numId w:val="18"/>
        </w:numPr>
        <w:spacing w:after="0"/>
        <w:jc w:val="both"/>
        <w:rPr>
          <w:rFonts w:cs="Times New Roman"/>
        </w:rPr>
      </w:pPr>
      <w:r w:rsidRPr="004A1093">
        <w:rPr>
          <w:rFonts w:cs="Times New Roman"/>
        </w:rPr>
        <w:t>morskie obszary chronione HELCOM</w:t>
      </w:r>
      <w:r w:rsidRPr="004A1093">
        <w:rPr>
          <w:rStyle w:val="Odwoanieprzypisudolnego"/>
          <w:rFonts w:cs="Times New Roman"/>
        </w:rPr>
        <w:footnoteReference w:id="72"/>
      </w:r>
      <w:r w:rsidRPr="004A1093">
        <w:rPr>
          <w:rFonts w:cs="Times New Roman"/>
        </w:rPr>
        <w:t xml:space="preserve"> - Podstawowym dokumentem Konwencji Helsińskiej, wyznaczającym kierunki pracy jej stron, jest Bałtycki Plan Działania (Baltic Sea Action Plan – BSAP), podpisany przez przedstawicieli rządów krajów nadbałtyckich w 2007 r. w Krakowie. Składa się on z 4 podstawowych segmentów, z których jeden to „Bioróżnorodność i ochrona przyrody”. Ustalono w nim m.in., że strony konwencji zobowiązują się do wyznaczenia spójnej sieci Bałtyckich Obszarów Chronionych (Baltic Sea Protected Areas – BSPAs) do końca 2009 r. </w:t>
      </w:r>
    </w:p>
    <w:p w:rsidR="004E65E5" w:rsidRPr="004A1093" w:rsidRDefault="004E65E5" w:rsidP="00096C06">
      <w:pPr>
        <w:pStyle w:val="Tekstpodstawowyzwciciem"/>
        <w:numPr>
          <w:ilvl w:val="0"/>
          <w:numId w:val="24"/>
        </w:numPr>
        <w:spacing w:after="0"/>
        <w:jc w:val="both"/>
        <w:rPr>
          <w:rFonts w:cs="Times New Roman"/>
        </w:rPr>
      </w:pPr>
      <w:r w:rsidRPr="004A1093">
        <w:rPr>
          <w:rFonts w:cs="Times New Roman"/>
        </w:rPr>
        <w:t>Do tego czasu w Polsce wyznaczone były 4 obszary BSPA, pokrywające się z dwoma parkami narodowymi (Woliński Park Narodowy i Słowiński Park Narodowy) oraz z dwoma krajobrazowymi: Nadmorskim i PK Mierzeja Wiślana. Od 31 grudnia 2009 r. minister środowiska nominował pozostałe morskie obszary Natura 2000 jako obszary BSPA. Obecnie Dziewięć</w:t>
      </w:r>
      <w:r w:rsidRPr="004A1093">
        <w:rPr>
          <w:rStyle w:val="Odwoanieprzypisudolnego"/>
          <w:rFonts w:cs="Times New Roman"/>
        </w:rPr>
        <w:footnoteReference w:id="73"/>
      </w:r>
      <w:r w:rsidRPr="004A1093">
        <w:rPr>
          <w:rFonts w:cs="Times New Roman"/>
        </w:rPr>
        <w:t xml:space="preserve"> obszarów Natura 2000 o łącznej powierzchni 8 052 km</w:t>
      </w:r>
      <w:r w:rsidRPr="004A1093">
        <w:rPr>
          <w:rFonts w:cs="Times New Roman"/>
          <w:vertAlign w:val="superscript"/>
        </w:rPr>
        <w:t>2</w:t>
      </w:r>
      <w:r w:rsidRPr="004A1093">
        <w:rPr>
          <w:rFonts w:cs="Times New Roman"/>
        </w:rPr>
        <w:t xml:space="preserve">, obejmujących największe powierzchnie wód morskich, posiada status morskich obszarów chronionych HELCOM (ang.: HELCOM </w:t>
      </w:r>
      <w:r w:rsidRPr="004A1093">
        <w:rPr>
          <w:rFonts w:cs="Times New Roman"/>
          <w:i/>
        </w:rPr>
        <w:t>Marine Protected Areas</w:t>
      </w:r>
      <w:r w:rsidRPr="004A1093">
        <w:rPr>
          <w:rFonts w:cs="Times New Roman"/>
        </w:rPr>
        <w:t xml:space="preserve"> - HELCOM MPAs).</w:t>
      </w:r>
    </w:p>
    <w:p w:rsidR="004E65E5" w:rsidRPr="004A1093" w:rsidRDefault="004E65E5" w:rsidP="00096C06">
      <w:pPr>
        <w:pStyle w:val="Tekstpodstawowy"/>
        <w:spacing w:after="0"/>
        <w:jc w:val="both"/>
        <w:rPr>
          <w:color w:val="000000" w:themeColor="text1"/>
        </w:rPr>
      </w:pPr>
    </w:p>
    <w:p w:rsidR="004E65E5" w:rsidRPr="003A6993" w:rsidRDefault="004E65E5" w:rsidP="00096C06">
      <w:pPr>
        <w:pStyle w:val="Tekstpodstawowy"/>
        <w:spacing w:after="0"/>
        <w:jc w:val="both"/>
        <w:rPr>
          <w:color w:val="000000" w:themeColor="text1"/>
        </w:rPr>
      </w:pPr>
      <w:r w:rsidRPr="003A6993">
        <w:rPr>
          <w:color w:val="000000" w:themeColor="text1"/>
        </w:rPr>
        <w:t xml:space="preserve">Zrealizowano też szereg innych działań. Do dnia 1 września 2017 r. zostały ustanowione dokumenty planistyczne (tj. plany zadań ochronnych, plany ochrony rezerwatów przyrody zawierających zakres pzo oraz plany ochrony dla parków narodowych zawierających zakres pzo) dla 525 obszarów Natura 2000, co stanowi 53,2% wszystkich obszarów. W tym zostały ustanowione plany zadań ochronnych dla 504 obszarów (51,1% wszystkich obszarów). Dokumenty planistyczne ustanowione zostały dla 94 obszarów specjalnej ochrony ptaków, 429 obszarów mających znaczenie dla Wspólnoty/specjalnych </w:t>
      </w:r>
      <w:r w:rsidRPr="003A6993">
        <w:rPr>
          <w:color w:val="000000" w:themeColor="text1"/>
        </w:rPr>
        <w:lastRenderedPageBreak/>
        <w:t xml:space="preserve">obszarów ochrony siedlisk oraz 2 obszarów będących jednocześnie obszarami „ptasimi” </w:t>
      </w:r>
      <w:r w:rsidR="00096C06">
        <w:rPr>
          <w:color w:val="000000" w:themeColor="text1"/>
        </w:rPr>
        <w:br/>
      </w:r>
      <w:r w:rsidRPr="003A6993">
        <w:rPr>
          <w:color w:val="000000" w:themeColor="text1"/>
        </w:rPr>
        <w:t>i „siedliskowymi”. Opracowane zostały również projekty planów ochrony dla 7 parków narodowych.</w:t>
      </w:r>
      <w:r w:rsidRPr="003A6993">
        <w:t xml:space="preserve"> </w:t>
      </w:r>
      <w:r w:rsidRPr="003A6993">
        <w:rPr>
          <w:color w:val="000000" w:themeColor="text1"/>
        </w:rPr>
        <w:t>Do roku 2017 Generalny Dyrektor Ochrony Środowiska zatwierdził również 5 programów ochrony dla: dubelta, orlika krzykliwego, orlika grubodziobego, błotniaka łąkowego i morświna.</w:t>
      </w:r>
    </w:p>
    <w:p w:rsidR="00096C06" w:rsidRDefault="004E65E5" w:rsidP="00096C06">
      <w:pPr>
        <w:pStyle w:val="Tekstpodstawowy"/>
        <w:spacing w:after="0"/>
        <w:jc w:val="both"/>
        <w:rPr>
          <w:color w:val="000000" w:themeColor="text1"/>
        </w:rPr>
      </w:pPr>
      <w:r w:rsidRPr="003A6993">
        <w:rPr>
          <w:color w:val="000000" w:themeColor="text1"/>
        </w:rPr>
        <w:t xml:space="preserve"> </w:t>
      </w:r>
    </w:p>
    <w:p w:rsidR="004E65E5" w:rsidRDefault="004E65E5" w:rsidP="00E9571C">
      <w:pPr>
        <w:pStyle w:val="Tekstpodstawowy"/>
        <w:spacing w:after="0"/>
        <w:jc w:val="both"/>
        <w:rPr>
          <w:color w:val="000000" w:themeColor="text1"/>
        </w:rPr>
      </w:pPr>
      <w:r w:rsidRPr="003A6993">
        <w:rPr>
          <w:color w:val="000000" w:themeColor="text1"/>
        </w:rPr>
        <w:t xml:space="preserve">W 2013 r. zostały opracowane i zatwierdzone przez Ministra Środowiska </w:t>
      </w:r>
      <w:r w:rsidRPr="003A6993">
        <w:rPr>
          <w:i/>
          <w:color w:val="000000" w:themeColor="text1"/>
        </w:rPr>
        <w:t xml:space="preserve">Priorytetowe Ramy Działań dla Sieci Natura 2000 na Wieloletni Program Finansowania UE w latach 2014-2020 </w:t>
      </w:r>
      <w:r w:rsidRPr="003A6993">
        <w:rPr>
          <w:color w:val="000000" w:themeColor="text1"/>
        </w:rPr>
        <w:t>(PAF)</w:t>
      </w:r>
      <w:r w:rsidR="00096C06">
        <w:rPr>
          <w:color w:val="000000" w:themeColor="text1"/>
        </w:rPr>
        <w:t>.</w:t>
      </w:r>
      <w:r w:rsidRPr="003A6993">
        <w:rPr>
          <w:color w:val="000000" w:themeColor="text1"/>
        </w:rPr>
        <w:t xml:space="preserve"> Zawierają one analizę najpilniejszych potrzeb finansowych w kontekście stanu ochrony gatunków i typów siedlisk przyrodniczych oraz listę najistotniejszych działań niezbędnych ochrony tych że walorów przyrodniczych.</w:t>
      </w:r>
    </w:p>
    <w:p w:rsidR="00E9571C" w:rsidRDefault="00E9571C" w:rsidP="00E9571C">
      <w:pPr>
        <w:pStyle w:val="Tekstpodstawowy"/>
        <w:spacing w:after="0"/>
        <w:jc w:val="both"/>
      </w:pPr>
    </w:p>
    <w:p w:rsidR="004E65E5" w:rsidRPr="00812649" w:rsidRDefault="00E9571C" w:rsidP="00812649">
      <w:pPr>
        <w:pStyle w:val="Nagwek2"/>
      </w:pPr>
      <w:bookmarkStart w:id="80" w:name="_Toc505604941"/>
      <w:bookmarkStart w:id="81" w:name="_Toc505605334"/>
      <w:r w:rsidRPr="00812649">
        <w:t>S</w:t>
      </w:r>
      <w:r w:rsidR="004E65E5" w:rsidRPr="00812649">
        <w:t>ystem ocen oddziaływania na środowisko</w:t>
      </w:r>
      <w:bookmarkEnd w:id="80"/>
      <w:bookmarkEnd w:id="81"/>
    </w:p>
    <w:p w:rsidR="00E9571C" w:rsidRPr="000723E3" w:rsidRDefault="00E9571C" w:rsidP="00E9571C">
      <w:pPr>
        <w:jc w:val="both"/>
      </w:pPr>
      <w:r w:rsidRPr="000723E3">
        <w:t>Ocena oddziaływania na środowisko jest,</w:t>
      </w:r>
      <w:r>
        <w:t xml:space="preserve"> w Polsce i na świecie, jednym z podstawowych narzędzi ochrony środowiska i zrównoważanego rozwoju, stosowanych indywidualnie, czyli w odniesieniu do konkretnych projektów planów i programów oraz przedsięwzięć.</w:t>
      </w:r>
    </w:p>
    <w:p w:rsidR="00E9571C" w:rsidRPr="000723E3" w:rsidRDefault="00E9571C" w:rsidP="00E9571C">
      <w:pPr>
        <w:jc w:val="both"/>
      </w:pPr>
      <w:r>
        <w:t xml:space="preserve">Zgodnie z nazwą, oceny te służą określeniu wpływu planowanej ingerencji na stan środowiska. Jednak na tym nie kończy się ich rola, bowiem pojęcie to obejmuje znacznie istotniejsze - choć możliwe do realizacji po uprzedniej rzetelnej ocenie wpływu - aspekty: zapobieganie, minimalizowanie </w:t>
      </w:r>
      <w:r>
        <w:br/>
        <w:t>i kompensowanie niekorzystnych oddziaływań na środowisko, które są lub byłyby skutkiem ingerencji.</w:t>
      </w:r>
    </w:p>
    <w:p w:rsidR="00E9571C" w:rsidRPr="000723E3" w:rsidRDefault="00E9571C" w:rsidP="00E9571C">
      <w:pPr>
        <w:jc w:val="both"/>
      </w:pPr>
      <w:r>
        <w:t>Krajowy system ocen oddziaływania na środowisko obejmuje:</w:t>
      </w:r>
    </w:p>
    <w:p w:rsidR="00E9571C" w:rsidRPr="000723E3" w:rsidRDefault="00E9571C" w:rsidP="00E9571C">
      <w:pPr>
        <w:spacing w:after="0"/>
        <w:jc w:val="both"/>
      </w:pPr>
      <w:r>
        <w:t>1) strategiczne oceny oddziaływania na środowisko;</w:t>
      </w:r>
    </w:p>
    <w:p w:rsidR="00E9571C" w:rsidRPr="000723E3" w:rsidRDefault="00E9571C" w:rsidP="00E9571C">
      <w:pPr>
        <w:spacing w:after="0"/>
        <w:jc w:val="both"/>
      </w:pPr>
      <w:r>
        <w:t>2) postępowania dotyczące przedsięwzięć mogących znacząco oddziaływać na środowisko, w tym oceny oddziaływania przedsięwzięć na środowisko;</w:t>
      </w:r>
    </w:p>
    <w:p w:rsidR="00E9571C" w:rsidRDefault="00E9571C" w:rsidP="00E9571C">
      <w:pPr>
        <w:spacing w:after="0"/>
        <w:jc w:val="both"/>
      </w:pPr>
      <w:r>
        <w:t>3) postępowanie dotyczące przedsięwzięć mogących znacząco oddziaływać na obszar Natura 2000 (innych niż mogące znacząco oddziaływać na środowisko) obejmujące oceny oddziaływania przedsięwzięć na obszar Natura 2000.</w:t>
      </w:r>
    </w:p>
    <w:p w:rsidR="00E9571C" w:rsidRPr="000723E3" w:rsidRDefault="00E9571C" w:rsidP="00E9571C">
      <w:pPr>
        <w:spacing w:after="0"/>
        <w:jc w:val="both"/>
      </w:pPr>
    </w:p>
    <w:p w:rsidR="00E9571C" w:rsidRPr="000626B2" w:rsidRDefault="00E9571C" w:rsidP="00E9571C">
      <w:pPr>
        <w:jc w:val="both"/>
        <w:rPr>
          <w:u w:val="single"/>
        </w:rPr>
      </w:pPr>
      <w:r w:rsidRPr="000626B2">
        <w:rPr>
          <w:u w:val="single"/>
        </w:rPr>
        <w:t>Strategiczne oceny oddziaływania na środowisko</w:t>
      </w:r>
    </w:p>
    <w:p w:rsidR="00E9571C" w:rsidRDefault="00E9571C" w:rsidP="00E9571C">
      <w:pPr>
        <w:autoSpaceDE w:val="0"/>
        <w:autoSpaceDN w:val="0"/>
        <w:adjustRightInd w:val="0"/>
        <w:jc w:val="both"/>
      </w:pPr>
      <w:r w:rsidRPr="000723E3">
        <w:t>P</w:t>
      </w:r>
      <w:r>
        <w:t>rocedurze tej poddawane są plany i programy, których realizacja może się wiązać z wystąpieniem znaczących oddziaływań na środowisko. Celem procedury jest jak najwcześniejsza – na etapie planistycznym,  przed etapem inwestycyjnym - identyfikacja możliwości wystąpienia takich oddziaływań aby skutecznie im zapobiegać, a jeżeli to niemożliwe – ograniczać je i minimalizować ich skutki. Ważną kwestią jest także zapewnienie udziału społeczeństwa w opracowywaniu ww. dokumentów. W ramach strategicznej oceny oddziaływania na środowisko badana jest także możliwość wystąpienia oddziaływań na środowisko o charakterze transgranicznym i – jeżeli zaistnieje taka konieczność – prowadzone jest postępowanie z udziałem państw narażonych.</w:t>
      </w:r>
    </w:p>
    <w:p w:rsidR="00E9571C" w:rsidRDefault="00E9571C" w:rsidP="00E9571C">
      <w:pPr>
        <w:spacing w:before="100" w:beforeAutospacing="1" w:after="100" w:afterAutospacing="1"/>
        <w:jc w:val="both"/>
      </w:pPr>
      <w:r>
        <w:t xml:space="preserve">Aktem prawa Unii Europejskiej w zakresie strategicznej oceny oddziaływania na środowisko jest dyrektywa 2001/42/EC Parlamentu Europejskiego i Rady z dnia 27 czerwca 2001 r. w sprawie oceny oddziaływania pewnych planów i programów na środowisko. Do regulacji krajowych została transponowana ustawą z dnia 3 października 2008 r. o udostępnianiu informacji o środowisku i jego </w:t>
      </w:r>
      <w:r>
        <w:lastRenderedPageBreak/>
        <w:t>ochronie, udziale społeczeństwa w ochronie środowiska oraz o ocenach oddziaływania na środowisko (Dz. U. z 2017 r., poz. 1405, dalej: ustawa OOŚ).</w:t>
      </w:r>
    </w:p>
    <w:p w:rsidR="00E9571C" w:rsidRDefault="00E9571C" w:rsidP="00E9571C">
      <w:pPr>
        <w:spacing w:before="100" w:beforeAutospacing="1" w:after="100" w:afterAutospacing="1"/>
        <w:jc w:val="both"/>
      </w:pPr>
      <w:r>
        <w:t>Zgodnie z przepisami ustawy OOŚ, strategiczna ocena oddziaływania na środowisko jest prowadzona dla dokumentów opracowywanych lub przyjmowanych przez organy administracji albo inne podmioty wykonujące funkcje publiczne. Do tych dokumentów należą:</w:t>
      </w:r>
    </w:p>
    <w:p w:rsidR="00E9571C" w:rsidRPr="000723E3" w:rsidRDefault="00E9571C" w:rsidP="00E9571C">
      <w:pPr>
        <w:numPr>
          <w:ilvl w:val="0"/>
          <w:numId w:val="25"/>
        </w:numPr>
        <w:spacing w:before="100" w:beforeAutospacing="1" w:after="100" w:afterAutospacing="1"/>
        <w:jc w:val="both"/>
      </w:pPr>
      <w:r>
        <w:t>koncepcja przestrzennego zagospodarowania kraju, studia uwarunkowań i kierunków zagospodarowania przestrzennego gminy, plany zagospodarowania przestrzennego oraz strategie rozwoju regionalnego;</w:t>
      </w:r>
    </w:p>
    <w:p w:rsidR="00E9571C" w:rsidRPr="000723E3" w:rsidRDefault="00E9571C" w:rsidP="00E9571C">
      <w:pPr>
        <w:numPr>
          <w:ilvl w:val="0"/>
          <w:numId w:val="25"/>
        </w:numPr>
        <w:spacing w:before="100" w:beforeAutospacing="1" w:after="100" w:afterAutospacing="1"/>
        <w:jc w:val="both"/>
      </w:pPr>
      <w:r>
        <w:t>polityki, strategie, plany lub programy w dziedzinie przemysłu, energetyki, transportu, telekomunikacji, gospodarki wodnej, gospodarki odpadami, leśnictwa, rolnictwa, rybołówstwa, turystyki i wykorzystywania terenu, wyznaczające ramy dla późniejszej realizacji przedsięwzięć mogących znacząco oddziaływać na środowisko;</w:t>
      </w:r>
    </w:p>
    <w:p w:rsidR="00E9571C" w:rsidRPr="000723E3" w:rsidRDefault="00E9571C" w:rsidP="00E9571C">
      <w:pPr>
        <w:numPr>
          <w:ilvl w:val="0"/>
          <w:numId w:val="25"/>
        </w:numPr>
        <w:spacing w:before="100" w:beforeAutospacing="1" w:after="100" w:afterAutospacing="1"/>
        <w:jc w:val="both"/>
      </w:pPr>
      <w:r>
        <w:t xml:space="preserve">pozostałe polityki, strategie, plany i programy, jeżeli ich realizacja może spowodować znaczące oddziaływanie na obszar Natura 2000, jeżeli nie są one bezpośrednio związane </w:t>
      </w:r>
      <w:r>
        <w:br/>
        <w:t>z ochroną obszaru Natura 2000 lub nie wynikają z tej ochrony;</w:t>
      </w:r>
    </w:p>
    <w:p w:rsidR="00E9571C" w:rsidRDefault="00E9571C" w:rsidP="00E9571C">
      <w:pPr>
        <w:numPr>
          <w:ilvl w:val="0"/>
          <w:numId w:val="25"/>
        </w:numPr>
        <w:spacing w:before="100" w:beforeAutospacing="1" w:after="100" w:afterAutospacing="1"/>
        <w:jc w:val="both"/>
      </w:pPr>
      <w:r>
        <w:t>dokumenty inne niż wymienione, jeżeli wyznaczają one ramy dla późniejszej realizacji przedsięwzięć mogących znacząco oddziaływać na środowisko lub gdy realizacja ich postanowień może spowodować znaczące oddziaływanie na środowisko.</w:t>
      </w:r>
    </w:p>
    <w:p w:rsidR="00E9571C" w:rsidRDefault="00E9571C" w:rsidP="00E9571C">
      <w:pPr>
        <w:spacing w:before="100" w:beforeAutospacing="1" w:after="100" w:afterAutospacing="1" w:line="240" w:lineRule="auto"/>
        <w:jc w:val="both"/>
      </w:pPr>
      <w:r>
        <w:t xml:space="preserve">(przeprowadzenie strategicznej oceny oddziaływania na środowisko jest także wymagane </w:t>
      </w:r>
      <w:r>
        <w:br/>
        <w:t xml:space="preserve">w przypadku wprowadzania zmian do już przyjętych dokumentów). </w:t>
      </w:r>
    </w:p>
    <w:p w:rsidR="00E9571C" w:rsidRDefault="00E9571C" w:rsidP="00E9571C">
      <w:pPr>
        <w:spacing w:before="100" w:beforeAutospacing="1" w:after="100" w:afterAutospacing="1"/>
        <w:jc w:val="both"/>
      </w:pPr>
      <w:r>
        <w:t>Zasadnicze etapy procedury to: uzyskanie wymaganych prawem uzgodnień i opinii, opracowanie prognozy oddziaływania na środowisko, przeprowadzenie postępowania z udziałem społeczeństwa oraz sporządzenie pisemnego podsumowania, w którym znajduje się uzasadnienie wyboru przyjętego dokumentu w odniesieniu do rozpatrywanych rozwiązań alternatywnych. Powinny być w nim zawarte także informacje, w jaki sposób zostały wzięte pod uwagę i w jakim zakresie zostały uwzględnione: ustalenia zawarte w prognozie oddziaływania na środowisko; opinie właściwych organów; zgłoszone uwagi i wnioski społeczeństwa; wyniki postępowania dotyczącego transgranicznego oddziaływania na środowisko, jeżeli zostało przeprowadzone oraz propozycje dotyczące metod i częstotliwości przeprowadzania monitoringu skutków realizacji postanowień dokumentu. Organem odpowiedzialnym za przeprowadzenie strategicznej oceny oddziaływania na środowisko jest organ opracowujący dany projekt dokumentu. Generalny Dyrektor Ochrony Środowiska to organ właściwy w sprawach opiniowania dokumentów i uzgadniania zakresu prognozy oddziaływania na środowisko w przypadku projektów dokumentów opracowywanych i zmienianych przez naczelne lub centralne organy administracji rządowej oraz w przypadku gdy planowana realizacja danego dokumentu obejmuje obszar więcej niż dwóch województw. Regionalny dyrektor ochrony środowiska to organ właściwy w sprawach opiniowania dokumentów i uzgadniania zakresu prognozy oddziaływania na środowisko w przypadku projektów dokumentów opracowywanych na szczeblu regionalnym (maksymalnie 2 województwa) oraz niższym. Organ Inspekcji Sanitarnej czyli - zależnie od typu projektu dokumentu - Główny Inspektor Sanitarny, Państwowy wojewódzki inspektor sanitarny lub Państwowy powiatowy inspektor sanitarny – to organ właściwy w sprawach opiniowania dokumentów i uzgadniania zakresu prognozy oddziaływania na środowisko w zakresie wpływu ustaleń projektu dokumentu na bezpieczeństwo i zdrowie człowieka.</w:t>
      </w:r>
      <w:r w:rsidRPr="00965491">
        <w:rPr>
          <w:rFonts w:cs="TimesNewRomanPS-BoldMT"/>
          <w:b/>
          <w:bCs/>
        </w:rPr>
        <w:t xml:space="preserve"> </w:t>
      </w:r>
      <w:r w:rsidRPr="000723E3">
        <w:t xml:space="preserve">Dyrektor urzędu </w:t>
      </w:r>
      <w:r w:rsidRPr="000723E3">
        <w:lastRenderedPageBreak/>
        <w:t>morskiego jest organem właściwym w sprawach</w:t>
      </w:r>
      <w:r>
        <w:t xml:space="preserve"> opiniowania dokumentów i uzgadniania zakresu prognozy oddziaływania na środowisko w przypadku projektów dokumentów, których ustalenia mogą wywierać wpływ na obszary morskie.</w:t>
      </w:r>
    </w:p>
    <w:p w:rsidR="00E9571C" w:rsidRDefault="00E9571C" w:rsidP="00E9571C">
      <w:pPr>
        <w:autoSpaceDE w:val="0"/>
        <w:autoSpaceDN w:val="0"/>
        <w:adjustRightInd w:val="0"/>
        <w:jc w:val="both"/>
      </w:pPr>
      <w:r>
        <w:t xml:space="preserve">Średnio rocznie w każdym z województw prowadzonych jest kilkaset postępowań z zakresu strategicznych ocen oddziaływania na środowisko. Większość tych postępowań dotyczy projektów oraz projektów zmian dokumentów planistycznych z zakresu gospodarowania przestrzenią, opracowywanych na szczeblu gminy – studiów uwarunkowań i kierunków zagospodarowania przestrzennego oraz miejscowych planów zagospodarowania przestrzennego. Ponadto rocznie prowadzonych jest kilkadziesiąt postępowań dla dokumentów opracowywanych na szczeblu centralnym i/lub obejmujących obszar trzech i więcej województw, dla których rolę organu opiniująco-uzgadniającego pełni Generalny Dyrektor Ochrony Środowiska. W ostatnim czasie dużą część tych opracowań stanowiły dokumenty oraz zmiany dokumentów tworzonych w związku </w:t>
      </w:r>
      <w:r>
        <w:br/>
        <w:t>z programowaniem perspektywy finansowej UE na lata 2014-2020 (np. Program Operacyjny Infrastruktura i Środowisko 2014-2020, Program Operacyjny Polska Wschodnia 2014-2020 Program Operacyjny Rybactwo i Morze 2014-2020 Program Rozwoju Obszarów Wiejskich 2014-2020) oraz dokumenty z zakresu gospodarowania wodami (np. aktualizacje planów gospodarowania wodami, plany przeciwdziałania skutkom suszy).</w:t>
      </w:r>
    </w:p>
    <w:p w:rsidR="00E9571C" w:rsidRPr="000723E3" w:rsidRDefault="00E9571C" w:rsidP="00E9571C">
      <w:pPr>
        <w:autoSpaceDE w:val="0"/>
        <w:autoSpaceDN w:val="0"/>
        <w:adjustRightInd w:val="0"/>
        <w:jc w:val="both"/>
      </w:pPr>
    </w:p>
    <w:p w:rsidR="00E9571C" w:rsidRPr="000626B2" w:rsidRDefault="00E9571C" w:rsidP="00E9571C">
      <w:pPr>
        <w:jc w:val="both"/>
        <w:rPr>
          <w:u w:val="single"/>
        </w:rPr>
      </w:pPr>
      <w:r w:rsidRPr="000626B2">
        <w:rPr>
          <w:u w:val="single"/>
        </w:rPr>
        <w:t xml:space="preserve">Postępowania dotyczące przedsięwzięć mogących znacząco oddziaływać na środowisko </w:t>
      </w:r>
    </w:p>
    <w:p w:rsidR="00E9571C" w:rsidRDefault="00E9571C" w:rsidP="00E9571C">
      <w:pPr>
        <w:pStyle w:val="Bezodstpw"/>
        <w:spacing w:line="276" w:lineRule="auto"/>
        <w:jc w:val="both"/>
      </w:pPr>
      <w:r w:rsidRPr="000723E3">
        <w:t xml:space="preserve">Ocena odziaływania na środowisko jako narzędzie ochrony środowiska utożsamiana jest </w:t>
      </w:r>
      <w:r>
        <w:t>zazwyczaj z przedsięwzięciami mogącymi znacząco oddziaływać na środowisko. Podstawę do przeprowadzania postepowań ocenowych w prawodawstwie UE stanowi dyrektywa Parlamentu Europejskiego i Rady 2011/92/UE  z dnia 13 grudnia 2011 r. w sprawie oceny skutków wywieranych  przez niektóre przedsięwzięcia publiczne i prywatne na środowisko (dalej: dyrektywa ooś), natomiast w warunkach Polski  dziedzinę tę reguluje ww. ustawa ooś. Wyróżnia się dwie kategorie wymienionych przedsięwzięć, którymi, wg nazewnictwa polskiego, są przedsięwzięcia:</w:t>
      </w:r>
    </w:p>
    <w:p w:rsidR="00E9571C" w:rsidRDefault="00E9571C" w:rsidP="00E9571C">
      <w:pPr>
        <w:numPr>
          <w:ilvl w:val="0"/>
          <w:numId w:val="25"/>
        </w:numPr>
        <w:spacing w:before="100" w:beforeAutospacing="1" w:after="100" w:afterAutospacing="1"/>
        <w:jc w:val="both"/>
      </w:pPr>
      <w:r>
        <w:t>mogące zawsze znacząco oddziaływać na środowisko;</w:t>
      </w:r>
    </w:p>
    <w:p w:rsidR="00E9571C" w:rsidRDefault="00E9571C" w:rsidP="00E9571C">
      <w:pPr>
        <w:numPr>
          <w:ilvl w:val="0"/>
          <w:numId w:val="25"/>
        </w:numPr>
        <w:spacing w:before="100" w:beforeAutospacing="1" w:after="100" w:afterAutospacing="1"/>
        <w:jc w:val="both"/>
      </w:pPr>
      <w:r>
        <w:t>mogące potencjalnie znacząco oddziaływać na środowisko.</w:t>
      </w:r>
    </w:p>
    <w:p w:rsidR="00E9571C" w:rsidRDefault="00E9571C" w:rsidP="00E9571C">
      <w:pPr>
        <w:pStyle w:val="Bezodstpw"/>
        <w:spacing w:line="276" w:lineRule="auto"/>
        <w:jc w:val="both"/>
      </w:pPr>
      <w:r>
        <w:t>Pierwsze z nich, wymienione w załączniku I dyrektywy ooś (prawo UE) oraz § 2 rozporządzenia Rady Ministrów z dnia 9 listopada 2010 r. w sprawie przedsięwzięć mogących znacząco oddziaływać na środowisko (transpozycja krajowa), każdorazowo wymagają przeprowadzenia oceny oddziaływania przedsięwzięcia na środowisko. Ocena ta obejmuje w szczególności:</w:t>
      </w:r>
    </w:p>
    <w:p w:rsidR="00E9571C" w:rsidRDefault="00E9571C" w:rsidP="00E9571C">
      <w:pPr>
        <w:numPr>
          <w:ilvl w:val="0"/>
          <w:numId w:val="25"/>
        </w:numPr>
        <w:spacing w:before="100" w:beforeAutospacing="1" w:after="100" w:afterAutospacing="1"/>
        <w:jc w:val="both"/>
      </w:pPr>
      <w:r>
        <w:t>weryfikację raportu o oddziaływaniu przedsięwzięcia na środowisko;</w:t>
      </w:r>
    </w:p>
    <w:p w:rsidR="00E9571C" w:rsidRDefault="00E9571C" w:rsidP="00E9571C">
      <w:pPr>
        <w:numPr>
          <w:ilvl w:val="0"/>
          <w:numId w:val="25"/>
        </w:numPr>
        <w:spacing w:before="100" w:beforeAutospacing="1" w:after="100" w:afterAutospacing="1"/>
        <w:jc w:val="both"/>
      </w:pPr>
      <w:r>
        <w:t>uzyskanie wymaganych ustawą opinii i uzgodnień;</w:t>
      </w:r>
    </w:p>
    <w:p w:rsidR="00E9571C" w:rsidRDefault="00E9571C" w:rsidP="00E9571C">
      <w:pPr>
        <w:numPr>
          <w:ilvl w:val="0"/>
          <w:numId w:val="25"/>
        </w:numPr>
        <w:spacing w:before="100" w:beforeAutospacing="1" w:after="100" w:afterAutospacing="1"/>
        <w:jc w:val="both"/>
      </w:pPr>
      <w:r>
        <w:t>zapewnienie możliwości udziału społeczeństwa w postepowaniu.</w:t>
      </w:r>
    </w:p>
    <w:p w:rsidR="00E9571C" w:rsidRDefault="00E9571C" w:rsidP="00E9571C">
      <w:pPr>
        <w:pStyle w:val="Bezodstpw"/>
        <w:spacing w:line="276" w:lineRule="auto"/>
        <w:jc w:val="both"/>
      </w:pPr>
    </w:p>
    <w:p w:rsidR="00E9571C" w:rsidRDefault="00E9571C" w:rsidP="00E9571C">
      <w:pPr>
        <w:pStyle w:val="Bezodstpw"/>
        <w:spacing w:line="276" w:lineRule="auto"/>
        <w:jc w:val="both"/>
      </w:pPr>
      <w:r>
        <w:t xml:space="preserve">W odniesieniu do przedsięwzięć zaliczonych do drugiej z kategorii, </w:t>
      </w:r>
      <w:r w:rsidRPr="00056CCE">
        <w:t>wymienion</w:t>
      </w:r>
      <w:r>
        <w:t>ych</w:t>
      </w:r>
      <w:r w:rsidRPr="00056CCE">
        <w:t xml:space="preserve"> w załączniku </w:t>
      </w:r>
      <w:r>
        <w:t>I</w:t>
      </w:r>
      <w:r w:rsidRPr="00056CCE">
        <w:t xml:space="preserve">I dyrektywy ooś oraz § </w:t>
      </w:r>
      <w:r>
        <w:t>3</w:t>
      </w:r>
      <w:r w:rsidRPr="00056CCE">
        <w:t xml:space="preserve"> </w:t>
      </w:r>
      <w:r>
        <w:t xml:space="preserve">ww. </w:t>
      </w:r>
      <w:r w:rsidRPr="00056CCE">
        <w:t>rozporządzenia Rady Ministrów</w:t>
      </w:r>
      <w:r>
        <w:t>,</w:t>
      </w:r>
      <w:r w:rsidRPr="00056CCE">
        <w:t xml:space="preserve"> </w:t>
      </w:r>
      <w:r>
        <w:t xml:space="preserve">potrzeba przeprowadzenia oceny </w:t>
      </w:r>
      <w:r>
        <w:lastRenderedPageBreak/>
        <w:t xml:space="preserve">oddziaływania przedsięwzięcia na środowisk analizowana jest indywidulanie dla przedsięwzięć </w:t>
      </w:r>
      <w:r>
        <w:br/>
        <w:t>o określonym zakresie i lokalizacji. W wyniku analizy oddziaływania tych przedsięwzięć możliwe jest, m.in. na podstawie karty informacyjnej przedsięwzięcia, stwierdzenie przez organ, że przedsięwzięcie mogące potencjalnie znacząco oddziaływać na środowisko:</w:t>
      </w:r>
    </w:p>
    <w:p w:rsidR="00E9571C" w:rsidRDefault="00E9571C" w:rsidP="00E9571C">
      <w:pPr>
        <w:pStyle w:val="Bezodstpw"/>
        <w:numPr>
          <w:ilvl w:val="0"/>
          <w:numId w:val="26"/>
        </w:numPr>
        <w:spacing w:line="276" w:lineRule="auto"/>
        <w:jc w:val="both"/>
      </w:pPr>
      <w:r>
        <w:t>wymaga przeprowadzenia oceny oddziaływania przedsięwzięcia na środowisko (wówczas postępowanie jest analogiczne jak dla przedsięwzięć mogących zawsze znacząco oddziaływać na środowisko);</w:t>
      </w:r>
    </w:p>
    <w:p w:rsidR="00E9571C" w:rsidRDefault="00E9571C" w:rsidP="00E9571C">
      <w:pPr>
        <w:pStyle w:val="Bezodstpw"/>
        <w:numPr>
          <w:ilvl w:val="0"/>
          <w:numId w:val="26"/>
        </w:numPr>
        <w:spacing w:line="276" w:lineRule="auto"/>
        <w:jc w:val="both"/>
      </w:pPr>
      <w:r>
        <w:t xml:space="preserve">nie wymaga przeprowadzenia  oceny oddziaływania przedsięwzięcia na środowisko </w:t>
      </w:r>
      <w:r>
        <w:br/>
        <w:t>a w ramach postpowania ustalono warunki realizacji przedsięwzięcia;</w:t>
      </w:r>
    </w:p>
    <w:p w:rsidR="00E9571C" w:rsidRDefault="00E9571C" w:rsidP="00E9571C">
      <w:pPr>
        <w:pStyle w:val="Bezodstpw"/>
        <w:numPr>
          <w:ilvl w:val="0"/>
          <w:numId w:val="26"/>
        </w:numPr>
        <w:spacing w:line="276" w:lineRule="auto"/>
        <w:jc w:val="both"/>
      </w:pPr>
      <w:r>
        <w:t xml:space="preserve">nie wymaga przeprowadzenia  oceny oddziaływania przedsięwzięcia na środowisko ani ustalenia warunków realizacji przedsięwzięcia. </w:t>
      </w:r>
    </w:p>
    <w:p w:rsidR="00E9571C" w:rsidRDefault="00E9571C" w:rsidP="00E9571C">
      <w:pPr>
        <w:pStyle w:val="Bezodstpw"/>
        <w:spacing w:line="276" w:lineRule="auto"/>
        <w:ind w:left="720"/>
        <w:jc w:val="both"/>
      </w:pPr>
    </w:p>
    <w:p w:rsidR="00E9571C" w:rsidRDefault="00E9571C" w:rsidP="00E9571C">
      <w:pPr>
        <w:jc w:val="both"/>
      </w:pPr>
      <w:r>
        <w:t>Wymienione postępowania prowadzone są w ramach procedur administracyjnych, regulowanych kodeksem postępowania administracyjnego, zmierzających do wydania decyzji o środowiskowych uwarunkowaniach (decyzję te wydaje się wyłącznie dla przedsięwzięć mogących znacząco oddziaływać na środowisko, bez względu na potrzebę przeprowadzenia oceny oddziaływania przedsięwzięcia na środowisko).</w:t>
      </w:r>
    </w:p>
    <w:p w:rsidR="00E9571C" w:rsidRDefault="00E9571C" w:rsidP="00E9571C">
      <w:pPr>
        <w:pStyle w:val="Bezodstpw"/>
        <w:spacing w:line="276" w:lineRule="auto"/>
        <w:jc w:val="both"/>
      </w:pPr>
      <w:r>
        <w:t xml:space="preserve"> W przypadku obu grup przedsięwzięć, kiedy prowadzona była ocena oddziaływania przedsięwzięcia na środowisko, możliwe jest zastosowanie ponownej oceny oddziaływania na środowisko. Procedura ta odbywa się zazwyczaj w ramach postępowania zmierzającego do wydania pozwolenia na budowę, nie jest związana z koniecznością uzyskania kolejnej decyzji o środowiskowych uwarunkowaniach, </w:t>
      </w:r>
      <w:r>
        <w:br/>
        <w:t xml:space="preserve">i posiada charakter korygujący. </w:t>
      </w:r>
    </w:p>
    <w:p w:rsidR="00E9571C" w:rsidRDefault="00E9571C" w:rsidP="00E9571C">
      <w:pPr>
        <w:pStyle w:val="Bezodstpw"/>
        <w:spacing w:line="276" w:lineRule="auto"/>
        <w:jc w:val="both"/>
      </w:pPr>
    </w:p>
    <w:p w:rsidR="00E9571C" w:rsidRDefault="00E9571C" w:rsidP="00E9571C">
      <w:pPr>
        <w:pStyle w:val="Bezodstpw"/>
        <w:spacing w:line="276" w:lineRule="auto"/>
        <w:jc w:val="both"/>
      </w:pPr>
      <w:r>
        <w:t>Bez względu na przyjęty sposób postepowania, działania związane z oceną oddziaływania przedsięwzięcia na środowisko, ukierunkowane są na ustalenie indywidulanych metod skutecznej ochrony środowiska, jeszcze przed podjęciem przedsięwzięcia. Mają charakter prewencyjny, stanowiąc podstawowe narzędzie zrównoważonego rozwoju.</w:t>
      </w:r>
    </w:p>
    <w:p w:rsidR="00E9571C" w:rsidRDefault="00E9571C" w:rsidP="00E9571C">
      <w:pPr>
        <w:pStyle w:val="Bezodstpw"/>
        <w:spacing w:line="276" w:lineRule="auto"/>
        <w:jc w:val="both"/>
      </w:pPr>
    </w:p>
    <w:p w:rsidR="00E9571C" w:rsidRDefault="00E9571C" w:rsidP="00E9571C">
      <w:pPr>
        <w:pStyle w:val="Bezodstpw"/>
        <w:spacing w:line="276" w:lineRule="auto"/>
        <w:jc w:val="both"/>
      </w:pPr>
      <w:r>
        <w:t>Organami właściwymi do wydania decyzji o środowiskowych uwarunkowaniach są głównie regionalni dyrektorzy ochrony środowiska (rdoś), wójtowie, burmistrzowie i prezydenci miast. Istotne jest, że w postępowaniach prowadzonych przez organy inne niż rdoś, rdoś również uczestniczy wypowiadając się w zakresie potrzeby przeprowadzania oceny oddziaływania przedsięwzięcia na środowisko oraz ustalenia warunków realizacji przedsięwzięcia.</w:t>
      </w:r>
    </w:p>
    <w:p w:rsidR="00E9571C" w:rsidRDefault="00E9571C" w:rsidP="00E9571C">
      <w:pPr>
        <w:pStyle w:val="Bezodstpw"/>
        <w:spacing w:line="276" w:lineRule="auto"/>
        <w:jc w:val="both"/>
      </w:pPr>
    </w:p>
    <w:p w:rsidR="00E9571C" w:rsidRDefault="00E9571C" w:rsidP="00E9571C">
      <w:pPr>
        <w:pStyle w:val="Bezodstpw"/>
        <w:spacing w:line="276" w:lineRule="auto"/>
        <w:jc w:val="both"/>
      </w:pPr>
      <w:r>
        <w:t>Każdego roku w Polsce prowadzonych jest kilkanaście tysięcy postępowań w sprawie wydania decyzji o środowiskowych uwarunkowaniach.</w:t>
      </w:r>
    </w:p>
    <w:p w:rsidR="00E9571C" w:rsidRDefault="00E9571C" w:rsidP="00E9571C">
      <w:pPr>
        <w:pStyle w:val="Bezodstpw"/>
        <w:spacing w:line="276" w:lineRule="auto"/>
        <w:jc w:val="both"/>
      </w:pPr>
    </w:p>
    <w:p w:rsidR="00E9571C" w:rsidRDefault="00E9571C" w:rsidP="00E9571C">
      <w:pPr>
        <w:pStyle w:val="Bezodstpw"/>
        <w:spacing w:line="276" w:lineRule="auto"/>
        <w:jc w:val="both"/>
      </w:pPr>
      <w:r>
        <w:t>W ramach strategicznych ocen oddziaływania na środowisko oraz postępowań dotyczących przedsięwzięć mogących znacząco oddziaływać na środowisko uwzględniane są aspekty:</w:t>
      </w:r>
    </w:p>
    <w:p w:rsidR="00E9571C" w:rsidRDefault="00E9571C" w:rsidP="00E9571C">
      <w:pPr>
        <w:pStyle w:val="Bezodstpw"/>
        <w:numPr>
          <w:ilvl w:val="0"/>
          <w:numId w:val="27"/>
        </w:numPr>
        <w:spacing w:line="276" w:lineRule="auto"/>
        <w:jc w:val="both"/>
      </w:pPr>
      <w:r>
        <w:t>regulowane dyrektywą Rady 92/43/EWG  z dnia 21 maja 1992 r. o ochronie siedlisk przyrodniczych oraz dziko żyjącej fauny i flory,</w:t>
      </w:r>
    </w:p>
    <w:p w:rsidR="00E9571C" w:rsidRDefault="00E9571C" w:rsidP="00E9571C">
      <w:pPr>
        <w:pStyle w:val="Bezodstpw"/>
        <w:numPr>
          <w:ilvl w:val="0"/>
          <w:numId w:val="27"/>
        </w:numPr>
        <w:spacing w:line="276" w:lineRule="auto"/>
        <w:jc w:val="both"/>
      </w:pPr>
      <w:r>
        <w:t>regulowane dyrektywą Parlamentu Europejskiego i Rady 2009/147/WE  z dnia 30 listopada 2009 r. w sprawie ochrony dzikiego ptactwa,</w:t>
      </w:r>
    </w:p>
    <w:p w:rsidR="00E9571C" w:rsidRPr="00965491" w:rsidRDefault="00E9571C" w:rsidP="00E9571C">
      <w:pPr>
        <w:pStyle w:val="Bezodstpw"/>
        <w:numPr>
          <w:ilvl w:val="0"/>
          <w:numId w:val="27"/>
        </w:numPr>
        <w:spacing w:line="276" w:lineRule="auto"/>
        <w:jc w:val="both"/>
        <w:rPr>
          <w:rFonts w:cs="Arial"/>
          <w:color w:val="222222"/>
          <w:shd w:val="clear" w:color="auto" w:fill="FFFFFF"/>
        </w:rPr>
      </w:pPr>
      <w:r>
        <w:lastRenderedPageBreak/>
        <w:t>regulowane d</w:t>
      </w:r>
      <w:r w:rsidRPr="00965491">
        <w:rPr>
          <w:rFonts w:cs="Arial"/>
          <w:color w:val="222222"/>
          <w:shd w:val="clear" w:color="auto" w:fill="FFFFFF"/>
        </w:rPr>
        <w:t>yrektywą 2000/60/WE Parlamentu Europejskiego i Rady z dnia 23 października 2000 r. ustanawiająca ramy wspólnotowego działania w dziedzinie polityki wodnej,</w:t>
      </w:r>
    </w:p>
    <w:p w:rsidR="00E9571C" w:rsidRDefault="00E9571C" w:rsidP="00E9571C">
      <w:pPr>
        <w:pStyle w:val="Bezodstpw"/>
        <w:numPr>
          <w:ilvl w:val="0"/>
          <w:numId w:val="27"/>
        </w:numPr>
        <w:spacing w:line="276" w:lineRule="auto"/>
        <w:jc w:val="both"/>
        <w:rPr>
          <w:rFonts w:cs="Arial"/>
          <w:color w:val="222222"/>
          <w:shd w:val="clear" w:color="auto" w:fill="FFFFFF"/>
        </w:rPr>
      </w:pPr>
      <w:r w:rsidRPr="00965491">
        <w:rPr>
          <w:rFonts w:cs="Arial"/>
          <w:color w:val="222222"/>
          <w:shd w:val="clear" w:color="auto" w:fill="FFFFFF"/>
        </w:rPr>
        <w:t>związane z łagodzeniem zmian klimatu i adaptacją do zmian klimatu.</w:t>
      </w:r>
    </w:p>
    <w:p w:rsidR="00E9571C" w:rsidRPr="00E9571C" w:rsidRDefault="00E9571C" w:rsidP="00E9571C">
      <w:pPr>
        <w:pStyle w:val="Bezodstpw"/>
        <w:spacing w:line="276" w:lineRule="auto"/>
        <w:ind w:left="720"/>
        <w:jc w:val="both"/>
        <w:rPr>
          <w:rFonts w:cs="Arial"/>
          <w:color w:val="222222"/>
          <w:shd w:val="clear" w:color="auto" w:fill="FFFFFF"/>
        </w:rPr>
      </w:pPr>
    </w:p>
    <w:p w:rsidR="00E9571C" w:rsidRDefault="00E9571C" w:rsidP="00E9571C">
      <w:pPr>
        <w:jc w:val="both"/>
      </w:pPr>
      <w:r>
        <w:t xml:space="preserve">Podkreślenia wymaga, że w przypadku ocen projektów dokumentów oraz planowanych przedsięwzięć możliwe jest wystąpienie oddziaływań wykraczających poza granice Polski. W takich przypadkach podejmowane jest postępowanie w sprawie transgranicznego oddziaływania na środowisko. Krajowe podstawy prawne tej procedury określone są w ustawie ooś, natomiast międzynarodowym instrumentem prawnym, poświęconym ocenom oddziaływania na środowisko w kontekście transgranicznym dla planowanych przedsięwzięć mogących znacząco negatywnie oddziaływać na terytorium innego państwa jest Konwencja z Espoo (Konwencja o Ocenach Oddziaływania na Środowisko w Kontekście Transgranicznym sporządzona w Espoo 25 lutego 1991 r.). Został do niej podpisany tzw. Protokół Strategiczny (Protokół w sprawie strategicznej oceny oddziaływania na środowisko do Konwencji o ocenach oddziaływania na środowisko w kontekście transgranicznym sporządzony w Kijowie 21 maja 2003 r.), którego postanowienia stosuje się </w:t>
      </w:r>
      <w:r>
        <w:br/>
        <w:t>w odniesieniu do projektów dokumentów strategicznych czyli planów, programów czy polityk. Polska jest stroną obu tych instrumentów prawnych.</w:t>
      </w:r>
    </w:p>
    <w:p w:rsidR="00E9571C" w:rsidRDefault="00E9571C" w:rsidP="00E9571C">
      <w:pPr>
        <w:autoSpaceDE w:val="0"/>
        <w:autoSpaceDN w:val="0"/>
        <w:adjustRightInd w:val="0"/>
        <w:jc w:val="both"/>
      </w:pPr>
      <w:r>
        <w:t xml:space="preserve">Celem postępowań transgranicznych jest zapewnienie udziału w postępowaniu państwa narażonego, w tym przeprowadzenie w tym państwie postępowania z udziałem społeczeństwa. Uwagi zgłoszone w trakcie postępowania są brane pod uwagę przy formułowaniu ostatecznej treści dokumentu/decyzji. W ostatnich latach Polska uczestniczyła wielokrotnie w procedurze transgranicznej, zarówno jako strona pochodzenia jak i strona narażona. W przypadku, gdy skutki realizacji projektów dokumentów strategicznych opracowywanych przez stronę polską mogły spowodować oddziaływania o charakterze transgranicznym na terytorium innych państw, Polska jako strona pochodzenia skutecznie notyfikowała strony narażenia i przeprowadzała pełną procedurę zgodnie z art. 7 Dyrektywy SEA i art. 10 Protokołu Strategicznego. Ocena ta prowadzona była </w:t>
      </w:r>
      <w:r>
        <w:br/>
        <w:t xml:space="preserve">w większości przypadków dla dokumentów o charakterze planistycznym takich jak: plany zagospodarowania przestrzennego na poziomie lokalnym oraz regionalnym oraz studia uwarunkowań i kierunków zagospodarowania przestrzennego gmin. Ponadto, Polska przeprowadziła postępowanie transgraniczne SEA dla Programu Polskiej Energetyki Jądrowej notyfikując 10 państw </w:t>
      </w:r>
      <w:r>
        <w:br/>
        <w:t xml:space="preserve">a następnie wchodząc w pełną procedurę konsultacji transgranicznych z 7 państwami. Z kolei </w:t>
      </w:r>
      <w:r>
        <w:br/>
        <w:t>w sytuacji, gdy Polska była stroną narażoną procedurę transgranicznej SEA, postępowania prowadzono przede wszystkim dla dokumentów planistycznych dotyczących zagospodarowania przestrzennego, w tym głównie na potrzeby realizacji konkretnych przedsięwzięć, np. farm wiatrowych czy elektrowni jądrowych. Ponadto, procedurę tę prowadzono dla projektów dokumentów w następujących branżach: energetyka (głównie dokumenty związane z energetyką wiatrową i jądrową), transport, górnictwo, ochrona przeciwpowodziowa, rozwój regionalny, programy operacyjne. Organem środowiskowym uczestniczącym w postępowaniach transgranicznych w ramach strategicznej oceny oddziaływania na środowisko jest Generalny Dyrektor Ochrony Środowiska.</w:t>
      </w:r>
    </w:p>
    <w:p w:rsidR="00E9571C" w:rsidRPr="000626B2" w:rsidRDefault="00E9571C" w:rsidP="00E9571C">
      <w:pPr>
        <w:jc w:val="both"/>
      </w:pPr>
      <w:r w:rsidRPr="000626B2">
        <w:rPr>
          <w:u w:val="single"/>
        </w:rPr>
        <w:t>Postępowania dotyczące przedsięwzięć mogących znacząco oddziaływać na obszar Natura 2000</w:t>
      </w:r>
    </w:p>
    <w:p w:rsidR="00E9571C" w:rsidRDefault="00E9571C" w:rsidP="00E9571C">
      <w:pPr>
        <w:jc w:val="both"/>
      </w:pPr>
      <w:r>
        <w:t xml:space="preserve">W odniesieniu do jakichkolwiek ingerencji niewymienionych w ww. rozporządzeniu Rady Ministrów, niezbędne jest rozważenie ich wpływu na obszaru Natura 2000. Wynika to z faktu, że w myśl art. 6 </w:t>
      </w:r>
      <w:r>
        <w:lastRenderedPageBreak/>
        <w:t xml:space="preserve">ust. 3 dyrektywy </w:t>
      </w:r>
      <w:r w:rsidRPr="00056CCE">
        <w:t>Rady 92/43/EWG  z dnia 21 maja 1992 r. o ochronie siedlisk przyrodniczych oraz dziko żyjącej fauny i flory,</w:t>
      </w:r>
      <w:r>
        <w:t xml:space="preserve"> wszystkie przedsięwzięcia – a nie tylko mogące znacząco oddziaływać na środowisko – wymagają analizy w zakresie możliwości oddziaływania na obszary Natura 2000. </w:t>
      </w:r>
    </w:p>
    <w:p w:rsidR="00E9571C" w:rsidRDefault="00E9571C" w:rsidP="00E9571C">
      <w:pPr>
        <w:jc w:val="both"/>
      </w:pPr>
      <w:r>
        <w:t xml:space="preserve">Analizy w tym zakresie, przy udziale rdoś, prowadzone są w ramach postępowań zmierzających do wydania różnych zezwoleń inwestycyjnych, m.in.: decyzji o warunkach zabudowy i zagospodarowania terenu i pozwoleń na budowę. </w:t>
      </w:r>
    </w:p>
    <w:p w:rsidR="00504EE2" w:rsidRDefault="00E9571C" w:rsidP="00812649">
      <w:pPr>
        <w:jc w:val="both"/>
      </w:pPr>
      <w:r>
        <w:t>Polski system ocen oddziaływania na środowisko, zgodny z wymogami prawa międzynarodowego, jest konstrukcją sprawnie funkcjonującą i pozytywnie ocenianą. Wraz z prawnymi instytucjami zgłoszeń i decyzji zezwalających na realizację przedsięwzięć stanowi istotny e</w:t>
      </w:r>
      <w:r w:rsidR="00812649">
        <w:t>lement zrównoważonego rozwoju.</w:t>
      </w:r>
    </w:p>
    <w:p w:rsidR="00504EE2" w:rsidRDefault="00504EE2" w:rsidP="00956E3C">
      <w:pPr>
        <w:pStyle w:val="Akapitzlist"/>
        <w:tabs>
          <w:tab w:val="left" w:pos="5295"/>
        </w:tabs>
        <w:rPr>
          <w:lang w:eastAsia="pl-PL"/>
        </w:rPr>
      </w:pPr>
    </w:p>
    <w:p w:rsidR="00504EE2" w:rsidRDefault="00504EE2"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812649" w:rsidRDefault="00812649" w:rsidP="00812649">
      <w:pPr>
        <w:tabs>
          <w:tab w:val="left" w:pos="5295"/>
        </w:tabs>
        <w:rPr>
          <w:lang w:eastAsia="pl-PL"/>
        </w:rPr>
      </w:pPr>
    </w:p>
    <w:p w:rsidR="001E35FE" w:rsidRPr="001E35FE" w:rsidRDefault="001E35FE" w:rsidP="001E35FE">
      <w:pPr>
        <w:pStyle w:val="Nagwek1"/>
        <w:numPr>
          <w:ilvl w:val="0"/>
          <w:numId w:val="5"/>
        </w:numPr>
        <w:spacing w:after="240"/>
      </w:pPr>
      <w:bookmarkStart w:id="82" w:name="_Toc505604942"/>
      <w:bookmarkStart w:id="83" w:name="_Toc505605335"/>
      <w:r w:rsidRPr="001E35FE">
        <w:lastRenderedPageBreak/>
        <w:t>Technologie środowiskowe</w:t>
      </w:r>
      <w:bookmarkEnd w:id="82"/>
      <w:bookmarkEnd w:id="83"/>
    </w:p>
    <w:p w:rsidR="00504EE2" w:rsidRPr="00812649" w:rsidRDefault="00504EE2" w:rsidP="00812649">
      <w:pPr>
        <w:pStyle w:val="Nagwek2"/>
      </w:pPr>
      <w:bookmarkStart w:id="84" w:name="_Toc505604943"/>
      <w:bookmarkStart w:id="85" w:name="_Toc505605336"/>
      <w:r w:rsidRPr="00812649">
        <w:t>Ekoinnowacje</w:t>
      </w:r>
      <w:bookmarkEnd w:id="84"/>
      <w:bookmarkEnd w:id="85"/>
    </w:p>
    <w:p w:rsidR="00504EE2" w:rsidRPr="00967EF3" w:rsidRDefault="00504EE2" w:rsidP="00504EE2">
      <w:pPr>
        <w:jc w:val="both"/>
        <w:rPr>
          <w:i/>
        </w:rPr>
      </w:pPr>
      <w:r w:rsidRPr="00A739E7">
        <w:t>Ekoinnowacje przyczyniają się do poprawy efektywności wykorzystania zasobów w gospodarce</w:t>
      </w:r>
      <w:r>
        <w:t xml:space="preserve"> </w:t>
      </w:r>
      <w:r w:rsidRPr="00A739E7">
        <w:t xml:space="preserve">oraz </w:t>
      </w:r>
      <w:r>
        <w:t xml:space="preserve">do </w:t>
      </w:r>
      <w:r w:rsidRPr="00A739E7">
        <w:t>zmniejszenia negatywnego wpływu działalności człowieka na środowisko. Oprócz</w:t>
      </w:r>
      <w:r>
        <w:t xml:space="preserve"> </w:t>
      </w:r>
      <w:r w:rsidRPr="00A739E7">
        <w:t>wymiaru ekologicznego</w:t>
      </w:r>
      <w:r>
        <w:t>,</w:t>
      </w:r>
      <w:r w:rsidRPr="00A739E7">
        <w:t xml:space="preserve"> istotny jest również aspekt ekonomiczny </w:t>
      </w:r>
      <w:r>
        <w:t xml:space="preserve">i społeczny </w:t>
      </w:r>
      <w:r w:rsidRPr="00A739E7">
        <w:t>– ich wprowadzenie przyczynia</w:t>
      </w:r>
      <w:r>
        <w:t xml:space="preserve"> </w:t>
      </w:r>
      <w:r w:rsidRPr="00A739E7">
        <w:t>się do zmniejszenia kosztów działalności, wykorzystania nowych możliwości rozwoju, kreowania</w:t>
      </w:r>
      <w:r>
        <w:t xml:space="preserve"> </w:t>
      </w:r>
      <w:r w:rsidRPr="00A739E7">
        <w:t>pozytywnego wizerunku jednostki, a w efekcie do wzrostu jej konkurencyjności.</w:t>
      </w:r>
      <w:r>
        <w:t xml:space="preserve"> </w:t>
      </w:r>
      <w:r w:rsidRPr="00A739E7">
        <w:t>W celu umożliwienia dokonywania porównań z zakresu ekoinnowacyjności, Unia Europejska</w:t>
      </w:r>
      <w:r>
        <w:t xml:space="preserve"> </w:t>
      </w:r>
      <w:r w:rsidRPr="00A739E7">
        <w:t xml:space="preserve">powołała </w:t>
      </w:r>
      <w:r w:rsidRPr="00A739E7">
        <w:rPr>
          <w:i/>
          <w:iCs/>
        </w:rPr>
        <w:t xml:space="preserve">Eco-Innovation Observatory </w:t>
      </w:r>
      <w:r w:rsidRPr="00A739E7">
        <w:t>(Obserwatorium Ekoinnowacji), odpowiedzialne za</w:t>
      </w:r>
      <w:r>
        <w:t xml:space="preserve"> </w:t>
      </w:r>
      <w:r w:rsidRPr="00A739E7">
        <w:t>zbieranie danych z tego zakresu. Na podstawie 16 wskaźników pogrupowanych w 5 obszarach</w:t>
      </w:r>
      <w:r>
        <w:t xml:space="preserve"> </w:t>
      </w:r>
      <w:r w:rsidRPr="00A739E7">
        <w:t xml:space="preserve">tematycznych stworzony został indeks (ranking) ekoinnowacyjności tzw. </w:t>
      </w:r>
      <w:r w:rsidRPr="00A739E7">
        <w:rPr>
          <w:i/>
          <w:iCs/>
        </w:rPr>
        <w:t>Eco-Innovation Scoreboard</w:t>
      </w:r>
      <w:r w:rsidRPr="00A739E7">
        <w:t>,</w:t>
      </w:r>
      <w:r>
        <w:t xml:space="preserve"> </w:t>
      </w:r>
      <w:r w:rsidRPr="00A739E7">
        <w:t>który kompleksowo porównuje wyniki ekoinnowacji osiągane przez poszczególne kraje</w:t>
      </w:r>
      <w:r>
        <w:t xml:space="preserve"> </w:t>
      </w:r>
      <w:r w:rsidRPr="00A739E7">
        <w:t>członkowskie UE-28 w odniesieniu do średniej unijnej.</w:t>
      </w:r>
      <w:r>
        <w:t xml:space="preserve"> </w:t>
      </w:r>
      <w:r w:rsidRPr="00B422DD">
        <w:rPr>
          <w:i/>
        </w:rPr>
        <w:t>(źródło: opracowanie GUS: Wskaźniki zielonej gospodarki w Polsce, 2016)</w:t>
      </w:r>
    </w:p>
    <w:p w:rsidR="00504EE2" w:rsidRDefault="00504EE2" w:rsidP="00504EE2">
      <w:pPr>
        <w:spacing w:after="0"/>
        <w:jc w:val="both"/>
        <w:rPr>
          <w:b/>
          <w:bCs/>
          <w:i/>
          <w:iCs/>
        </w:rPr>
      </w:pPr>
      <w:r>
        <w:rPr>
          <w:bCs/>
          <w:i/>
          <w:iCs/>
        </w:rPr>
        <w:t xml:space="preserve">Rys. 11.1 </w:t>
      </w:r>
      <w:r w:rsidRPr="00143C08">
        <w:rPr>
          <w:bCs/>
          <w:i/>
          <w:iCs/>
        </w:rPr>
        <w:t>Indeks ekoinnowacyjności dla krajów Unii Europejskiej w 2016r.</w:t>
      </w:r>
    </w:p>
    <w:p w:rsidR="00504EE2" w:rsidRDefault="00504EE2" w:rsidP="00504EE2">
      <w:pPr>
        <w:spacing w:after="0"/>
        <w:jc w:val="both"/>
        <w:rPr>
          <w:b/>
          <w:bCs/>
          <w:iCs/>
        </w:rPr>
      </w:pPr>
    </w:p>
    <w:p w:rsidR="00504EE2" w:rsidRDefault="00504EE2" w:rsidP="00504EE2">
      <w:pPr>
        <w:spacing w:after="0"/>
        <w:jc w:val="both"/>
      </w:pPr>
      <w:r>
        <w:rPr>
          <w:b/>
          <w:noProof/>
          <w:lang w:eastAsia="pl-PL"/>
        </w:rPr>
        <w:drawing>
          <wp:inline distT="0" distB="0" distL="0" distR="0" wp14:anchorId="1F42B503" wp14:editId="5D26FFD7">
            <wp:extent cx="5759450" cy="4334510"/>
            <wp:effectExtent l="0" t="0" r="0" b="8890"/>
            <wp:docPr id="74" name="Obraz 74" descr="Q:\Diagnoza\materiały\scoreboard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Q:\Diagnoza\materiały\scoreboard_2016.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4334510"/>
                    </a:xfrm>
                    <a:prstGeom prst="rect">
                      <a:avLst/>
                    </a:prstGeom>
                    <a:noFill/>
                    <a:ln>
                      <a:noFill/>
                    </a:ln>
                  </pic:spPr>
                </pic:pic>
              </a:graphicData>
            </a:graphic>
          </wp:inline>
        </w:drawing>
      </w:r>
    </w:p>
    <w:p w:rsidR="00504EE2" w:rsidRDefault="00504EE2" w:rsidP="00504EE2">
      <w:pPr>
        <w:pStyle w:val="EGONormalny"/>
        <w:spacing w:line="240" w:lineRule="auto"/>
        <w:ind w:firstLine="0"/>
      </w:pPr>
      <w:r w:rsidRPr="00D10864">
        <w:rPr>
          <w:bCs/>
          <w:i/>
        </w:rPr>
        <w:t>Ranking Eco-Innovation Scoreboard</w:t>
      </w:r>
      <w:r>
        <w:rPr>
          <w:bCs/>
          <w:i/>
        </w:rPr>
        <w:t xml:space="preserve"> </w:t>
      </w:r>
      <w:r w:rsidRPr="008C4DAF">
        <w:rPr>
          <w:bCs/>
        </w:rPr>
        <w:t>w swoim</w:t>
      </w:r>
      <w:r w:rsidRPr="00D10864">
        <w:rPr>
          <w:bCs/>
          <w:i/>
        </w:rPr>
        <w:t xml:space="preserve"> </w:t>
      </w:r>
      <w:r w:rsidRPr="00D10864">
        <w:t>indeksie uwzględnia pięć grup wskaźników. Trzy</w:t>
      </w:r>
      <w:r>
        <w:t xml:space="preserve"> z </w:t>
      </w:r>
      <w:r w:rsidRPr="00D10864">
        <w:t>nich bezpośrednio odnoszą się do ekoinnowacji. Są to</w:t>
      </w:r>
      <w:r>
        <w:rPr>
          <w:lang w:val="pl-PL"/>
        </w:rPr>
        <w:t>:</w:t>
      </w:r>
      <w:r w:rsidRPr="00D10864">
        <w:t xml:space="preserve"> nakłady (rządowe wydatki na środowiskowe</w:t>
      </w:r>
      <w:r>
        <w:t xml:space="preserve"> i </w:t>
      </w:r>
      <w:r w:rsidRPr="00D10864">
        <w:t>energetyczne B+R, liczba badaczy ogółem, zielone inwestycje funduszy PE/VC), działania (firmy wprowadzające ekoinnowacje poprawiające efektywność materiałową</w:t>
      </w:r>
      <w:r>
        <w:t xml:space="preserve"> i </w:t>
      </w:r>
      <w:r w:rsidRPr="00D10864">
        <w:t>energetyczną oraz posiadające certyfikat ISO 14001)</w:t>
      </w:r>
      <w:r>
        <w:t xml:space="preserve"> i </w:t>
      </w:r>
      <w:r w:rsidRPr="00D10864">
        <w:t>wyniki (patenty, publikacje, informacje</w:t>
      </w:r>
      <w:r>
        <w:t xml:space="preserve"> w </w:t>
      </w:r>
      <w:r w:rsidRPr="00D10864">
        <w:t>mediach na temat ekoinnowacji). Pozostałe dwie grupy wskaźników to efekty wprowadzania ekoinnowacji – środowiskowe (efektywność wykorzystania energii, surowców, wody oraz emisyjność) oraz społeczno-gospodarcze (rozwój „ekobranż” gospodarki).</w:t>
      </w:r>
    </w:p>
    <w:p w:rsidR="00504EE2" w:rsidRPr="00504EE2" w:rsidRDefault="00504EE2" w:rsidP="00504EE2">
      <w:pPr>
        <w:pStyle w:val="EGONormalny"/>
        <w:ind w:firstLine="0"/>
        <w:rPr>
          <w:sz w:val="22"/>
          <w:szCs w:val="22"/>
        </w:rPr>
      </w:pPr>
      <w:r w:rsidRPr="00504EE2">
        <w:rPr>
          <w:sz w:val="22"/>
          <w:szCs w:val="22"/>
        </w:rPr>
        <w:lastRenderedPageBreak/>
        <w:t>W roku 201</w:t>
      </w:r>
      <w:r w:rsidRPr="00504EE2">
        <w:rPr>
          <w:sz w:val="22"/>
          <w:szCs w:val="22"/>
          <w:lang w:val="pl-PL"/>
        </w:rPr>
        <w:t>6</w:t>
      </w:r>
      <w:r w:rsidRPr="00504EE2">
        <w:rPr>
          <w:sz w:val="22"/>
          <w:szCs w:val="22"/>
        </w:rPr>
        <w:t xml:space="preserve"> Polska w porównaniu do innych krajów UE najlepiej wypadła w przypadku efektów społeczno-gospodarczych wprowadzania innowacji (</w:t>
      </w:r>
      <w:r w:rsidRPr="00504EE2">
        <w:rPr>
          <w:sz w:val="22"/>
          <w:szCs w:val="22"/>
          <w:lang w:val="pl-PL"/>
        </w:rPr>
        <w:t>1</w:t>
      </w:r>
      <w:r w:rsidRPr="00504EE2">
        <w:rPr>
          <w:sz w:val="22"/>
          <w:szCs w:val="22"/>
        </w:rPr>
        <w:t xml:space="preserve"> miejsce)</w:t>
      </w:r>
      <w:r w:rsidRPr="00504EE2">
        <w:rPr>
          <w:sz w:val="22"/>
          <w:szCs w:val="22"/>
          <w:lang w:val="pl-PL"/>
        </w:rPr>
        <w:t xml:space="preserve">. W tej samej kategorii, w roku 2012 Polska zajmowała 10 miejsce od końca. Polska plasuje się tylko nieznacznie poniżej średniej UE </w:t>
      </w:r>
      <w:r w:rsidRPr="00504EE2">
        <w:rPr>
          <w:sz w:val="22"/>
          <w:szCs w:val="22"/>
          <w:lang w:val="pl-PL"/>
        </w:rPr>
        <w:br/>
        <w:t xml:space="preserve">w odniesieniu do środowiskowych efektów wprowadzania ekoinnowacji (16 miejsce). W </w:t>
      </w:r>
      <w:r w:rsidRPr="00504EE2">
        <w:rPr>
          <w:sz w:val="22"/>
          <w:szCs w:val="22"/>
        </w:rPr>
        <w:t xml:space="preserve">przypadku pozostałych wskaźników </w:t>
      </w:r>
      <w:r w:rsidRPr="00504EE2">
        <w:rPr>
          <w:sz w:val="22"/>
          <w:szCs w:val="22"/>
          <w:lang w:val="pl-PL"/>
        </w:rPr>
        <w:t>są</w:t>
      </w:r>
      <w:r w:rsidRPr="00504EE2">
        <w:rPr>
          <w:sz w:val="22"/>
          <w:szCs w:val="22"/>
        </w:rPr>
        <w:t xml:space="preserve"> to miejsca w rankingu nie wyższe niż </w:t>
      </w:r>
      <w:r w:rsidRPr="00504EE2">
        <w:rPr>
          <w:sz w:val="22"/>
          <w:szCs w:val="22"/>
          <w:lang w:val="pl-PL"/>
        </w:rPr>
        <w:t>8</w:t>
      </w:r>
      <w:r w:rsidRPr="00504EE2">
        <w:rPr>
          <w:sz w:val="22"/>
          <w:szCs w:val="22"/>
        </w:rPr>
        <w:t xml:space="preserve"> od końca. </w:t>
      </w:r>
    </w:p>
    <w:p w:rsidR="00504EE2" w:rsidRPr="00504EE2" w:rsidRDefault="00504EE2" w:rsidP="00504EE2">
      <w:pPr>
        <w:pStyle w:val="EGONormalny"/>
        <w:ind w:firstLine="0"/>
        <w:rPr>
          <w:sz w:val="22"/>
          <w:szCs w:val="22"/>
        </w:rPr>
      </w:pPr>
      <w:r w:rsidRPr="00504EE2">
        <w:rPr>
          <w:sz w:val="22"/>
          <w:szCs w:val="22"/>
        </w:rPr>
        <w:t xml:space="preserve">W porównaniu do roku </w:t>
      </w:r>
      <w:r w:rsidRPr="00504EE2">
        <w:rPr>
          <w:sz w:val="22"/>
          <w:szCs w:val="22"/>
          <w:lang w:val="pl-PL"/>
        </w:rPr>
        <w:t>2012</w:t>
      </w:r>
      <w:r w:rsidRPr="00504EE2">
        <w:rPr>
          <w:sz w:val="22"/>
          <w:szCs w:val="22"/>
        </w:rPr>
        <w:t>, ogólna pozycja Polski w rankingu wzrosła z  miejsca przedostatniego</w:t>
      </w:r>
      <w:r w:rsidRPr="00504EE2">
        <w:rPr>
          <w:sz w:val="22"/>
          <w:szCs w:val="22"/>
          <w:lang w:val="pl-PL"/>
        </w:rPr>
        <w:t xml:space="preserve"> na miejsce 23</w:t>
      </w:r>
      <w:r w:rsidRPr="00504EE2">
        <w:rPr>
          <w:sz w:val="22"/>
          <w:szCs w:val="22"/>
        </w:rPr>
        <w:t xml:space="preserve">. </w:t>
      </w:r>
      <w:r w:rsidRPr="00504EE2">
        <w:rPr>
          <w:sz w:val="22"/>
          <w:szCs w:val="22"/>
          <w:lang w:val="pl-PL"/>
        </w:rPr>
        <w:t>Przykładowe działania podejmowane w tym okresie na rzecz ekoinnowacyjności</w:t>
      </w:r>
      <w:r w:rsidRPr="00504EE2">
        <w:rPr>
          <w:sz w:val="22"/>
          <w:szCs w:val="22"/>
        </w:rPr>
        <w:t xml:space="preserve"> </w:t>
      </w:r>
      <w:r w:rsidRPr="00504EE2">
        <w:rPr>
          <w:sz w:val="22"/>
          <w:szCs w:val="22"/>
          <w:lang w:val="pl-PL"/>
        </w:rPr>
        <w:t xml:space="preserve">to </w:t>
      </w:r>
      <w:r w:rsidRPr="00504EE2">
        <w:rPr>
          <w:sz w:val="22"/>
          <w:szCs w:val="22"/>
        </w:rPr>
        <w:t>m</w:t>
      </w:r>
      <w:r w:rsidRPr="00504EE2">
        <w:rPr>
          <w:sz w:val="22"/>
          <w:szCs w:val="22"/>
          <w:lang w:val="pl-PL"/>
        </w:rPr>
        <w:t>.</w:t>
      </w:r>
      <w:r w:rsidRPr="00504EE2">
        <w:rPr>
          <w:sz w:val="22"/>
          <w:szCs w:val="22"/>
        </w:rPr>
        <w:t xml:space="preserve">in. </w:t>
      </w:r>
      <w:r w:rsidRPr="00504EE2">
        <w:rPr>
          <w:sz w:val="22"/>
          <w:szCs w:val="22"/>
          <w:lang w:val="pl-PL"/>
        </w:rPr>
        <w:t>wdrażanie</w:t>
      </w:r>
      <w:r w:rsidRPr="00504EE2">
        <w:rPr>
          <w:sz w:val="22"/>
          <w:szCs w:val="22"/>
        </w:rPr>
        <w:t xml:space="preserve"> </w:t>
      </w:r>
      <w:r w:rsidRPr="00504EE2">
        <w:rPr>
          <w:i/>
          <w:sz w:val="22"/>
          <w:szCs w:val="22"/>
        </w:rPr>
        <w:t>Strategii Innowacyjności i Efektywności Gospodarki</w:t>
      </w:r>
      <w:r w:rsidRPr="00504EE2">
        <w:rPr>
          <w:sz w:val="22"/>
          <w:szCs w:val="22"/>
        </w:rPr>
        <w:t xml:space="preserve">, </w:t>
      </w:r>
      <w:r w:rsidRPr="00504EE2">
        <w:rPr>
          <w:sz w:val="22"/>
          <w:szCs w:val="22"/>
          <w:lang w:val="pl-PL"/>
        </w:rPr>
        <w:t xml:space="preserve">podejmowanie </w:t>
      </w:r>
      <w:r w:rsidRPr="00504EE2">
        <w:rPr>
          <w:sz w:val="22"/>
          <w:szCs w:val="22"/>
        </w:rPr>
        <w:t xml:space="preserve">inicjatyw </w:t>
      </w:r>
      <w:r w:rsidRPr="00504EE2">
        <w:rPr>
          <w:sz w:val="22"/>
          <w:szCs w:val="22"/>
          <w:lang w:val="pl-PL"/>
        </w:rPr>
        <w:t xml:space="preserve"> </w:t>
      </w:r>
      <w:r w:rsidRPr="00504EE2">
        <w:rPr>
          <w:rFonts w:cs="Calibri"/>
          <w:color w:val="000000"/>
          <w:sz w:val="22"/>
          <w:szCs w:val="22"/>
          <w:lang w:val="pl-PL" w:eastAsia="en-US"/>
        </w:rPr>
        <w:t xml:space="preserve">takich jak „GEKON – Generator Koncepcji Ekologicznych” (wspólna inicjatywa NFOŚiGW i NCBiR), </w:t>
      </w:r>
      <w:r>
        <w:rPr>
          <w:rFonts w:cs="Calibri"/>
          <w:color w:val="000000"/>
          <w:sz w:val="22"/>
          <w:szCs w:val="22"/>
          <w:lang w:val="pl-PL" w:eastAsia="en-US"/>
        </w:rPr>
        <w:br/>
      </w:r>
      <w:r w:rsidRPr="00504EE2">
        <w:rPr>
          <w:rFonts w:cs="Calibri"/>
          <w:color w:val="000000"/>
          <w:sz w:val="22"/>
          <w:szCs w:val="22"/>
          <w:lang w:val="pl-PL" w:eastAsia="en-US"/>
        </w:rPr>
        <w:t xml:space="preserve">E – kumulator, „Sokół – wdrożenie innowacyjnych technologii środowiskowych” (inicjatywa NFOŚiGW), wdrożenie przez Polskę </w:t>
      </w:r>
      <w:r w:rsidRPr="00504EE2">
        <w:rPr>
          <w:rFonts w:cs="Calibri"/>
          <w:i/>
          <w:color w:val="000000"/>
          <w:sz w:val="22"/>
          <w:szCs w:val="22"/>
          <w:lang w:val="pl-PL" w:eastAsia="en-US"/>
        </w:rPr>
        <w:t xml:space="preserve">Pilotażowego programu Weryfikacji Technologii Środowiskowych (ETV) Unii Europejskiej – </w:t>
      </w:r>
      <w:r w:rsidRPr="00504EE2">
        <w:rPr>
          <w:rFonts w:cs="Calibri"/>
          <w:color w:val="000000"/>
          <w:sz w:val="22"/>
          <w:szCs w:val="22"/>
          <w:lang w:val="pl-PL" w:eastAsia="en-US"/>
        </w:rPr>
        <w:t>czyli Systemu ETV</w:t>
      </w:r>
      <w:r w:rsidRPr="00504EE2">
        <w:rPr>
          <w:rFonts w:cs="Calibri"/>
          <w:i/>
          <w:color w:val="000000"/>
          <w:sz w:val="22"/>
          <w:szCs w:val="22"/>
          <w:lang w:val="pl-PL" w:eastAsia="en-US"/>
        </w:rPr>
        <w:t xml:space="preserve"> </w:t>
      </w:r>
      <w:r w:rsidRPr="00504EE2">
        <w:rPr>
          <w:rFonts w:cs="Calibri"/>
          <w:color w:val="000000"/>
          <w:sz w:val="22"/>
          <w:szCs w:val="22"/>
          <w:lang w:val="pl-PL" w:eastAsia="en-US"/>
        </w:rPr>
        <w:t>(przez Ministerstwo Środowiska) wraz z uruchomieniem przygotowanego wspólnie przez MŚ i NFOŚiGW instrumentu wsparcia dla przedsiębiorców pn. „</w:t>
      </w:r>
      <w:r w:rsidRPr="00504EE2">
        <w:rPr>
          <w:rFonts w:cs="Calibri"/>
          <w:bCs/>
          <w:color w:val="000000"/>
          <w:sz w:val="22"/>
          <w:szCs w:val="22"/>
          <w:lang w:val="pl-PL" w:eastAsia="en-US"/>
        </w:rPr>
        <w:t>Popularyzacja technologii zweryfikowanych w ramach Systemu Weryfikacji Technologii Środowiskowych ETV”</w:t>
      </w:r>
      <w:r w:rsidRPr="00504EE2">
        <w:rPr>
          <w:rFonts w:cs="Calibri"/>
          <w:color w:val="000000"/>
          <w:sz w:val="22"/>
          <w:szCs w:val="22"/>
          <w:lang w:val="pl-PL" w:eastAsia="en-US"/>
        </w:rPr>
        <w:t xml:space="preserve">, realizacja kolejnych edycji programu </w:t>
      </w:r>
      <w:r w:rsidRPr="00504EE2">
        <w:rPr>
          <w:rFonts w:cs="Calibri"/>
          <w:i/>
          <w:color w:val="000000"/>
          <w:sz w:val="22"/>
          <w:szCs w:val="22"/>
          <w:lang w:val="pl-PL" w:eastAsia="en-US"/>
        </w:rPr>
        <w:t xml:space="preserve">Greenevo – Akcelerator Zielonych Technologii - </w:t>
      </w:r>
      <w:r w:rsidRPr="00504EE2">
        <w:rPr>
          <w:rFonts w:cs="Calibri"/>
          <w:color w:val="000000"/>
          <w:sz w:val="22"/>
          <w:szCs w:val="22"/>
          <w:lang w:val="pl-PL" w:eastAsia="en-US"/>
        </w:rPr>
        <w:t xml:space="preserve">autorskiego programu Ministerstwa Środowiska </w:t>
      </w:r>
      <w:r w:rsidRPr="00504EE2">
        <w:rPr>
          <w:sz w:val="22"/>
          <w:szCs w:val="22"/>
        </w:rPr>
        <w:t>oraz stworzenie klastrów zorientowanych na projekty ekoinnowacyjne (np. Śląski Klaster Rewitalizacji i Technologii Środowiskowych, Bałtycki Klaster Egzoenergetyczny czy Małopolski i Podkarpacki Klaster Czystej Energii).</w:t>
      </w:r>
    </w:p>
    <w:p w:rsidR="00504EE2" w:rsidRPr="00504EE2" w:rsidRDefault="00504EE2" w:rsidP="00504EE2">
      <w:pPr>
        <w:pStyle w:val="EGONormalny"/>
        <w:ind w:firstLine="0"/>
        <w:rPr>
          <w:sz w:val="22"/>
          <w:szCs w:val="22"/>
          <w:lang w:val="pl-PL"/>
        </w:rPr>
      </w:pPr>
      <w:r w:rsidRPr="00504EE2">
        <w:rPr>
          <w:sz w:val="22"/>
          <w:szCs w:val="22"/>
        </w:rPr>
        <w:t>Źródeł niskiej pozycji Polski w europejskim rankingu ekoinnowacyjności należy szukać w szerszych problemach z innowacyjnością w kraju – zarówno jeśli chodzi o samą bazę badawczo-rozwojową i jej wyniki, jak i zachowawcze podejście polskich przedsiębiorców do wdrażania nowatorskich rozwiązań</w:t>
      </w:r>
      <w:r w:rsidRPr="00504EE2">
        <w:rPr>
          <w:sz w:val="22"/>
          <w:szCs w:val="22"/>
          <w:lang w:val="pl-PL"/>
        </w:rPr>
        <w:t>.</w:t>
      </w:r>
    </w:p>
    <w:p w:rsidR="00504EE2" w:rsidRPr="00812649" w:rsidRDefault="00504EE2" w:rsidP="00812649">
      <w:pPr>
        <w:pStyle w:val="Nagwek2"/>
      </w:pPr>
      <w:bookmarkStart w:id="86" w:name="_Toc505604944"/>
      <w:bookmarkStart w:id="87" w:name="_Toc505605337"/>
      <w:r w:rsidRPr="00812649">
        <w:t>System ekozarządzania i audytu (EMAS)</w:t>
      </w:r>
      <w:bookmarkEnd w:id="86"/>
      <w:bookmarkEnd w:id="87"/>
    </w:p>
    <w:p w:rsidR="00504EE2" w:rsidRPr="00DB258E" w:rsidRDefault="00504EE2" w:rsidP="00504EE2">
      <w:pPr>
        <w:spacing w:after="0"/>
        <w:jc w:val="both"/>
      </w:pPr>
      <w:r w:rsidRPr="00DB258E">
        <w:t>System EMAS</w:t>
      </w:r>
      <w:r>
        <w:rPr>
          <w:rStyle w:val="Odwoanieprzypisudolnego"/>
        </w:rPr>
        <w:footnoteReference w:id="74"/>
      </w:r>
      <w:r w:rsidRPr="00DB258E">
        <w:t xml:space="preserve"> jest ważnym instrumentem ochrony środowiska</w:t>
      </w:r>
      <w:r>
        <w:t>,</w:t>
      </w:r>
      <w:r w:rsidRPr="00DB258E">
        <w:t xml:space="preserve"> mającym na celu stałą</w:t>
      </w:r>
      <w:r>
        <w:t xml:space="preserve"> </w:t>
      </w:r>
      <w:r w:rsidRPr="00DB258E">
        <w:t>poprawę działalności środowiskowej organizacji w zgodzie z unijnymi i krajowymi przepisami</w:t>
      </w:r>
      <w:r>
        <w:t xml:space="preserve"> </w:t>
      </w:r>
      <w:r w:rsidRPr="00DB258E">
        <w:t>prawa ochrony środowiska. Zakłada on aktywne angażowanie pracowników w proces poprawy</w:t>
      </w:r>
      <w:r>
        <w:t xml:space="preserve"> </w:t>
      </w:r>
      <w:r w:rsidRPr="00DB258E">
        <w:t>relacji organizacji ze środowiskiem, a także informowanie opinii publicznej o efektach prac jednostek</w:t>
      </w:r>
      <w:r>
        <w:t xml:space="preserve"> </w:t>
      </w:r>
      <w:r w:rsidRPr="00DB258E">
        <w:t>zobowiązanych do sporządzania corocznych deklaracji środowiskowych. Do systemu</w:t>
      </w:r>
      <w:r>
        <w:t xml:space="preserve"> </w:t>
      </w:r>
      <w:r w:rsidRPr="00DB258E">
        <w:t>EMAS mogą przystąpić podmioty ze wszystkich sektorów gospodarki, tj. przedsiębiorstwa i zakłady</w:t>
      </w:r>
      <w:r>
        <w:t xml:space="preserve"> </w:t>
      </w:r>
      <w:r w:rsidRPr="00DB258E">
        <w:t xml:space="preserve">prowadzące działalność produkcyjną </w:t>
      </w:r>
      <w:r>
        <w:br/>
      </w:r>
      <w:r w:rsidRPr="00DB258E">
        <w:t>i usługową, organy administracji publicznej i samorządowej</w:t>
      </w:r>
      <w:r>
        <w:t xml:space="preserve"> </w:t>
      </w:r>
      <w:r w:rsidRPr="00DB258E">
        <w:t>oraz instytucje pożytku publicznego.</w:t>
      </w:r>
    </w:p>
    <w:p w:rsidR="00504EE2" w:rsidRDefault="00504EE2" w:rsidP="00504EE2">
      <w:pPr>
        <w:spacing w:after="0"/>
        <w:jc w:val="both"/>
      </w:pPr>
      <w:r w:rsidRPr="00DB258E">
        <w:t>Dzięki wdrożeniu wymagań tego systemu organizacje optymalizują zużycie zasobów</w:t>
      </w:r>
      <w:r>
        <w:t xml:space="preserve"> </w:t>
      </w:r>
      <w:r w:rsidRPr="00DB258E">
        <w:t>i energii oraz potwierdzają przestrzeganie przepisów prawa w zakresie ochrony środowiska,</w:t>
      </w:r>
      <w:r>
        <w:t xml:space="preserve"> </w:t>
      </w:r>
      <w:r w:rsidRPr="00DB258E">
        <w:t>minimalizując ryzyko kar za ich nieprzestr</w:t>
      </w:r>
      <w:r>
        <w:t xml:space="preserve">zeganie. Kreują również własny </w:t>
      </w:r>
      <w:r w:rsidRPr="00504EE2">
        <w:rPr>
          <w:i/>
        </w:rPr>
        <w:t>zielony wizerunek</w:t>
      </w:r>
      <w:r>
        <w:t xml:space="preserve"> </w:t>
      </w:r>
      <w:r w:rsidRPr="00DB258E">
        <w:t>potwierdzony wiarygodnym certyfikatem, przyznawanym w Polsce przez Generalnego Dyrektora</w:t>
      </w:r>
      <w:r>
        <w:t xml:space="preserve"> </w:t>
      </w:r>
      <w:r w:rsidRPr="00DB258E">
        <w:t>Ochrony Środowiska.</w:t>
      </w:r>
    </w:p>
    <w:p w:rsidR="00504EE2" w:rsidRDefault="00504EE2" w:rsidP="00504EE2">
      <w:pPr>
        <w:autoSpaceDE w:val="0"/>
        <w:autoSpaceDN w:val="0"/>
        <w:adjustRightInd w:val="0"/>
        <w:spacing w:after="0"/>
        <w:jc w:val="both"/>
        <w:rPr>
          <w:rFonts w:cs="Cambria"/>
          <w:color w:val="000000"/>
        </w:rPr>
      </w:pPr>
    </w:p>
    <w:p w:rsidR="00504EE2" w:rsidRPr="00DB258E" w:rsidRDefault="00504EE2" w:rsidP="00504EE2">
      <w:pPr>
        <w:autoSpaceDE w:val="0"/>
        <w:autoSpaceDN w:val="0"/>
        <w:adjustRightInd w:val="0"/>
        <w:spacing w:after="0"/>
        <w:jc w:val="both"/>
        <w:rPr>
          <w:rFonts w:cs="Cambria"/>
          <w:color w:val="000000"/>
        </w:rPr>
      </w:pPr>
      <w:r w:rsidRPr="00DB258E">
        <w:rPr>
          <w:rFonts w:cs="Cambria"/>
          <w:color w:val="000000"/>
        </w:rPr>
        <w:t>W Polsce pierwszą krajową organizację w systemie EMAS zarejestrowano w 2006 r.</w:t>
      </w:r>
      <w:r>
        <w:rPr>
          <w:rFonts w:cs="Cambria"/>
          <w:color w:val="000000"/>
        </w:rPr>
        <w:t xml:space="preserve"> </w:t>
      </w:r>
      <w:r w:rsidRPr="00DB258E">
        <w:rPr>
          <w:rFonts w:cs="Cambria"/>
          <w:color w:val="000000"/>
        </w:rPr>
        <w:t xml:space="preserve">Od tego momentu ich liczba stale się zwiększa. </w:t>
      </w:r>
      <w:r w:rsidRPr="007354DB">
        <w:rPr>
          <w:rFonts w:cs="Cambria"/>
          <w:color w:val="000000"/>
        </w:rPr>
        <w:t>W 2015 r. certyfikat EMAS posiadało 48 organizacji (wzrost o 6,7% w odniesieniu do roku poprzedniego) i 122 obiekty tych organizacji.</w:t>
      </w:r>
    </w:p>
    <w:p w:rsidR="00504EE2" w:rsidRDefault="00504EE2" w:rsidP="00504EE2">
      <w:pPr>
        <w:jc w:val="both"/>
        <w:rPr>
          <w:i/>
        </w:rPr>
      </w:pPr>
      <w:r w:rsidRPr="00B422DD">
        <w:rPr>
          <w:i/>
        </w:rPr>
        <w:t>(źródło: opracowanie GUS: Wskaźniki zielonej gospodarki w Polsce, 2016)</w:t>
      </w:r>
    </w:p>
    <w:p w:rsidR="00504EE2" w:rsidRPr="00504EE2" w:rsidRDefault="00504EE2" w:rsidP="00504EE2">
      <w:pPr>
        <w:rPr>
          <w:b/>
          <w:i/>
        </w:rPr>
      </w:pPr>
    </w:p>
    <w:p w:rsidR="00504EE2" w:rsidRPr="00812649" w:rsidRDefault="00504EE2" w:rsidP="00812649">
      <w:pPr>
        <w:pStyle w:val="Nagwek2"/>
      </w:pPr>
      <w:bookmarkStart w:id="88" w:name="_Toc505604945"/>
      <w:bookmarkStart w:id="89" w:name="_Toc505605338"/>
      <w:r w:rsidRPr="00812649">
        <w:t>Pozwolenia zintegrowane</w:t>
      </w:r>
      <w:bookmarkEnd w:id="88"/>
      <w:bookmarkEnd w:id="89"/>
    </w:p>
    <w:p w:rsidR="00504EE2" w:rsidRPr="00504EE2" w:rsidRDefault="00504EE2" w:rsidP="00504EE2">
      <w:pPr>
        <w:jc w:val="both"/>
      </w:pPr>
      <w:r w:rsidRPr="00504EE2">
        <w:t>Pozwolenie zintegrowane jest instrumentem formalno-prawnym wprowadzonym do prawa unijnego Dyrektywą dotycząca zintegrowanego zapobiegania zanieczyszczeniom</w:t>
      </w:r>
      <w:r w:rsidR="00FD04E5">
        <w:t xml:space="preserve"> i</w:t>
      </w:r>
      <w:bookmarkStart w:id="90" w:name="_GoBack"/>
      <w:bookmarkEnd w:id="90"/>
      <w:r w:rsidRPr="00504EE2">
        <w:t xml:space="preserve"> ich kontroli (tzw. Dyrektywą IPPC  - Integrated Pollution Prevention and Control - Zintegrowanego Zapobiegania i Ograniczania Zanieczyszczeń). Obecnie została zastąpiona Dyrektywą w sprawie emisji przemysłowych (zintegrowane zapobieganie zanieczyszczeniom i ich kontrola) (tzw. Dyrektywą IED – Industrial Emissions Directive). </w:t>
      </w:r>
    </w:p>
    <w:p w:rsidR="00504EE2" w:rsidRPr="00504EE2" w:rsidRDefault="00504EE2" w:rsidP="00504EE2">
      <w:pPr>
        <w:jc w:val="both"/>
      </w:pPr>
      <w:r w:rsidRPr="00504EE2">
        <w:t xml:space="preserve">Celem  pozwoleń zintegrowanych jest optymalizacja i minimalizacja zanieczyszczeń (substancji </w:t>
      </w:r>
      <w:r>
        <w:br/>
      </w:r>
      <w:r w:rsidRPr="00504EE2">
        <w:t xml:space="preserve">i energii) wprowadzanych do środowiska, widzianego jako całość, w związku z wybranymi rodzajami działalności, które ze względu na rodzaj i skalę mogą powodować znaczne zanieczyszczenie poszczególnych elementów przyrodniczych lub środowiska jako całości. Prowadzenie wskazanych </w:t>
      </w:r>
      <w:r w:rsidRPr="00504EE2">
        <w:br/>
        <w:t>w prawie instalacji, dla których wymagane jest uzyskanie pozwolenia zintegrowanego, bez takiego pozwolenia jest zabronione.</w:t>
      </w:r>
    </w:p>
    <w:p w:rsidR="00504EE2" w:rsidRPr="00504EE2" w:rsidRDefault="00504EE2" w:rsidP="00504EE2">
      <w:pPr>
        <w:pStyle w:val="NormalnyWeb"/>
        <w:kinsoku w:val="0"/>
        <w:overflowPunct w:val="0"/>
        <w:spacing w:before="0" w:beforeAutospacing="0" w:after="0" w:afterAutospacing="0" w:line="276" w:lineRule="auto"/>
        <w:jc w:val="both"/>
        <w:textAlignment w:val="baseline"/>
        <w:rPr>
          <w:rFonts w:asciiTheme="minorHAnsi" w:hAnsiTheme="minorHAnsi"/>
          <w:sz w:val="22"/>
          <w:szCs w:val="22"/>
        </w:rPr>
      </w:pPr>
      <w:r w:rsidRPr="00504EE2">
        <w:rPr>
          <w:rFonts w:asciiTheme="minorHAnsi" w:hAnsiTheme="minorHAnsi"/>
          <w:sz w:val="22"/>
          <w:szCs w:val="22"/>
          <w:lang w:eastAsia="pl-PL"/>
        </w:rPr>
        <w:t>Zintegrowane podejście do określania w pozwoleniu warunków korzystania ze środowiska, polega w praktyce na zastąpieniu cząstkowych pozwoleń na wprowadzanie substancji lub energii do poszczególnych komponentów środowiska jednym dokumentem. Pozwolenie ma zatem obejmować całość oddziaływań na środowisko, a więc wszystkie emisje substancji i energii, wykorzystywane surowce i zapotrzebowanie na energię, a także pobór wody i sytuacje odbiegające od normalnych.</w:t>
      </w:r>
      <w:r w:rsidRPr="00504EE2">
        <w:rPr>
          <w:rFonts w:asciiTheme="minorHAnsi" w:hAnsiTheme="minorHAnsi"/>
          <w:sz w:val="22"/>
          <w:szCs w:val="22"/>
        </w:rPr>
        <w:t xml:space="preserve">Instalacje wymagające pozwolenia zintegrowanego muszą spełniać wymagania ochrony środowiska wynikające z najlepszych dostępnych technik BAT, w szczególności nie mogą powodować przekroczenia granicznych wielkości emisyjnych, przy czym nieprzekraczanie wielkości emisji wynikającej z zastosowania najlepszych dostępnych technik nie zwalnia z obowiązku dotrzymania </w:t>
      </w:r>
      <w:r>
        <w:rPr>
          <w:rFonts w:asciiTheme="minorHAnsi" w:hAnsiTheme="minorHAnsi"/>
          <w:sz w:val="22"/>
          <w:szCs w:val="22"/>
        </w:rPr>
        <w:t xml:space="preserve">standardów jakości środowiska. </w:t>
      </w:r>
      <w:r w:rsidRPr="00504EE2">
        <w:rPr>
          <w:rFonts w:asciiTheme="minorHAnsi" w:hAnsiTheme="minorHAnsi"/>
          <w:sz w:val="22"/>
          <w:szCs w:val="22"/>
        </w:rPr>
        <w:t>W Polsce jest ok. 3 500 instalacji wymagających pozwolenia zintegrowanego.</w:t>
      </w:r>
      <w:r>
        <w:rPr>
          <w:rFonts w:asciiTheme="minorHAnsi" w:hAnsiTheme="minorHAnsi"/>
          <w:sz w:val="22"/>
          <w:szCs w:val="22"/>
        </w:rPr>
        <w:t>(</w:t>
      </w:r>
      <w:r w:rsidRPr="00504EE2">
        <w:rPr>
          <w:rFonts w:asciiTheme="minorHAnsi" w:hAnsiTheme="minorHAnsi"/>
          <w:i/>
          <w:iCs/>
          <w:sz w:val="18"/>
          <w:szCs w:val="18"/>
          <w:lang w:eastAsia="pl-PL"/>
        </w:rPr>
        <w:t xml:space="preserve">Źródło: Baza wiedzy budowana w ramach projektu </w:t>
      </w:r>
      <w:hyperlink r:id="rId77" w:tgtFrame="_blank" w:history="1">
        <w:r w:rsidRPr="00504EE2">
          <w:rPr>
            <w:rFonts w:asciiTheme="minorHAnsi" w:hAnsiTheme="minorHAnsi"/>
            <w:i/>
            <w:iCs/>
            <w:sz w:val="18"/>
            <w:szCs w:val="18"/>
            <w:lang w:eastAsia="pl-PL"/>
          </w:rPr>
          <w:t>„Innowacyjna i sprawna administracja”</w:t>
        </w:r>
      </w:hyperlink>
      <w:r w:rsidRPr="00504EE2">
        <w:rPr>
          <w:rFonts w:asciiTheme="minorHAnsi" w:hAnsiTheme="minorHAnsi"/>
          <w:i/>
          <w:iCs/>
          <w:sz w:val="18"/>
          <w:szCs w:val="18"/>
          <w:lang w:eastAsia="pl-PL"/>
        </w:rPr>
        <w:t xml:space="preserve"> współfinansowane ze środków UE, którego liderem jest Związek Powiatów Polskich.</w:t>
      </w:r>
      <w:r>
        <w:rPr>
          <w:rFonts w:asciiTheme="minorHAnsi" w:hAnsiTheme="minorHAnsi"/>
          <w:i/>
          <w:iCs/>
          <w:sz w:val="18"/>
          <w:szCs w:val="18"/>
          <w:lang w:eastAsia="pl-PL"/>
        </w:rPr>
        <w:t>)</w:t>
      </w:r>
    </w:p>
    <w:p w:rsidR="00504EE2" w:rsidRDefault="00504EE2"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5223E2" w:rsidRDefault="005223E2"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5223E2" w:rsidRDefault="005223E2"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5223E2" w:rsidRDefault="005223E2"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12649" w:rsidRDefault="00812649"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12649" w:rsidRDefault="00812649"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12649" w:rsidRDefault="00812649"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12649" w:rsidRDefault="00812649"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12649" w:rsidRDefault="00812649"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5223E2" w:rsidRPr="00504EE2" w:rsidRDefault="005223E2" w:rsidP="00504EE2">
      <w:pPr>
        <w:pStyle w:val="NormalnyWeb"/>
        <w:kinsoku w:val="0"/>
        <w:overflowPunct w:val="0"/>
        <w:spacing w:before="0" w:beforeAutospacing="0" w:after="0" w:afterAutospacing="0" w:line="312" w:lineRule="auto"/>
        <w:jc w:val="both"/>
        <w:textAlignment w:val="baseline"/>
        <w:rPr>
          <w:rFonts w:asciiTheme="minorHAnsi" w:hAnsiTheme="minorHAnsi"/>
        </w:rPr>
      </w:pPr>
    </w:p>
    <w:p w:rsidR="008E35FE" w:rsidRPr="008E35FE" w:rsidRDefault="008E35FE" w:rsidP="008E35FE">
      <w:pPr>
        <w:pStyle w:val="Nagwek1"/>
        <w:numPr>
          <w:ilvl w:val="0"/>
          <w:numId w:val="5"/>
        </w:numPr>
        <w:spacing w:after="240"/>
      </w:pPr>
      <w:bookmarkStart w:id="91" w:name="_Toc505604946"/>
      <w:bookmarkStart w:id="92" w:name="_Toc505605339"/>
      <w:r>
        <w:lastRenderedPageBreak/>
        <w:t xml:space="preserve">Edukacja ekologiczna i dostęp do informacji </w:t>
      </w:r>
      <w:r w:rsidR="005223E2">
        <w:br/>
      </w:r>
      <w:r>
        <w:t>o środowisku</w:t>
      </w:r>
      <w:bookmarkEnd w:id="91"/>
      <w:bookmarkEnd w:id="92"/>
    </w:p>
    <w:p w:rsidR="005223E2" w:rsidRPr="00812649" w:rsidRDefault="005223E2" w:rsidP="00812649">
      <w:pPr>
        <w:pStyle w:val="Nagwek2"/>
      </w:pPr>
      <w:bookmarkStart w:id="93" w:name="_Toc505604947"/>
      <w:bookmarkStart w:id="94" w:name="_Toc505605340"/>
      <w:r w:rsidRPr="00812649">
        <w:t>Wzorce zrównoważonej konsumpcji i edukacja ekologiczna</w:t>
      </w:r>
      <w:bookmarkEnd w:id="93"/>
      <w:bookmarkEnd w:id="94"/>
    </w:p>
    <w:p w:rsidR="005223E2" w:rsidRDefault="005223E2" w:rsidP="005223E2">
      <w:pPr>
        <w:jc w:val="both"/>
      </w:pPr>
      <w:r w:rsidRPr="00D55B41">
        <w:t xml:space="preserve">Wiele negatywnych zmian w środowisku powodowanych jest rosnącym wykorzystaniem zasobów naturalnych koniecznym dla zaspokojenia </w:t>
      </w:r>
      <w:r>
        <w:t>potrzeb wynikających z istniejącego modelu produkcji i </w:t>
      </w:r>
      <w:r w:rsidRPr="00D55B41">
        <w:t>konsumpcji. Odwrócenie</w:t>
      </w:r>
      <w:r>
        <w:t>,</w:t>
      </w:r>
      <w:r w:rsidRPr="00D55B41">
        <w:t xml:space="preserve"> czy choćby zatrzymanie tych trendów, wymaga głębokich zmian zarówno w obrębie wzorców produkcji, jak i konsumpcji na poziomie </w:t>
      </w:r>
      <w:r>
        <w:t xml:space="preserve">administracji, </w:t>
      </w:r>
      <w:r w:rsidRPr="00D55B41">
        <w:t xml:space="preserve">gospodarstw domowych oraz </w:t>
      </w:r>
      <w:r>
        <w:t>poszczególnych osób</w:t>
      </w:r>
      <w:r w:rsidRPr="00D55B41">
        <w:t>.</w:t>
      </w:r>
    </w:p>
    <w:p w:rsidR="005223E2" w:rsidRPr="00693F64" w:rsidRDefault="005223E2" w:rsidP="005223E2">
      <w:pPr>
        <w:autoSpaceDE w:val="0"/>
        <w:autoSpaceDN w:val="0"/>
        <w:adjustRightInd w:val="0"/>
        <w:spacing w:after="0"/>
        <w:jc w:val="both"/>
        <w:rPr>
          <w:rFonts w:cs="TTE15A60C8t00"/>
        </w:rPr>
      </w:pPr>
      <w:r w:rsidRPr="00693F64">
        <w:rPr>
          <w:rFonts w:cs="TTE15A60C8t00"/>
        </w:rPr>
        <w:t>Edukacja ekologiczna jest zagadnieniem horyzontalnym dotyczącym wszystkich obszarów ochrony środowiska i gospodarki wodnej. Dla zrównoważonego rozwoju kraju niezbędne są nie tylko inwestycje w nowoczesne, proekologiczne technologie i</w:t>
      </w:r>
      <w:r>
        <w:rPr>
          <w:rFonts w:cs="TTE15A60C8t00"/>
        </w:rPr>
        <w:t xml:space="preserve"> racjonalna gospodarka zasobami </w:t>
      </w:r>
      <w:r w:rsidRPr="00693F64">
        <w:rPr>
          <w:rFonts w:cs="TTE15A60C8t00"/>
        </w:rPr>
        <w:t xml:space="preserve">naturalnymi, </w:t>
      </w:r>
      <w:r>
        <w:rPr>
          <w:rFonts w:cs="TTE15A60C8t00"/>
        </w:rPr>
        <w:t>lecz także</w:t>
      </w:r>
      <w:r w:rsidRPr="00693F64">
        <w:rPr>
          <w:rFonts w:cs="TTE15A60C8t00"/>
        </w:rPr>
        <w:t xml:space="preserve"> wysok</w:t>
      </w:r>
      <w:r>
        <w:rPr>
          <w:rFonts w:cs="TTE15A60C8t00"/>
        </w:rPr>
        <w:t>i</w:t>
      </w:r>
      <w:r w:rsidRPr="00693F64">
        <w:rPr>
          <w:rFonts w:cs="TTE15A60C8t00"/>
        </w:rPr>
        <w:t xml:space="preserve"> </w:t>
      </w:r>
      <w:r>
        <w:rPr>
          <w:rFonts w:cs="TTE15A60C8t00"/>
        </w:rPr>
        <w:t xml:space="preserve">poziom </w:t>
      </w:r>
      <w:r w:rsidRPr="00693F64">
        <w:rPr>
          <w:rFonts w:cs="TTE15A60C8t00"/>
        </w:rPr>
        <w:t>świadomoś</w:t>
      </w:r>
      <w:r>
        <w:rPr>
          <w:rFonts w:cs="TTE15A60C8t00"/>
        </w:rPr>
        <w:t>ci</w:t>
      </w:r>
      <w:r w:rsidRPr="00693F64">
        <w:rPr>
          <w:rFonts w:cs="TTE15A60C8t00"/>
        </w:rPr>
        <w:t xml:space="preserve"> ekologiczn</w:t>
      </w:r>
      <w:r>
        <w:rPr>
          <w:rFonts w:cs="TTE15A60C8t00"/>
        </w:rPr>
        <w:t>ej</w:t>
      </w:r>
      <w:r w:rsidRPr="00693F64">
        <w:rPr>
          <w:rFonts w:cs="TTE15A60C8t00"/>
        </w:rPr>
        <w:t xml:space="preserve"> społeczeństwa.</w:t>
      </w:r>
      <w:r>
        <w:rPr>
          <w:rFonts w:cs="TTE15A60C8t00"/>
        </w:rPr>
        <w:t xml:space="preserve"> </w:t>
      </w:r>
      <w:r w:rsidRPr="00693F64">
        <w:rPr>
          <w:rFonts w:cs="TTE15A60C8t00"/>
        </w:rPr>
        <w:t>Powoduje to, że edukacja ekologiczna, gwarantując przekazywanie aktualnej wiedzy i treści, musi być stale dostosowywana do z</w:t>
      </w:r>
      <w:r>
        <w:rPr>
          <w:rFonts w:cs="TTE15A60C8t00"/>
        </w:rPr>
        <w:t xml:space="preserve">mieniającego się otoczenia oraz </w:t>
      </w:r>
      <w:r w:rsidRPr="00693F64">
        <w:rPr>
          <w:rFonts w:cs="TTE15A60C8t00"/>
        </w:rPr>
        <w:t>zapotrzeb</w:t>
      </w:r>
      <w:r>
        <w:rPr>
          <w:rFonts w:cs="TTE15A60C8t00"/>
        </w:rPr>
        <w:t>owania na uzupełnianie wiedzy i </w:t>
      </w:r>
      <w:r w:rsidRPr="00693F64">
        <w:rPr>
          <w:rFonts w:cs="TTE15A60C8t00"/>
        </w:rPr>
        <w:t xml:space="preserve">rozwój kompetencji. </w:t>
      </w:r>
      <w:r>
        <w:rPr>
          <w:rFonts w:cs="TTE15A60C8t00"/>
        </w:rPr>
        <w:t>Edukacja ekologiczna, prowadzona</w:t>
      </w:r>
      <w:r w:rsidRPr="00693F64">
        <w:rPr>
          <w:rFonts w:cs="TTE15A60C8t00"/>
        </w:rPr>
        <w:t xml:space="preserve"> w sposób uporządkowany i systematyczny</w:t>
      </w:r>
      <w:r>
        <w:rPr>
          <w:rFonts w:cs="TTE15A60C8t00"/>
        </w:rPr>
        <w:t>,</w:t>
      </w:r>
      <w:r w:rsidRPr="00693F64">
        <w:rPr>
          <w:rFonts w:cs="TTE15A60C8t00"/>
        </w:rPr>
        <w:t xml:space="preserve"> mo</w:t>
      </w:r>
      <w:r>
        <w:rPr>
          <w:rFonts w:cs="TTE15A60C8t00"/>
        </w:rPr>
        <w:t>że</w:t>
      </w:r>
      <w:r w:rsidRPr="00693F64">
        <w:rPr>
          <w:rFonts w:cs="TTE15A60C8t00"/>
        </w:rPr>
        <w:t xml:space="preserve"> w istotny, pozytywny sposób wpłynąć na rozwój gospodarczy z poszanowaniem konstytucyjne</w:t>
      </w:r>
      <w:r>
        <w:rPr>
          <w:rFonts w:cs="TTE15A60C8t00"/>
        </w:rPr>
        <w:t>j zasady zrównoważonego rozwoju, a przez to na jakość życia.</w:t>
      </w:r>
      <w:r w:rsidRPr="00693F64">
        <w:rPr>
          <w:rFonts w:cs="TTE15A60C8t00"/>
        </w:rPr>
        <w:t xml:space="preserve"> </w:t>
      </w:r>
      <w:r>
        <w:rPr>
          <w:rFonts w:cs="TTE15A60C8t00"/>
        </w:rPr>
        <w:t xml:space="preserve">Od </w:t>
      </w:r>
      <w:r w:rsidRPr="0099031E">
        <w:rPr>
          <w:rFonts w:cs="TTE15A60C8t00"/>
        </w:rPr>
        <w:t>zaangażowania</w:t>
      </w:r>
      <w:r>
        <w:rPr>
          <w:rFonts w:cs="TTE15A60C8t00"/>
        </w:rPr>
        <w:t>,</w:t>
      </w:r>
      <w:r w:rsidRPr="0099031E">
        <w:rPr>
          <w:rFonts w:cs="TTE15A60C8t00"/>
        </w:rPr>
        <w:t xml:space="preserve"> wzajemnej koordynacji </w:t>
      </w:r>
      <w:r>
        <w:rPr>
          <w:rFonts w:cs="TTE15A60C8t00"/>
        </w:rPr>
        <w:t xml:space="preserve">działań </w:t>
      </w:r>
      <w:r w:rsidRPr="0099031E">
        <w:rPr>
          <w:rFonts w:cs="TTE15A60C8t00"/>
        </w:rPr>
        <w:t>i współpracy instytucji publicznych, organizacji pozarządowych, jak również otoczenia biznesu i środowiska akademickiego zależy to, czy edukacja ekologiczna jest skuteczna</w:t>
      </w:r>
      <w:r>
        <w:rPr>
          <w:rFonts w:cs="TTE15A60C8t00"/>
        </w:rPr>
        <w:t xml:space="preserve"> i </w:t>
      </w:r>
      <w:r w:rsidRPr="0099031E">
        <w:rPr>
          <w:rFonts w:cs="TTE15A60C8t00"/>
        </w:rPr>
        <w:t xml:space="preserve">przynosi rezultaty </w:t>
      </w:r>
      <w:r>
        <w:rPr>
          <w:rFonts w:cs="TTE15A60C8t00"/>
        </w:rPr>
        <w:t xml:space="preserve">(zob. </w:t>
      </w:r>
      <w:r w:rsidRPr="009C2AC7">
        <w:rPr>
          <w:rFonts w:cs="TTE15A60C8t00"/>
          <w:i/>
        </w:rPr>
        <w:t>Strategia Edukacji Ekologicznej</w:t>
      </w:r>
      <w:r>
        <w:rPr>
          <w:rFonts w:cs="TTE15A60C8t00"/>
          <w:i/>
        </w:rPr>
        <w:t xml:space="preserve"> </w:t>
      </w:r>
      <w:r w:rsidRPr="009C2AC7">
        <w:rPr>
          <w:rFonts w:cs="TTE15A60C8t00"/>
          <w:i/>
        </w:rPr>
        <w:t>Narodoweg</w:t>
      </w:r>
      <w:r>
        <w:rPr>
          <w:rFonts w:cs="TTE15A60C8t00"/>
          <w:i/>
        </w:rPr>
        <w:t>o Funduszu Ochrony Środowiska i </w:t>
      </w:r>
      <w:r w:rsidRPr="009C2AC7">
        <w:rPr>
          <w:rFonts w:cs="TTE15A60C8t00"/>
          <w:i/>
        </w:rPr>
        <w:t>Gospodarki Wodnej</w:t>
      </w:r>
      <w:r>
        <w:rPr>
          <w:rFonts w:cs="TTE15A60C8t00"/>
          <w:i/>
        </w:rPr>
        <w:t xml:space="preserve"> </w:t>
      </w:r>
      <w:r w:rsidRPr="009C2AC7">
        <w:rPr>
          <w:rFonts w:cs="TTE15A60C8t00"/>
          <w:i/>
        </w:rPr>
        <w:t>na lata 2013</w:t>
      </w:r>
      <w:r>
        <w:rPr>
          <w:rFonts w:cs="TTE15A60C8t00"/>
          <w:i/>
        </w:rPr>
        <w:t>–</w:t>
      </w:r>
      <w:r w:rsidRPr="009C2AC7">
        <w:rPr>
          <w:rFonts w:cs="TTE15A60C8t00"/>
          <w:i/>
        </w:rPr>
        <w:t>2016</w:t>
      </w:r>
      <w:r>
        <w:rPr>
          <w:rFonts w:cs="TTE15A60C8t00"/>
          <w:i/>
        </w:rPr>
        <w:t xml:space="preserve"> </w:t>
      </w:r>
      <w:r w:rsidRPr="009C2AC7">
        <w:rPr>
          <w:rFonts w:cs="TTE15A60C8t00"/>
          <w:i/>
        </w:rPr>
        <w:t>z perspektywą do 2020 roku</w:t>
      </w:r>
      <w:r>
        <w:rPr>
          <w:rFonts w:cs="TTE15A60C8t00"/>
        </w:rPr>
        <w:t>).</w:t>
      </w:r>
    </w:p>
    <w:p w:rsidR="005223E2" w:rsidRPr="00693F64" w:rsidRDefault="005223E2" w:rsidP="005223E2">
      <w:pPr>
        <w:autoSpaceDE w:val="0"/>
        <w:autoSpaceDN w:val="0"/>
        <w:adjustRightInd w:val="0"/>
        <w:spacing w:after="0"/>
        <w:jc w:val="both"/>
        <w:rPr>
          <w:rFonts w:cs="TTE15A60C8t00"/>
        </w:rPr>
      </w:pPr>
    </w:p>
    <w:p w:rsidR="005223E2" w:rsidRDefault="005223E2" w:rsidP="005223E2">
      <w:pPr>
        <w:jc w:val="both"/>
      </w:pPr>
      <w:r>
        <w:t xml:space="preserve">Wzrost świadomości ekologicznej jest sam w sobie celem polityki ekologicznej, jak również wpływa na osiągnięcie pozostałych celów. </w:t>
      </w:r>
      <w:r w:rsidRPr="004C21AA">
        <w:t xml:space="preserve">Zanieczyszczenie środowiska w Polsce wynika nie tylko </w:t>
      </w:r>
      <w:r>
        <w:br/>
      </w:r>
      <w:r w:rsidRPr="004C21AA">
        <w:t>z problemów infrastrukturalnych,</w:t>
      </w:r>
      <w:r>
        <w:t xml:space="preserve"> lecz także z </w:t>
      </w:r>
      <w:r w:rsidRPr="004C21AA">
        <w:t>niewystarczającej świadomości ekologicznej oraz nieekologicznych zachowań</w:t>
      </w:r>
      <w:r>
        <w:t xml:space="preserve"> </w:t>
      </w:r>
      <w:r w:rsidRPr="004C21AA">
        <w:t xml:space="preserve">Polaków, co pokazują wyniki </w:t>
      </w:r>
      <w:r w:rsidRPr="00A71631">
        <w:rPr>
          <w:i/>
        </w:rPr>
        <w:t>Badań świadomości i zachowań ekologicznych mieszkańców Polski</w:t>
      </w:r>
      <w:r>
        <w:rPr>
          <w:rStyle w:val="Odwoanieprzypisudolnego"/>
          <w:i/>
        </w:rPr>
        <w:footnoteReference w:id="75"/>
      </w:r>
      <w:r>
        <w:t>,</w:t>
      </w:r>
      <w:r w:rsidRPr="004C21AA">
        <w:t xml:space="preserve"> realizowanych przez Ministerstwo Środowiska</w:t>
      </w:r>
      <w:r>
        <w:t xml:space="preserve">. </w:t>
      </w:r>
    </w:p>
    <w:p w:rsidR="005223E2" w:rsidRDefault="005223E2" w:rsidP="005223E2">
      <w:pPr>
        <w:jc w:val="both"/>
      </w:pPr>
      <w:r>
        <w:t>Z badań wynika jednoznacznie, że t</w:t>
      </w:r>
      <w:r w:rsidRPr="00B27632">
        <w:t>roska o środowisko naturalne u</w:t>
      </w:r>
      <w:r>
        <w:t xml:space="preserve"> większości Polaków przegrywa z </w:t>
      </w:r>
      <w:r w:rsidRPr="00B27632">
        <w:t>rachunkiem ekonomicznym. Większość osób nie jest gotowa wydać więcej</w:t>
      </w:r>
      <w:r>
        <w:t xml:space="preserve"> pieniędzy</w:t>
      </w:r>
      <w:r w:rsidRPr="00B27632">
        <w:t xml:space="preserve"> na rozwiązani</w:t>
      </w:r>
      <w:r>
        <w:t>a</w:t>
      </w:r>
      <w:r w:rsidRPr="00B27632">
        <w:t xml:space="preserve"> ekologiczne</w:t>
      </w:r>
      <w:r>
        <w:t>,</w:t>
      </w:r>
      <w:r w:rsidRPr="00B27632">
        <w:t xml:space="preserve"> np. </w:t>
      </w:r>
      <w:r>
        <w:t xml:space="preserve">na </w:t>
      </w:r>
      <w:r w:rsidRPr="00B27632">
        <w:t xml:space="preserve">czystą energię. Motorem do oszczędzanie energii czy wody jest więc </w:t>
      </w:r>
      <w:r>
        <w:t>raczej</w:t>
      </w:r>
      <w:r w:rsidRPr="00B27632">
        <w:t xml:space="preserve"> troska o domowy budżet niż świadoma postawa ekologiczna. </w:t>
      </w:r>
    </w:p>
    <w:p w:rsidR="005223E2" w:rsidRDefault="005223E2" w:rsidP="005223E2">
      <w:pPr>
        <w:jc w:val="both"/>
      </w:pPr>
      <w:r w:rsidRPr="004C21AA">
        <w:t>Konsekwentnie od początku prowadzonych pomiarów</w:t>
      </w:r>
      <w:r>
        <w:rPr>
          <w:rStyle w:val="Odwoanieprzypisudolnego"/>
        </w:rPr>
        <w:footnoteReference w:id="76"/>
      </w:r>
      <w:r w:rsidRPr="004C21AA">
        <w:t xml:space="preserve">, spośród różnych dziedzin, </w:t>
      </w:r>
      <w:r>
        <w:t>którymi zajmuje się</w:t>
      </w:r>
      <w:r w:rsidRPr="004C21AA">
        <w:t xml:space="preserve"> państwo, większość Polaków za sprawy obarczone największą </w:t>
      </w:r>
      <w:r>
        <w:t xml:space="preserve">liczbą </w:t>
      </w:r>
      <w:r w:rsidRPr="004C21AA">
        <w:t xml:space="preserve">problemów uważa kwestie </w:t>
      </w:r>
      <w:r w:rsidRPr="004C21AA">
        <w:lastRenderedPageBreak/>
        <w:t>ochrony zdrowia i pracy. Spraw środowiska naturalnego na liście najbardziej „palących” obszarów nie ma</w:t>
      </w:r>
      <w:r>
        <w:t xml:space="preserve"> – wskazuje na nie tylko 8% ankietowanych</w:t>
      </w:r>
      <w:r w:rsidRPr="004C21AA">
        <w:t xml:space="preserve">. </w:t>
      </w:r>
    </w:p>
    <w:p w:rsidR="005223E2" w:rsidRPr="005223E2" w:rsidRDefault="005223E2" w:rsidP="005223E2">
      <w:pPr>
        <w:jc w:val="both"/>
        <w:rPr>
          <w:i/>
          <w:u w:val="single"/>
        </w:rPr>
      </w:pPr>
      <w:r w:rsidRPr="005223E2">
        <w:rPr>
          <w:i/>
        </w:rPr>
        <w:t xml:space="preserve">Rys. 12. 1.  Rozkład odpowiedzi udzielonych na pytanie: </w:t>
      </w:r>
      <w:r w:rsidRPr="005223E2">
        <w:rPr>
          <w:i/>
          <w:u w:val="single"/>
        </w:rPr>
        <w:t>W której dziedzinie Pana(i) zdaniem nasz kraj ma najwięcej problemów do rozwiązania?</w:t>
      </w:r>
    </w:p>
    <w:p w:rsidR="005223E2" w:rsidRDefault="005223E2" w:rsidP="005223E2">
      <w:pPr>
        <w:jc w:val="both"/>
      </w:pPr>
      <w:r>
        <w:rPr>
          <w:noProof/>
          <w:lang w:eastAsia="pl-PL"/>
        </w:rPr>
        <w:drawing>
          <wp:inline distT="0" distB="0" distL="0" distR="0" wp14:anchorId="3C31CD72" wp14:editId="5DA36F4B">
            <wp:extent cx="4238625" cy="4686300"/>
            <wp:effectExtent l="0" t="0" r="0" b="0"/>
            <wp:docPr id="95" name="Wykres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223E2" w:rsidRDefault="005223E2" w:rsidP="005223E2">
      <w:pPr>
        <w:jc w:val="both"/>
      </w:pPr>
      <w:r>
        <w:t xml:space="preserve">Zapytani jednak już wprost o najważniejsze problemy środowiskowe w Polsce, ankietowani uznają za nie </w:t>
      </w:r>
      <w:r w:rsidRPr="00F204D4">
        <w:t>odpady (45%</w:t>
      </w:r>
      <w:r>
        <w:t xml:space="preserve"> ankietowanych wskazało na ten problem</w:t>
      </w:r>
      <w:r w:rsidRPr="00F204D4">
        <w:t>), na drugim miejscu zanieczyszczenie powietrza (39%), a na trzecim zanieczyszczenie wód (35%).</w:t>
      </w: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Pr="005223E2" w:rsidRDefault="005223E2" w:rsidP="005223E2">
      <w:pPr>
        <w:jc w:val="both"/>
        <w:rPr>
          <w:i/>
          <w:u w:val="single"/>
        </w:rPr>
      </w:pPr>
      <w:r>
        <w:lastRenderedPageBreak/>
        <w:t xml:space="preserve">Rys. 12.2  </w:t>
      </w:r>
      <w:r w:rsidRPr="005223E2">
        <w:rPr>
          <w:i/>
        </w:rPr>
        <w:t xml:space="preserve">Rozkład odpowiedzi udzielonych na pytanie: </w:t>
      </w:r>
      <w:r w:rsidRPr="005223E2">
        <w:rPr>
          <w:i/>
          <w:u w:val="single"/>
        </w:rPr>
        <w:t>Proszę wybrać trzy Pana(i) zdaniem największe problemy środowiska naturalnego w Polsce. Udzielając odpowiedzi proszę zacząć od najważniejszego dla Pana(i) problemu…</w:t>
      </w:r>
    </w:p>
    <w:p w:rsidR="005223E2" w:rsidRDefault="005223E2" w:rsidP="005223E2">
      <w:pPr>
        <w:jc w:val="both"/>
        <w:rPr>
          <w:rFonts w:eastAsia="Times New Roman" w:hAnsi="Verdana" w:cs="Arial"/>
          <w:color w:val="333333"/>
          <w:kern w:val="24"/>
          <w:lang w:eastAsia="pl-PL"/>
        </w:rPr>
      </w:pPr>
      <w:r>
        <w:rPr>
          <w:noProof/>
          <w:lang w:eastAsia="pl-PL"/>
        </w:rPr>
        <w:drawing>
          <wp:inline distT="0" distB="0" distL="0" distR="0" wp14:anchorId="61F18B20" wp14:editId="0A7346A3">
            <wp:extent cx="4029075" cy="4524375"/>
            <wp:effectExtent l="0" t="0" r="0" b="0"/>
            <wp:docPr id="94" name="Wykres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F204D4">
        <w:rPr>
          <w:rFonts w:eastAsia="Times New Roman" w:hAnsi="Verdana" w:cs="Arial"/>
          <w:color w:val="333333"/>
          <w:kern w:val="24"/>
          <w:lang w:eastAsia="pl-PL"/>
        </w:rPr>
        <w:t xml:space="preserve"> </w:t>
      </w:r>
    </w:p>
    <w:p w:rsidR="005223E2" w:rsidRDefault="005223E2" w:rsidP="005223E2">
      <w:pPr>
        <w:jc w:val="both"/>
      </w:pPr>
      <w:r w:rsidRPr="00F204D4">
        <w:t>Dane w %, N=1000</w:t>
      </w:r>
    </w:p>
    <w:p w:rsidR="005223E2" w:rsidRPr="00F204D4" w:rsidRDefault="005223E2" w:rsidP="005223E2">
      <w:pPr>
        <w:jc w:val="both"/>
      </w:pPr>
    </w:p>
    <w:p w:rsidR="005223E2" w:rsidRDefault="005223E2" w:rsidP="005223E2">
      <w:pPr>
        <w:jc w:val="both"/>
      </w:pPr>
      <w:r>
        <w:t xml:space="preserve">Świadomość ekologiczną Polaków warto skonfrontować z faktycznie podejmowanymi działaniami na rzecz ochrony środowiska. </w:t>
      </w:r>
      <w:r w:rsidRPr="00B6184C">
        <w:t>W roku 201</w:t>
      </w:r>
      <w:r>
        <w:t>7</w:t>
      </w:r>
      <w:r w:rsidRPr="00B6184C">
        <w:t xml:space="preserve"> odsetek osób </w:t>
      </w:r>
      <w:r>
        <w:t xml:space="preserve">deklarujących </w:t>
      </w:r>
      <w:r w:rsidRPr="00B6184C">
        <w:t>regularn</w:t>
      </w:r>
      <w:r>
        <w:t>e</w:t>
      </w:r>
      <w:r w:rsidRPr="00B6184C">
        <w:t xml:space="preserve"> segreg</w:t>
      </w:r>
      <w:r>
        <w:t>owanie</w:t>
      </w:r>
      <w:r w:rsidRPr="00B6184C">
        <w:t xml:space="preserve"> </w:t>
      </w:r>
      <w:r>
        <w:t>odpadów</w:t>
      </w:r>
      <w:r w:rsidRPr="00B6184C">
        <w:t xml:space="preserve"> wyn</w:t>
      </w:r>
      <w:r>
        <w:t>iósł</w:t>
      </w:r>
      <w:r w:rsidRPr="00B6184C">
        <w:t xml:space="preserve"> </w:t>
      </w:r>
      <w:r>
        <w:t xml:space="preserve">tylko 53,2% (spadek z poziomu </w:t>
      </w:r>
      <w:r w:rsidRPr="00B6184C">
        <w:t>68%</w:t>
      </w:r>
      <w:r>
        <w:t xml:space="preserve"> w 2014 r.).</w:t>
      </w:r>
      <w:r w:rsidRPr="00B6184C">
        <w:t xml:space="preserve"> </w:t>
      </w:r>
      <w:r>
        <w:t xml:space="preserve">Mimo zadeklarowanej segregacji odpadów, poziom recyklingu i przygotowania do ponownego użycia papieru, metalu, tworzyw sztucznych i szkła wyniósł w Polsce w 2016 r. zaledwie 28%. </w:t>
      </w:r>
      <w:r w:rsidRPr="00B6184C">
        <w:t xml:space="preserve">Co </w:t>
      </w:r>
      <w:r>
        <w:t>czwarty</w:t>
      </w:r>
      <w:r w:rsidRPr="00B6184C">
        <w:t xml:space="preserve"> Polak </w:t>
      </w:r>
      <w:r>
        <w:t>(26,6%) wrzucał odpady do jednego kosza, a prawie co szósty (17,2%) segregował</w:t>
      </w:r>
      <w:r w:rsidRPr="00B6184C">
        <w:t xml:space="preserve"> śmieci sporadycznie</w:t>
      </w:r>
      <w:r>
        <w:t xml:space="preserve">. </w:t>
      </w:r>
      <w:r w:rsidRPr="00B6184C">
        <w:t>Osoby, które nie zadeklarowały segregacji</w:t>
      </w:r>
      <w:r>
        <w:t xml:space="preserve"> odpadów</w:t>
      </w:r>
      <w:r w:rsidRPr="00B6184C">
        <w:t xml:space="preserve"> lub nie robią tego regularnie, zostały zapytane, co jest przyczyną </w:t>
      </w:r>
      <w:r>
        <w:t xml:space="preserve">braku nawyku segregacji </w:t>
      </w:r>
      <w:r w:rsidRPr="00B6184C">
        <w:t>w ich przypadku. Najczęstszą odpowiedzią był brak miejsca na segregowanie odpadów (3</w:t>
      </w:r>
      <w:r>
        <w:t>3,5</w:t>
      </w:r>
      <w:r w:rsidRPr="00B6184C">
        <w:t>%).</w:t>
      </w:r>
      <w:r>
        <w:t xml:space="preserve"> Brak odpowiednich pojemników w </w:t>
      </w:r>
      <w:r w:rsidRPr="00B6184C">
        <w:t xml:space="preserve">okolicy </w:t>
      </w:r>
      <w:r>
        <w:t>był</w:t>
      </w:r>
      <w:r w:rsidRPr="00B6184C">
        <w:t xml:space="preserve"> powodem braku rozdzielania śmieci według więcej niż jednej czwartej respondentów (2</w:t>
      </w:r>
      <w:r>
        <w:t>7,9</w:t>
      </w:r>
      <w:r w:rsidRPr="00B6184C">
        <w:t>%).</w:t>
      </w:r>
      <w:r>
        <w:t xml:space="preserve"> Duże znaczenie ma także niechęć domowników (25,9%, wzrost o 7 punktów procentowych w porównaniu z badaniami z 2014 r.) oraz </w:t>
      </w:r>
      <w:r>
        <w:lastRenderedPageBreak/>
        <w:t>brak czasu (23,1%, wzrost o 6,9 punkta procentowego), co pokazuje, jak duże znaczenie w postawach prośrodowiskowych ma wewnętrzna motywacja ludzi</w:t>
      </w:r>
      <w:r>
        <w:rPr>
          <w:rStyle w:val="Odwoanieprzypisudolnego"/>
        </w:rPr>
        <w:footnoteReference w:id="77"/>
      </w:r>
      <w:r>
        <w:t>.</w:t>
      </w:r>
    </w:p>
    <w:p w:rsidR="005223E2" w:rsidRPr="005223E2" w:rsidRDefault="005223E2" w:rsidP="005223E2">
      <w:pPr>
        <w:jc w:val="both"/>
        <w:rPr>
          <w:i/>
        </w:rPr>
      </w:pPr>
      <w:r w:rsidRPr="005223E2">
        <w:rPr>
          <w:i/>
        </w:rPr>
        <w:t xml:space="preserve">Rys. </w:t>
      </w:r>
      <w:r>
        <w:rPr>
          <w:i/>
        </w:rPr>
        <w:t>1</w:t>
      </w:r>
      <w:r w:rsidRPr="005223E2">
        <w:rPr>
          <w:i/>
        </w:rPr>
        <w:t>2</w:t>
      </w:r>
      <w:r>
        <w:rPr>
          <w:i/>
        </w:rPr>
        <w:t xml:space="preserve">.3. </w:t>
      </w:r>
      <w:r w:rsidRPr="005223E2">
        <w:rPr>
          <w:i/>
        </w:rPr>
        <w:t xml:space="preserve"> Rozkład odpowiedzi udzielonych na pytania związane z segregacją odpadów: </w:t>
      </w:r>
      <w:r w:rsidRPr="005223E2">
        <w:rPr>
          <w:i/>
          <w:u w:val="single"/>
        </w:rPr>
        <w:t>Dlaczego w Pana(i) gospodarstwie domowym nie segreguje się odpadów lub robi się to sporadycznie?</w:t>
      </w:r>
    </w:p>
    <w:p w:rsidR="005223E2" w:rsidRPr="00B6184C" w:rsidRDefault="005223E2" w:rsidP="005223E2">
      <w:pPr>
        <w:jc w:val="both"/>
        <w:rPr>
          <w:i/>
        </w:rPr>
      </w:pPr>
      <w:r>
        <w:rPr>
          <w:noProof/>
          <w:lang w:eastAsia="pl-PL"/>
        </w:rPr>
        <w:drawing>
          <wp:inline distT="0" distB="0" distL="0" distR="0" wp14:anchorId="03697FEF" wp14:editId="015DA774">
            <wp:extent cx="5391150" cy="3228975"/>
            <wp:effectExtent l="0" t="0" r="0" b="9525"/>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0">
                      <a:extLst>
                        <a:ext uri="{28A0092B-C50C-407E-A947-70E740481C1C}">
                          <a14:useLocalDpi xmlns:a14="http://schemas.microsoft.com/office/drawing/2010/main" val="0"/>
                        </a:ext>
                      </a:extLst>
                    </a:blip>
                    <a:srcRect l="12569" t="23334" r="28394" b="13564"/>
                    <a:stretch>
                      <a:fillRect/>
                    </a:stretch>
                  </pic:blipFill>
                  <pic:spPr bwMode="auto">
                    <a:xfrm>
                      <a:off x="0" y="0"/>
                      <a:ext cx="5391150" cy="3228975"/>
                    </a:xfrm>
                    <a:prstGeom prst="rect">
                      <a:avLst/>
                    </a:prstGeom>
                    <a:noFill/>
                    <a:ln>
                      <a:noFill/>
                    </a:ln>
                  </pic:spPr>
                </pic:pic>
              </a:graphicData>
            </a:graphic>
          </wp:inline>
        </w:drawing>
      </w:r>
    </w:p>
    <w:p w:rsidR="005223E2" w:rsidRDefault="005223E2" w:rsidP="005223E2">
      <w:pPr>
        <w:jc w:val="both"/>
      </w:pPr>
    </w:p>
    <w:p w:rsidR="005223E2" w:rsidRDefault="005223E2" w:rsidP="005223E2">
      <w:pPr>
        <w:jc w:val="both"/>
      </w:pPr>
      <w:r>
        <w:t xml:space="preserve">Drugim istotnym problemem środowiska w Polsce jest, zdaniem ankietowanych, zanieczyszczenie powietrza. </w:t>
      </w:r>
      <w:r w:rsidRPr="0018720C">
        <w:t xml:space="preserve">Za </w:t>
      </w:r>
      <w:r>
        <w:t>główne przyczyny</w:t>
      </w:r>
      <w:r w:rsidRPr="0018720C">
        <w:t xml:space="preserve"> tego </w:t>
      </w:r>
      <w:r>
        <w:t>stanu</w:t>
      </w:r>
      <w:r w:rsidRPr="0018720C">
        <w:t xml:space="preserve"> uznawane są emisja z dużych obiektów energ</w:t>
      </w:r>
      <w:r>
        <w:t xml:space="preserve">etycznego spalania oraz emisja </w:t>
      </w:r>
      <w:r w:rsidRPr="0018720C">
        <w:t xml:space="preserve">z transportu samochodowego. Polacy rzadziej zauważają wpływ emisji z indywidualnych źródeł na jakość powietrza, choć równocześnie prawie połowa Polaków uważa, że do poprawy stanu powietrza przyczyniłaby się wymiana starych pieców węglowych na piece nowocześniejsze. Podobna część badanych rozwiązania problemu jakości powietrza szukałaby </w:t>
      </w:r>
      <w:r>
        <w:br/>
      </w:r>
      <w:r w:rsidRPr="0018720C">
        <w:t>w stosowaniu odnawialnych źródeł energii.</w:t>
      </w: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Pr="0018720C" w:rsidRDefault="005223E2" w:rsidP="005223E2">
      <w:pPr>
        <w:jc w:val="both"/>
      </w:pPr>
    </w:p>
    <w:p w:rsidR="005223E2" w:rsidRPr="005223E2" w:rsidRDefault="005223E2" w:rsidP="005223E2">
      <w:pPr>
        <w:jc w:val="both"/>
        <w:rPr>
          <w:i/>
          <w:u w:val="single"/>
        </w:rPr>
      </w:pPr>
      <w:r w:rsidRPr="005223E2">
        <w:rPr>
          <w:i/>
        </w:rPr>
        <w:lastRenderedPageBreak/>
        <w:t xml:space="preserve">Rys. </w:t>
      </w:r>
      <w:r>
        <w:rPr>
          <w:i/>
        </w:rPr>
        <w:t xml:space="preserve">12.4. </w:t>
      </w:r>
      <w:r w:rsidRPr="005223E2">
        <w:rPr>
          <w:i/>
        </w:rPr>
        <w:t xml:space="preserve">Rozkład odpowiedzi udzielonych na pytanie: </w:t>
      </w:r>
      <w:r w:rsidRPr="005223E2">
        <w:rPr>
          <w:i/>
          <w:u w:val="single"/>
        </w:rPr>
        <w:t>Proszę uszeregować poniższe powody złej jakości powietrza w Polsce w kolejności OD najważniejszego dla Pana(i) powodu DO najmniej ważnego – najważniejszy (średnia z ocen)</w:t>
      </w:r>
    </w:p>
    <w:p w:rsidR="005223E2" w:rsidRDefault="005223E2" w:rsidP="005223E2">
      <w:pPr>
        <w:jc w:val="both"/>
      </w:pPr>
    </w:p>
    <w:p w:rsidR="005223E2" w:rsidRDefault="005223E2" w:rsidP="005223E2">
      <w:pPr>
        <w:jc w:val="both"/>
      </w:pPr>
      <w:r>
        <w:rPr>
          <w:noProof/>
          <w:lang w:eastAsia="pl-PL"/>
        </w:rPr>
        <w:drawing>
          <wp:inline distT="0" distB="0" distL="0" distR="0" wp14:anchorId="00EDC664" wp14:editId="3CE0951D">
            <wp:extent cx="4029075" cy="3648075"/>
            <wp:effectExtent l="0" t="0" r="0" b="0"/>
            <wp:docPr id="92" name="Wykres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223E2" w:rsidRDefault="005223E2" w:rsidP="005223E2">
      <w:pPr>
        <w:jc w:val="both"/>
      </w:pPr>
      <w:r w:rsidRPr="00F204D4">
        <w:t>Dane w %, N=1000</w:t>
      </w:r>
    </w:p>
    <w:p w:rsidR="005223E2" w:rsidRDefault="005223E2" w:rsidP="005223E2">
      <w:pPr>
        <w:jc w:val="both"/>
      </w:pPr>
      <w:r>
        <w:t>Z</w:t>
      </w:r>
      <w:r w:rsidRPr="00D56DB4">
        <w:t xml:space="preserve">miany klimatu są ważnym problemem </w:t>
      </w:r>
      <w:r>
        <w:t>d</w:t>
      </w:r>
      <w:r w:rsidRPr="00D56DB4">
        <w:t>la zdecyd</w:t>
      </w:r>
      <w:r>
        <w:t xml:space="preserve">owanej większości Polaków (86%). </w:t>
      </w:r>
      <w:r w:rsidRPr="000A1913">
        <w:t>O istotności zmian klimatu jest przekonanych prawie dziewięciu na dziesięciu Polaków – bez względu na płeć, wiek czy poziom wykształcenia. Trzy czwarte Polaków (74%) opowiada się za tym, by Polska redukowała emisję gazów cieplarnianych. Tylko co jedenasty ankietowany (9%) jest temu przeciwny, natomiast prawie jedna piąta badanych (17%) nie ma jednoznacznej opinii na ten temat.</w:t>
      </w: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Default="005223E2" w:rsidP="005223E2">
      <w:pPr>
        <w:jc w:val="both"/>
      </w:pPr>
    </w:p>
    <w:p w:rsidR="005223E2" w:rsidRPr="005223E2" w:rsidRDefault="005223E2" w:rsidP="005223E2">
      <w:pPr>
        <w:jc w:val="both"/>
        <w:rPr>
          <w:i/>
          <w:u w:val="single"/>
        </w:rPr>
      </w:pPr>
      <w:r w:rsidRPr="005223E2">
        <w:rPr>
          <w:i/>
        </w:rPr>
        <w:lastRenderedPageBreak/>
        <w:t xml:space="preserve">Rys. </w:t>
      </w:r>
      <w:r>
        <w:rPr>
          <w:i/>
        </w:rPr>
        <w:t>12.</w:t>
      </w:r>
      <w:r w:rsidRPr="005223E2">
        <w:rPr>
          <w:i/>
        </w:rPr>
        <w:t>5</w:t>
      </w:r>
      <w:r>
        <w:rPr>
          <w:i/>
        </w:rPr>
        <w:t>.</w:t>
      </w:r>
      <w:r w:rsidRPr="005223E2">
        <w:rPr>
          <w:i/>
        </w:rPr>
        <w:t xml:space="preserve"> Rozkład odpowiedzi udzielonych na pytanie: </w:t>
      </w:r>
      <w:r w:rsidRPr="005223E2">
        <w:rPr>
          <w:i/>
          <w:u w:val="single"/>
        </w:rPr>
        <w:t>Proszę powiedzieć, czy Polska powinna redukować emisję gazów cieplarnianych?</w:t>
      </w:r>
    </w:p>
    <w:p w:rsidR="005223E2" w:rsidRDefault="005223E2" w:rsidP="005223E2">
      <w:pPr>
        <w:jc w:val="both"/>
      </w:pPr>
      <w:r>
        <w:rPr>
          <w:noProof/>
          <w:lang w:eastAsia="pl-PL"/>
        </w:rPr>
        <w:drawing>
          <wp:inline distT="0" distB="0" distL="0" distR="0" wp14:anchorId="0EC55403" wp14:editId="4334B37B">
            <wp:extent cx="4400550" cy="2428875"/>
            <wp:effectExtent l="0" t="0" r="0" b="0"/>
            <wp:docPr id="91" name="Wykres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223E2" w:rsidRPr="00EC1F81" w:rsidRDefault="005223E2" w:rsidP="005223E2">
      <w:pPr>
        <w:jc w:val="both"/>
      </w:pPr>
      <w:r w:rsidRPr="00F204D4">
        <w:t>Dane w %, N=1000</w:t>
      </w:r>
    </w:p>
    <w:p w:rsidR="005223E2" w:rsidRDefault="005223E2" w:rsidP="005223E2">
      <w:pPr>
        <w:jc w:val="both"/>
      </w:pPr>
      <w:r w:rsidRPr="00EC1F81">
        <w:t>Do</w:t>
      </w:r>
      <w:r>
        <w:t xml:space="preserve"> ochrony środowiska naturalnego</w:t>
      </w:r>
      <w:r w:rsidRPr="00EC1F81">
        <w:t xml:space="preserve"> ankietowanych motyw</w:t>
      </w:r>
      <w:r>
        <w:t>owały</w:t>
      </w:r>
      <w:r w:rsidRPr="00EC1F81">
        <w:t xml:space="preserve"> przede wszystkim dbałość </w:t>
      </w:r>
      <w:r>
        <w:br/>
      </w:r>
      <w:r w:rsidRPr="00EC1F81">
        <w:t>o zdrowie człowieka oraz troska o przyszłe pokolenia – o tych czynnikach wspo</w:t>
      </w:r>
      <w:r>
        <w:t>mniała</w:t>
      </w:r>
      <w:r w:rsidRPr="00EC1F81">
        <w:t xml:space="preserve"> </w:t>
      </w:r>
      <w:r>
        <w:t>p</w:t>
      </w:r>
      <w:r w:rsidRPr="00EC1F81">
        <w:t>ołowa Polaków.</w:t>
      </w:r>
    </w:p>
    <w:p w:rsidR="005223E2" w:rsidRDefault="005223E2" w:rsidP="005223E2">
      <w:pPr>
        <w:jc w:val="both"/>
      </w:pPr>
      <w:r>
        <w:t>W</w:t>
      </w:r>
      <w:r w:rsidRPr="00EC1F81">
        <w:t xml:space="preserve">edług Polaków stan środowiska naturalnego zależy przede wszystkim od aktywności każdego </w:t>
      </w:r>
      <w:r>
        <w:t>obywatela</w:t>
      </w:r>
      <w:r w:rsidRPr="00EC1F81">
        <w:t xml:space="preserve">. Czynniki instytucjonalne (dobre prawo, działania władz itp.) liczą się, natomiast znajdują się na dalszych pozycjach. </w:t>
      </w:r>
      <w:r>
        <w:t>O</w:t>
      </w:r>
      <w:r w:rsidRPr="00EC1F81">
        <w:t xml:space="preserve">dpowiedzialność za dobrostan przyrody przypisujemy </w:t>
      </w:r>
      <w:r>
        <w:t>j</w:t>
      </w:r>
      <w:r w:rsidRPr="00EC1F81">
        <w:t xml:space="preserve">ako społeczeństwo głównie </w:t>
      </w:r>
      <w:r>
        <w:t>osobom indywidualnym</w:t>
      </w:r>
      <w:r w:rsidRPr="00EC1F81">
        <w:t>, a nie instytucjom. Taki wniosek potwierdzają również odpowiedzi na pytanie o to, kto powini</w:t>
      </w:r>
      <w:r>
        <w:t xml:space="preserve">en dbać o kształtowanie postaw </w:t>
      </w:r>
      <w:r w:rsidRPr="00EC1F81">
        <w:t>i zachowań ekologicznych – odpowiedź „każdy indywidualnie”</w:t>
      </w:r>
      <w:r>
        <w:t>,</w:t>
      </w:r>
      <w:r w:rsidRPr="00EC1F81">
        <w:t xml:space="preserve"> obok szkoły </w:t>
      </w:r>
      <w:r>
        <w:t xml:space="preserve">oraz </w:t>
      </w:r>
      <w:r w:rsidRPr="00EC1F81">
        <w:t xml:space="preserve">władz samorządowych </w:t>
      </w:r>
      <w:r>
        <w:t>i</w:t>
      </w:r>
      <w:r w:rsidRPr="00EC1F81">
        <w:t xml:space="preserve"> lokalnych</w:t>
      </w:r>
      <w:r>
        <w:t>,</w:t>
      </w:r>
      <w:r w:rsidRPr="00EC1F81">
        <w:t xml:space="preserve"> pojawia </w:t>
      </w:r>
      <w:r>
        <w:t xml:space="preserve">się </w:t>
      </w:r>
      <w:r w:rsidRPr="00EC1F81">
        <w:t xml:space="preserve">najczęściej. </w:t>
      </w:r>
    </w:p>
    <w:p w:rsidR="005223E2" w:rsidRDefault="005223E2" w:rsidP="005223E2">
      <w:pPr>
        <w:jc w:val="both"/>
      </w:pPr>
      <w:r>
        <w:t>W trakcie badania z 2017 r. dotyczącego gospodarki odpadami</w:t>
      </w:r>
      <w:r>
        <w:rPr>
          <w:rStyle w:val="Odwoanieprzypisudolnego"/>
        </w:rPr>
        <w:footnoteReference w:id="78"/>
      </w:r>
      <w:r>
        <w:t xml:space="preserve">, Polacy zostali zapytani o to, czy mają </w:t>
      </w:r>
      <w:r w:rsidRPr="00796B65">
        <w:t xml:space="preserve">w zwyczaju wykonywać pewne czynności, które można uznać za wspierające ochronę środowiska. </w:t>
      </w:r>
      <w:r w:rsidRPr="00F46DB4">
        <w:t xml:space="preserve">Dwa najczęściej podejmowane przez Polaków działania proekologiczne to stosowanie toreb wielokrotnego użytku </w:t>
      </w:r>
      <w:r>
        <w:t xml:space="preserve">(69%) </w:t>
      </w:r>
      <w:r w:rsidRPr="00F46DB4">
        <w:t>oraz unikanie wytwarzania odpadów poprzez zakup tylko potrz</w:t>
      </w:r>
      <w:r>
        <w:t>ebnych produktów (</w:t>
      </w:r>
      <w:r w:rsidRPr="00F46DB4">
        <w:t xml:space="preserve">64%). Ponad połowa deklaruje również naprawę zepsutych urządzeń przed zakupem nowych oraz ponowne wykorzystanie </w:t>
      </w:r>
      <w:r>
        <w:t>niepotrzebnych przedmiotów</w:t>
      </w:r>
      <w:r w:rsidRPr="00F46DB4">
        <w:t xml:space="preserve"> poprzez ich oddawanie czy sprzedaż </w:t>
      </w:r>
      <w:r>
        <w:t>(po 54,4%). N</w:t>
      </w:r>
      <w:r w:rsidRPr="00F46DB4">
        <w:t xml:space="preserve">ajmniej powszechną praktyką okazało się unikanie używania butelek bezzwrotnych, na przykład poprzez picie wody z kranu, </w:t>
      </w:r>
      <w:r>
        <w:t>do której przyznaje się tylko 32</w:t>
      </w:r>
      <w:r w:rsidRPr="00F46DB4">
        <w:t xml:space="preserve">% </w:t>
      </w:r>
      <w:r>
        <w:t>badanych</w:t>
      </w:r>
      <w:r w:rsidRPr="00F46DB4">
        <w:t>.</w:t>
      </w:r>
    </w:p>
    <w:p w:rsidR="005223E2" w:rsidRPr="004C21AA" w:rsidRDefault="005223E2" w:rsidP="005223E2">
      <w:pPr>
        <w:jc w:val="both"/>
      </w:pPr>
      <w:r>
        <w:t>Jak już wspomniano wcześniej, z</w:t>
      </w:r>
      <w:r w:rsidRPr="00EC1F81">
        <w:t>daniem większości badanych problemy środowiska naturalnego nie są najważniejszym wyzwaniem stojącym przed Polską. Konsekwencją tego przekonania może być brak potrzeby samodzi</w:t>
      </w:r>
      <w:r>
        <w:t xml:space="preserve">elnego poszukiwania informacji </w:t>
      </w:r>
      <w:r w:rsidRPr="00EC1F81">
        <w:t xml:space="preserve">o środowisku naturalnym i jego ochrony. </w:t>
      </w:r>
      <w:r>
        <w:t xml:space="preserve">Wyniki badania wskazują, że pierwszym źródłem informacji o środowisku naturalnym jest telewizja (przede wszystkim dla grupy wiekowej odbiorców 40+), a kolejnym preferowanym źródłem jest Internet (w szczególności dla grupy wiekowej odbiorców 15–39 lat). </w:t>
      </w:r>
    </w:p>
    <w:p w:rsidR="005223E2" w:rsidRDefault="005223E2" w:rsidP="005223E2">
      <w:pPr>
        <w:autoSpaceDE w:val="0"/>
        <w:autoSpaceDN w:val="0"/>
        <w:adjustRightInd w:val="0"/>
        <w:spacing w:after="0"/>
        <w:jc w:val="both"/>
        <w:rPr>
          <w:rFonts w:cs="TTE15A60C8t00"/>
        </w:rPr>
      </w:pPr>
      <w:r w:rsidRPr="003B6B69">
        <w:rPr>
          <w:rFonts w:cs="TTE15A60C8t00"/>
        </w:rPr>
        <w:lastRenderedPageBreak/>
        <w:t xml:space="preserve">Kreowanie ekologicznych zachowań skutkuje obniżeniem negatywnego wpływu człowieka na środowisko, </w:t>
      </w:r>
      <w:r>
        <w:rPr>
          <w:rFonts w:cs="TTE15A60C8t00"/>
        </w:rPr>
        <w:t>co w dłuższej perspektywie przyczyni się do</w:t>
      </w:r>
      <w:r w:rsidRPr="003B6B69">
        <w:rPr>
          <w:rFonts w:cs="TTE15A60C8t00"/>
        </w:rPr>
        <w:t xml:space="preserve"> zmniejsz</w:t>
      </w:r>
      <w:r>
        <w:rPr>
          <w:rFonts w:cs="TTE15A60C8t00"/>
        </w:rPr>
        <w:t xml:space="preserve">ania </w:t>
      </w:r>
      <w:r w:rsidRPr="003B6B69">
        <w:rPr>
          <w:rFonts w:cs="TTE15A60C8t00"/>
        </w:rPr>
        <w:t xml:space="preserve">nakładów na usuwanie zagrożeń i zanieczyszczeń środowiska. Promowanie zachowań ekologicznych spełnia przesłanki tzw. działania u źródła, tj. zapobiegania negatywnym wpływom na środowisko, a nie tylko likwidowania już istniejących problemów. </w:t>
      </w:r>
      <w:r>
        <w:rPr>
          <w:rFonts w:cs="TTE15A60C8t00"/>
        </w:rPr>
        <w:t>Stan środowiska zależy zarówno od dobrych przepisów i ich egzekwowania, jak również od zachowania poszczególnych mieszkańców, dlatego istotne jest prowadzenie skutecznej edukacji ekologicznej i kształtowanie zrównoważonych wzorców konsumpcji.</w:t>
      </w:r>
    </w:p>
    <w:p w:rsidR="005223E2" w:rsidRDefault="005223E2" w:rsidP="005223E2">
      <w:pPr>
        <w:autoSpaceDE w:val="0"/>
        <w:autoSpaceDN w:val="0"/>
        <w:adjustRightInd w:val="0"/>
        <w:spacing w:after="0"/>
        <w:jc w:val="both"/>
        <w:rPr>
          <w:rFonts w:cs="TTE15A60C8t00"/>
        </w:rPr>
      </w:pPr>
    </w:p>
    <w:p w:rsidR="005223E2" w:rsidRPr="00812649" w:rsidRDefault="005223E2" w:rsidP="00812649">
      <w:pPr>
        <w:pStyle w:val="Nagwek2"/>
      </w:pPr>
      <w:bookmarkStart w:id="95" w:name="_Toc505604948"/>
      <w:bookmarkStart w:id="96" w:name="_Toc505605341"/>
      <w:r w:rsidRPr="00812649">
        <w:t>Dostęp do informacji o środowisku</w:t>
      </w:r>
      <w:bookmarkEnd w:id="95"/>
      <w:bookmarkEnd w:id="96"/>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sidRPr="001C3A9B">
        <w:rPr>
          <w:rFonts w:cs="TTE15A60C8t00"/>
        </w:rPr>
        <w:t>Skuteczn</w:t>
      </w:r>
      <w:r>
        <w:rPr>
          <w:rFonts w:cs="TTE15A60C8t00"/>
        </w:rPr>
        <w:t>e</w:t>
      </w:r>
      <w:r w:rsidRPr="001C3A9B">
        <w:rPr>
          <w:rFonts w:cs="TTE15A60C8t00"/>
        </w:rPr>
        <w:t xml:space="preserve"> i efektywn</w:t>
      </w:r>
      <w:r>
        <w:rPr>
          <w:rFonts w:cs="TTE15A60C8t00"/>
        </w:rPr>
        <w:t>e</w:t>
      </w:r>
      <w:r w:rsidRPr="001C3A9B">
        <w:rPr>
          <w:rFonts w:cs="TTE15A60C8t00"/>
        </w:rPr>
        <w:t xml:space="preserve"> </w:t>
      </w:r>
      <w:r>
        <w:rPr>
          <w:rFonts w:cs="TTE15A60C8t00"/>
        </w:rPr>
        <w:t xml:space="preserve">udostępnianie przez władze publiczne </w:t>
      </w:r>
      <w:r w:rsidRPr="001C3A9B">
        <w:rPr>
          <w:rFonts w:cs="TTE15A60C8t00"/>
        </w:rPr>
        <w:t xml:space="preserve">informacji </w:t>
      </w:r>
      <w:r>
        <w:rPr>
          <w:rFonts w:cs="TTE15A60C8t00"/>
        </w:rPr>
        <w:t xml:space="preserve">o </w:t>
      </w:r>
      <w:r w:rsidRPr="001C3A9B">
        <w:rPr>
          <w:rFonts w:cs="TTE15A60C8t00"/>
        </w:rPr>
        <w:t>środowisk</w:t>
      </w:r>
      <w:r>
        <w:rPr>
          <w:rFonts w:cs="TTE15A60C8t00"/>
        </w:rPr>
        <w:t>u i jego ochronie</w:t>
      </w:r>
      <w:r w:rsidRPr="001C3A9B">
        <w:rPr>
          <w:rFonts w:cs="TTE15A60C8t00"/>
        </w:rPr>
        <w:t xml:space="preserve"> </w:t>
      </w:r>
      <w:r>
        <w:rPr>
          <w:rFonts w:cs="TTE15A60C8t00"/>
        </w:rPr>
        <w:t>ma wielowymiarowe znaczenie. Jest istotne</w:t>
      </w:r>
      <w:r w:rsidRPr="001C3A9B">
        <w:rPr>
          <w:rFonts w:cs="TTE15A60C8t00"/>
        </w:rPr>
        <w:t xml:space="preserve"> dla </w:t>
      </w:r>
      <w:r>
        <w:rPr>
          <w:rFonts w:cs="TTE15A60C8t00"/>
        </w:rPr>
        <w:t>prawidłowego funkcjonowania społeczeństwa obywatelskiego oraz budowania krajowej gospodarki w oparciu o wiedzę na temat procesów zachodzących w środowisku naturalnym i wpływu działalności człowieka na te procesy</w:t>
      </w:r>
      <w:r w:rsidRPr="001C3A9B">
        <w:rPr>
          <w:rFonts w:cs="TTE15A60C8t00"/>
        </w:rPr>
        <w:t>.</w:t>
      </w:r>
      <w:r>
        <w:rPr>
          <w:rFonts w:cs="TTE15A60C8t00"/>
        </w:rPr>
        <w:t xml:space="preserve"> Umożliwia szeroką analizę zagrożeń</w:t>
      </w:r>
      <w:r w:rsidRPr="00BB6035">
        <w:rPr>
          <w:rFonts w:cs="TTE15A60C8t00"/>
        </w:rPr>
        <w:t xml:space="preserve"> </w:t>
      </w:r>
      <w:r>
        <w:rPr>
          <w:rFonts w:cs="TTE15A60C8t00"/>
        </w:rPr>
        <w:t xml:space="preserve">dla życia i zdrowia ludzkiego, jakie płyną ze zjawisk i przemian zachodzących w środowisku naturalnym. Poprzez przekazywanie wiarygodnych i zweryfikowanych danych dostęp do informacji o środowisku wspomaga skuteczną, opartą na faktach edukację ekologiczną. </w:t>
      </w:r>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sidRPr="009142AB">
        <w:rPr>
          <w:rFonts w:cs="TTE15A60C8t00"/>
        </w:rPr>
        <w:t>Konwencja z Aarhus</w:t>
      </w:r>
      <w:r w:rsidRPr="009142AB">
        <w:rPr>
          <w:rStyle w:val="Odwoanieprzypisudolnego"/>
          <w:rFonts w:cs="TTE15A60C8t00"/>
        </w:rPr>
        <w:footnoteReference w:id="79"/>
      </w:r>
      <w:r w:rsidRPr="009142AB">
        <w:rPr>
          <w:rFonts w:cs="TTE15A60C8t00"/>
        </w:rPr>
        <w:t>, dyrektywa w sprawie dostępu do informacji dotyczących środowiska</w:t>
      </w:r>
      <w:r w:rsidRPr="009142AB">
        <w:rPr>
          <w:rStyle w:val="Odwoanieprzypisudolnego"/>
          <w:rFonts w:cs="TTE15A60C8t00"/>
        </w:rPr>
        <w:footnoteReference w:id="80"/>
      </w:r>
      <w:r w:rsidRPr="009142AB">
        <w:rPr>
          <w:rFonts w:cs="TTE15A60C8t00"/>
        </w:rPr>
        <w:t xml:space="preserve"> oraz dyrektywa w sprawie INSPIRE</w:t>
      </w:r>
      <w:r w:rsidRPr="009142AB">
        <w:rPr>
          <w:rStyle w:val="Odwoanieprzypisudolnego"/>
          <w:rFonts w:cs="TTE15A60C8t00"/>
        </w:rPr>
        <w:footnoteReference w:id="81"/>
      </w:r>
      <w:r w:rsidRPr="009142AB">
        <w:rPr>
          <w:rFonts w:cs="TTE15A60C8t00"/>
        </w:rPr>
        <w:t>, wraz z wdrażającymi je przepisami krajowymi, tworzą razem podstawę prawną dla wymiany informacji dotyczących środo</w:t>
      </w:r>
      <w:r>
        <w:rPr>
          <w:rFonts w:cs="TTE15A60C8t00"/>
        </w:rPr>
        <w:t>wiska między organami państwa a </w:t>
      </w:r>
      <w:r w:rsidRPr="009142AB">
        <w:rPr>
          <w:rFonts w:cs="TTE15A60C8t00"/>
        </w:rPr>
        <w:t xml:space="preserve">społeczeństwem. </w:t>
      </w:r>
      <w:r w:rsidRPr="00781D2B">
        <w:rPr>
          <w:rFonts w:cs="TTE15A60C8t00"/>
        </w:rPr>
        <w:t>Stanowią one również integralną część obowiązującego planu działania UE na rzecz administracji elektronicznej</w:t>
      </w:r>
      <w:r w:rsidRPr="009142AB">
        <w:rPr>
          <w:rStyle w:val="Odwoanieprzypisudolnego"/>
          <w:rFonts w:cs="TTE15A60C8t00"/>
        </w:rPr>
        <w:footnoteReference w:id="82"/>
      </w:r>
      <w:r w:rsidRPr="009142AB">
        <w:rPr>
          <w:rFonts w:cs="TTE15A60C8t00"/>
        </w:rPr>
        <w:t>.</w:t>
      </w:r>
      <w:r>
        <w:rPr>
          <w:rFonts w:cs="TTE15A60C8t00"/>
        </w:rPr>
        <w:t xml:space="preserve"> Skuteczne wprowadzenie w życie prawa w zakresie dostępu do informacji o środowisku i jego ochronie wpisuje się w realizację Celów Zrównoważonego Rozwoju oraz związanej z nimi strategii ONZ wobec rewolucji informatycznej.</w:t>
      </w:r>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Pr>
          <w:rFonts w:cs="TTE15A60C8t00"/>
        </w:rPr>
        <w:t>Udostępnianie informacji odbywa się na wniosek zainteresowanych stron oraz w sposób aktywny</w:t>
      </w:r>
      <w:r w:rsidRPr="001C3A9B">
        <w:rPr>
          <w:rFonts w:cs="TTE15A60C8t00"/>
        </w:rPr>
        <w:t>.</w:t>
      </w:r>
      <w:r>
        <w:rPr>
          <w:rFonts w:cs="TTE15A60C8t00"/>
        </w:rPr>
        <w:t xml:space="preserve"> W najbliższej przyszłości kluczowe znaczenie będą miały elektroniczne bazy danych, które zawierają informacje o środowisku. Powinny one umożliwiać jak najszerszy, bezpośredni dostęp do aktualnych informacji za pośrednictwem sieci Internet, w czasie rzeczywistym. Powinny również umożliwiać automatyczną wymianę informacji na potrzeby innych baz danych, prowadzonych przez podmioty zainteresowane ich dalszym wykorzystaniem, przekształcaniem i rozpowszechnianiem. W tym celu konieczne jest zapewnienie jak największej interoperacyjności już istniejących i przyszłych baz danych. Istotne jest też budowanie punktów dostępu, które agregowałyby wiele różnych baz danych w jednym miejscu i przez to umożliwiały społeczeństwu łatwiejszy do nich dostęp.</w:t>
      </w:r>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Pr>
          <w:rFonts w:cs="TTE15A60C8t00"/>
        </w:rPr>
        <w:t xml:space="preserve">Dyrektywa w sprawie INSPIRE </w:t>
      </w:r>
      <w:r w:rsidRPr="009142AB">
        <w:rPr>
          <w:rFonts w:cs="TTE15A60C8t00"/>
        </w:rPr>
        <w:t>określa</w:t>
      </w:r>
      <w:r>
        <w:rPr>
          <w:rFonts w:cs="TTE15A60C8t00"/>
        </w:rPr>
        <w:t xml:space="preserve"> </w:t>
      </w:r>
      <w:r w:rsidRPr="00C64E9E">
        <w:rPr>
          <w:rFonts w:cs="TTE15A60C8t00"/>
        </w:rPr>
        <w:t xml:space="preserve">standardy </w:t>
      </w:r>
      <w:r>
        <w:rPr>
          <w:rFonts w:cs="TTE15A60C8t00"/>
        </w:rPr>
        <w:t xml:space="preserve">wymiany </w:t>
      </w:r>
      <w:r w:rsidRPr="00C64E9E">
        <w:rPr>
          <w:rFonts w:cs="TTE15A60C8t00"/>
        </w:rPr>
        <w:t xml:space="preserve">konkretnych </w:t>
      </w:r>
      <w:r>
        <w:rPr>
          <w:rFonts w:cs="TTE15A60C8t00"/>
        </w:rPr>
        <w:t xml:space="preserve">danych </w:t>
      </w:r>
      <w:r w:rsidRPr="00C64E9E">
        <w:rPr>
          <w:rFonts w:cs="TTE15A60C8t00"/>
        </w:rPr>
        <w:t>przestrzennych</w:t>
      </w:r>
      <w:r>
        <w:rPr>
          <w:rFonts w:cs="TTE15A60C8t00"/>
        </w:rPr>
        <w:t xml:space="preserve"> między organami publicznymi. </w:t>
      </w:r>
      <w:r w:rsidRPr="00C64E9E">
        <w:rPr>
          <w:rFonts w:cs="TTE15A60C8t00"/>
        </w:rPr>
        <w:t xml:space="preserve">Nakłada ona również na państwa członkowskie obowiązek </w:t>
      </w:r>
      <w:r w:rsidRPr="00C64E9E">
        <w:rPr>
          <w:rFonts w:cs="TTE15A60C8t00"/>
        </w:rPr>
        <w:lastRenderedPageBreak/>
        <w:t>prowadzenia krajowego geoportalu, za pomocą którego dane przestrzenne mają być</w:t>
      </w:r>
      <w:r>
        <w:rPr>
          <w:rFonts w:cs="TTE15A60C8t00"/>
        </w:rPr>
        <w:t xml:space="preserve"> dostępne</w:t>
      </w:r>
      <w:r w:rsidRPr="00C64E9E">
        <w:rPr>
          <w:rFonts w:cs="TTE15A60C8t00"/>
        </w:rPr>
        <w:t xml:space="preserve">. Zakres tematyczny danych obejmuje nie tylko dane dotyczące środowiska, </w:t>
      </w:r>
      <w:r>
        <w:rPr>
          <w:rFonts w:cs="TTE15A60C8t00"/>
        </w:rPr>
        <w:t>lecz także</w:t>
      </w:r>
      <w:r w:rsidRPr="00C64E9E">
        <w:rPr>
          <w:rFonts w:cs="TTE15A60C8t00"/>
        </w:rPr>
        <w:t xml:space="preserve"> m.in. dane referencyjne</w:t>
      </w:r>
      <w:r w:rsidRPr="00C64E9E">
        <w:rPr>
          <w:rStyle w:val="Odwoanieprzypisudolnego"/>
          <w:rFonts w:cs="TTE15A60C8t00"/>
        </w:rPr>
        <w:footnoteReference w:id="83"/>
      </w:r>
      <w:r>
        <w:rPr>
          <w:rFonts w:cs="TTE15A60C8t00"/>
        </w:rPr>
        <w:t>, którymi są np. adresy, działki ewidencyjne czy podział administracyjny państwa</w:t>
      </w:r>
      <w:r w:rsidRPr="00C64E9E">
        <w:rPr>
          <w:rFonts w:cs="TTE15A60C8t00"/>
        </w:rPr>
        <w:t>. Dostępność do danych środowiskowych (określonych w dyrektywie w sprawie INSPIRE)</w:t>
      </w:r>
      <w:r w:rsidRPr="0062259D">
        <w:rPr>
          <w:rFonts w:cs="TTE15A60C8t00"/>
        </w:rPr>
        <w:t xml:space="preserve"> oraz strategie polityczne dotyczące wymiany danych („otwarte dane”) każdego państwa członkowskiego są podda</w:t>
      </w:r>
      <w:r>
        <w:rPr>
          <w:rFonts w:cs="TTE15A60C8t00"/>
        </w:rPr>
        <w:t>wane systematycznemu przeglądowi</w:t>
      </w:r>
      <w:r>
        <w:rPr>
          <w:rStyle w:val="Odwoanieprzypisudolnego"/>
          <w:rFonts w:cs="TTE15A60C8t00"/>
        </w:rPr>
        <w:footnoteReference w:id="84"/>
      </w:r>
      <w:r w:rsidRPr="00C64E9E">
        <w:rPr>
          <w:rFonts w:cs="TTE15A60C8t00"/>
        </w:rPr>
        <w:t>. Polska osiągnęła dobre wyniki w zakresie wdrażania dyrektywy w sprawie INSPIRE, umożliwiając aktywny dostęp do informacji dotyczących środowiska, lecz istnieją obszary wymagające poprawy.</w:t>
      </w:r>
      <w:r>
        <w:rPr>
          <w:rFonts w:cs="TTE15A60C8t00"/>
        </w:rPr>
        <w:t xml:space="preserve"> O</w:t>
      </w:r>
      <w:r w:rsidRPr="0062259D">
        <w:rPr>
          <w:rFonts w:cs="TTE15A60C8t00"/>
        </w:rPr>
        <w:t>bowiązując</w:t>
      </w:r>
      <w:r>
        <w:rPr>
          <w:rFonts w:cs="TTE15A60C8t00"/>
        </w:rPr>
        <w:t>e</w:t>
      </w:r>
      <w:r w:rsidRPr="0062259D">
        <w:rPr>
          <w:rFonts w:cs="TTE15A60C8t00"/>
        </w:rPr>
        <w:t xml:space="preserve"> przepis</w:t>
      </w:r>
      <w:r>
        <w:rPr>
          <w:rFonts w:cs="TTE15A60C8t00"/>
        </w:rPr>
        <w:t>y</w:t>
      </w:r>
      <w:r w:rsidRPr="0062259D">
        <w:rPr>
          <w:rFonts w:cs="TTE15A60C8t00"/>
        </w:rPr>
        <w:t xml:space="preserve"> </w:t>
      </w:r>
      <w:r>
        <w:rPr>
          <w:rFonts w:cs="TTE15A60C8t00"/>
        </w:rPr>
        <w:t>krajowe określają</w:t>
      </w:r>
      <w:r w:rsidRPr="0062259D">
        <w:rPr>
          <w:rFonts w:cs="TTE15A60C8t00"/>
        </w:rPr>
        <w:t xml:space="preserve"> podmioty uprawnione do</w:t>
      </w:r>
      <w:r>
        <w:rPr>
          <w:rFonts w:cs="TTE15A60C8t00"/>
        </w:rPr>
        <w:t xml:space="preserve"> </w:t>
      </w:r>
      <w:r w:rsidRPr="0062259D">
        <w:rPr>
          <w:rFonts w:cs="TTE15A60C8t00"/>
        </w:rPr>
        <w:t>bezpłatnego otrzymywani</w:t>
      </w:r>
      <w:r>
        <w:rPr>
          <w:rFonts w:cs="TTE15A60C8t00"/>
        </w:rPr>
        <w:t>a</w:t>
      </w:r>
      <w:r w:rsidRPr="0062259D">
        <w:rPr>
          <w:rFonts w:cs="TTE15A60C8t00"/>
        </w:rPr>
        <w:t xml:space="preserve"> danych oraz zakres udostępnianych danych. Polska nie przewiduje pobierania opłat za korzystanie ze zbiorów danych przestrzennych INSPIRE za pośrednictwem usług wyszukiwania i</w:t>
      </w:r>
      <w:r>
        <w:rPr>
          <w:rFonts w:cs="TTE15A60C8t00"/>
        </w:rPr>
        <w:t> </w:t>
      </w:r>
      <w:r w:rsidRPr="0062259D">
        <w:rPr>
          <w:rFonts w:cs="TTE15A60C8t00"/>
        </w:rPr>
        <w:t xml:space="preserve">przeglądania. </w:t>
      </w:r>
      <w:r>
        <w:rPr>
          <w:rFonts w:cs="TTE15A60C8t00"/>
        </w:rPr>
        <w:t>Zgodnie z obowiązującymi terminami, pełne wdrożenie dyrektywy INSPIRE powinno zostać zakończone do 2021 r.</w:t>
      </w:r>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Pr>
          <w:rFonts w:cs="TTE15A60C8t00"/>
        </w:rPr>
        <w:t>Istotnym narzędziem dostępu do danych o środowisku są aplikacje na urządzenia przenośne oraz dedykowane portale internetowe. F</w:t>
      </w:r>
      <w:r w:rsidRPr="00CE1F76">
        <w:rPr>
          <w:rFonts w:cs="TTE15A60C8t00"/>
        </w:rPr>
        <w:t xml:space="preserve">ormy </w:t>
      </w:r>
      <w:r>
        <w:rPr>
          <w:rFonts w:cs="TTE15A60C8t00"/>
        </w:rPr>
        <w:t xml:space="preserve">takiego </w:t>
      </w:r>
      <w:r w:rsidRPr="00CE1F76">
        <w:rPr>
          <w:rFonts w:cs="TTE15A60C8t00"/>
        </w:rPr>
        <w:t>dos</w:t>
      </w:r>
      <w:r>
        <w:rPr>
          <w:rFonts w:cs="TTE15A60C8t00"/>
        </w:rPr>
        <w:t>tępu do informacji o środowisku</w:t>
      </w:r>
      <w:r w:rsidRPr="00CE1F76">
        <w:rPr>
          <w:rFonts w:cs="TTE15A60C8t00"/>
        </w:rPr>
        <w:t xml:space="preserve"> to pochodna </w:t>
      </w:r>
      <w:r>
        <w:rPr>
          <w:rFonts w:cs="TTE15A60C8t00"/>
        </w:rPr>
        <w:t>istnienia publicznych</w:t>
      </w:r>
      <w:r w:rsidRPr="00CE1F76">
        <w:rPr>
          <w:rFonts w:cs="TTE15A60C8t00"/>
        </w:rPr>
        <w:t xml:space="preserve"> źródeł informacji</w:t>
      </w:r>
      <w:r>
        <w:rPr>
          <w:rFonts w:cs="TTE15A60C8t00"/>
        </w:rPr>
        <w:t xml:space="preserve"> i danych</w:t>
      </w:r>
      <w:r w:rsidRPr="00CE1F76">
        <w:rPr>
          <w:rFonts w:cs="TTE15A60C8t00"/>
        </w:rPr>
        <w:t xml:space="preserve">. </w:t>
      </w:r>
      <w:r>
        <w:rPr>
          <w:rFonts w:cs="TTE15A60C8t00"/>
        </w:rPr>
        <w:t>C</w:t>
      </w:r>
      <w:r w:rsidRPr="00CE1F76">
        <w:rPr>
          <w:rFonts w:cs="TTE15A60C8t00"/>
        </w:rPr>
        <w:t>zęsto jedynie administracja ma możliwości do opracowan</w:t>
      </w:r>
      <w:r>
        <w:rPr>
          <w:rFonts w:cs="TTE15A60C8t00"/>
        </w:rPr>
        <w:t>i</w:t>
      </w:r>
      <w:r w:rsidRPr="00CE1F76">
        <w:rPr>
          <w:rFonts w:cs="TTE15A60C8t00"/>
        </w:rPr>
        <w:t xml:space="preserve">a </w:t>
      </w:r>
      <w:r>
        <w:rPr>
          <w:rFonts w:cs="TTE15A60C8t00"/>
        </w:rPr>
        <w:t xml:space="preserve">i aktualizacji </w:t>
      </w:r>
      <w:r w:rsidRPr="00CE1F76">
        <w:rPr>
          <w:rFonts w:cs="TTE15A60C8t00"/>
        </w:rPr>
        <w:t>baz danych</w:t>
      </w:r>
      <w:r>
        <w:rPr>
          <w:rFonts w:cs="TTE15A60C8t00"/>
        </w:rPr>
        <w:t>, które następnie wykorzystywane są przez a</w:t>
      </w:r>
      <w:r w:rsidRPr="00CE1F76">
        <w:rPr>
          <w:rFonts w:cs="TTE15A60C8t00"/>
        </w:rPr>
        <w:t>plikacje na urządzenia mobilne bądź portale</w:t>
      </w:r>
      <w:r>
        <w:rPr>
          <w:rFonts w:cs="TTE15A60C8t00"/>
        </w:rPr>
        <w:t xml:space="preserve"> internetowe</w:t>
      </w:r>
      <w:r w:rsidRPr="00CE1F76">
        <w:rPr>
          <w:rFonts w:cs="TTE15A60C8t00"/>
        </w:rPr>
        <w:t xml:space="preserve">. </w:t>
      </w:r>
      <w:r>
        <w:rPr>
          <w:rFonts w:cs="TTE15A60C8t00"/>
        </w:rPr>
        <w:t>Bazy danych m</w:t>
      </w:r>
      <w:r w:rsidRPr="00CE1F76">
        <w:rPr>
          <w:rFonts w:cs="TTE15A60C8t00"/>
        </w:rPr>
        <w:t xml:space="preserve">ogą być budowane pod określoną usługę bądź być uniwersalnego formatu, który umożliwia wykorzystanie </w:t>
      </w:r>
      <w:r>
        <w:rPr>
          <w:rFonts w:cs="TTE15A60C8t00"/>
        </w:rPr>
        <w:t>baz danych</w:t>
      </w:r>
      <w:r w:rsidRPr="00CE1F76">
        <w:rPr>
          <w:rFonts w:cs="TTE15A60C8t00"/>
        </w:rPr>
        <w:t xml:space="preserve"> przez różne narzędzia</w:t>
      </w:r>
      <w:r>
        <w:rPr>
          <w:rFonts w:cs="TTE15A60C8t00"/>
        </w:rPr>
        <w:t xml:space="preserve"> cyfrowe</w:t>
      </w:r>
      <w:r w:rsidRPr="00CE1F76">
        <w:rPr>
          <w:rFonts w:cs="TTE15A60C8t00"/>
        </w:rPr>
        <w:t xml:space="preserve">. </w:t>
      </w:r>
      <w:r>
        <w:rPr>
          <w:rFonts w:cs="TTE15A60C8t00"/>
        </w:rPr>
        <w:t>T</w:t>
      </w:r>
      <w:r w:rsidRPr="00CE1F76">
        <w:rPr>
          <w:rFonts w:cs="TTE15A60C8t00"/>
        </w:rPr>
        <w:t xml:space="preserve">wórcą produktu końcowego dla </w:t>
      </w:r>
      <w:r>
        <w:rPr>
          <w:rFonts w:cs="TTE15A60C8t00"/>
        </w:rPr>
        <w:t>obywatela jest najczęściej podmiot prywatny</w:t>
      </w:r>
      <w:r w:rsidRPr="00CE1F76">
        <w:rPr>
          <w:rFonts w:cs="TTE15A60C8t00"/>
        </w:rPr>
        <w:t xml:space="preserve">. </w:t>
      </w:r>
    </w:p>
    <w:p w:rsidR="005223E2" w:rsidRDefault="005223E2" w:rsidP="005223E2">
      <w:pPr>
        <w:autoSpaceDE w:val="0"/>
        <w:autoSpaceDN w:val="0"/>
        <w:adjustRightInd w:val="0"/>
        <w:spacing w:after="0"/>
        <w:jc w:val="both"/>
        <w:rPr>
          <w:rFonts w:cs="TTE15A60C8t00"/>
        </w:rPr>
      </w:pPr>
    </w:p>
    <w:p w:rsidR="005223E2" w:rsidRDefault="005223E2" w:rsidP="005223E2">
      <w:pPr>
        <w:autoSpaceDE w:val="0"/>
        <w:autoSpaceDN w:val="0"/>
        <w:adjustRightInd w:val="0"/>
        <w:spacing w:after="0"/>
        <w:jc w:val="both"/>
        <w:rPr>
          <w:rFonts w:cs="TTE15A60C8t00"/>
        </w:rPr>
      </w:pPr>
      <w:r w:rsidRPr="00CE1F76">
        <w:rPr>
          <w:rFonts w:cs="TTE15A60C8t00"/>
        </w:rPr>
        <w:t xml:space="preserve">Dotychczas dane </w:t>
      </w:r>
      <w:r>
        <w:rPr>
          <w:rFonts w:cs="TTE15A60C8t00"/>
        </w:rPr>
        <w:t>o środowisku</w:t>
      </w:r>
      <w:r w:rsidRPr="00CE1F76">
        <w:rPr>
          <w:rFonts w:cs="TTE15A60C8t00"/>
        </w:rPr>
        <w:t xml:space="preserve"> </w:t>
      </w:r>
      <w:r>
        <w:rPr>
          <w:rFonts w:cs="TTE15A60C8t00"/>
        </w:rPr>
        <w:t>publikowane były</w:t>
      </w:r>
      <w:r w:rsidRPr="00CE1F76">
        <w:rPr>
          <w:rFonts w:cs="TTE15A60C8t00"/>
        </w:rPr>
        <w:t xml:space="preserve"> w wielu różnych formatach, </w:t>
      </w:r>
      <w:r>
        <w:rPr>
          <w:rFonts w:cs="TTE15A60C8t00"/>
        </w:rPr>
        <w:t>także w formatach</w:t>
      </w:r>
      <w:r w:rsidRPr="00CE1F76">
        <w:rPr>
          <w:rFonts w:cs="TTE15A60C8t00"/>
        </w:rPr>
        <w:t xml:space="preserve"> </w:t>
      </w:r>
      <w:r>
        <w:rPr>
          <w:rFonts w:cs="TTE15A60C8t00"/>
        </w:rPr>
        <w:t>niecyfrowych</w:t>
      </w:r>
      <w:r w:rsidRPr="00CE1F76">
        <w:rPr>
          <w:rFonts w:cs="TTE15A60C8t00"/>
        </w:rPr>
        <w:t>. Obecnie wysiłki administracji skupiają się na ustanda</w:t>
      </w:r>
      <w:r>
        <w:rPr>
          <w:rFonts w:cs="TTE15A60C8t00"/>
        </w:rPr>
        <w:t>ryzowaniu danych środowiskowych</w:t>
      </w:r>
      <w:r w:rsidRPr="00CE1F76">
        <w:rPr>
          <w:rFonts w:cs="TTE15A60C8t00"/>
        </w:rPr>
        <w:t xml:space="preserve"> i udostępnieniu ich za pomocą usług sieciowych. Działanie takie jest zgodne z</w:t>
      </w:r>
      <w:r>
        <w:rPr>
          <w:rFonts w:cs="TTE15A60C8t00"/>
        </w:rPr>
        <w:t> </w:t>
      </w:r>
      <w:r w:rsidRPr="00CE1F76">
        <w:rPr>
          <w:rFonts w:cs="TTE15A60C8t00"/>
        </w:rPr>
        <w:t>oczekiwaniami rynku</w:t>
      </w:r>
      <w:r>
        <w:rPr>
          <w:rFonts w:cs="TTE15A60C8t00"/>
        </w:rPr>
        <w:t xml:space="preserve"> (twórców narzędzi cyfrowych) i </w:t>
      </w:r>
      <w:r w:rsidRPr="00CE1F76">
        <w:rPr>
          <w:rFonts w:cs="TTE15A60C8t00"/>
        </w:rPr>
        <w:t>społeczeństwa</w:t>
      </w:r>
      <w:r>
        <w:rPr>
          <w:rFonts w:cs="TTE15A60C8t00"/>
        </w:rPr>
        <w:t xml:space="preserve"> (użytkowników narzędzi cyfrowych)</w:t>
      </w:r>
      <w:r w:rsidRPr="00CE1F76">
        <w:rPr>
          <w:rFonts w:cs="TTE15A60C8t00"/>
        </w:rPr>
        <w:t>. W trakcie konsultacji nowelizacji ustawy o dostępie do informacji publicznej w 2015 r. zgłaszano uwagi odnośnie</w:t>
      </w:r>
      <w:r>
        <w:rPr>
          <w:rFonts w:cs="TTE15A60C8t00"/>
        </w:rPr>
        <w:t xml:space="preserve"> do</w:t>
      </w:r>
      <w:r w:rsidRPr="00CE1F76">
        <w:rPr>
          <w:rFonts w:cs="TTE15A60C8t00"/>
        </w:rPr>
        <w:t xml:space="preserve"> zapewnienia maksymalnej interoperacyjności danych publicznych, tak żeby ich wykorzystanie było możliwe przez podmioty spoza administracji publicznej. Również na szczeblu międzynarodowym podejmowane są działania, które mają zapewnić odpowiednią interoperacyjność danych. Najbardziej ambitną inicjatywą w tym zakresie jest</w:t>
      </w:r>
      <w:r>
        <w:rPr>
          <w:rFonts w:cs="TTE15A60C8t00"/>
        </w:rPr>
        <w:t xml:space="preserve"> wcześniej wspomniana</w:t>
      </w:r>
      <w:r w:rsidRPr="00CE1F76">
        <w:rPr>
          <w:rFonts w:cs="TTE15A60C8t00"/>
        </w:rPr>
        <w:t xml:space="preserve"> dyrektywa INSPIRE i tworzenie europejskiego geoportalu z danymi obszarowymi dla całej UE (zdecydowana większość informacji o środowisku </w:t>
      </w:r>
      <w:r>
        <w:rPr>
          <w:rFonts w:cs="TTE15A60C8t00"/>
        </w:rPr>
        <w:t>to informacje dotyczące</w:t>
      </w:r>
      <w:r w:rsidRPr="00CE1F76">
        <w:rPr>
          <w:rFonts w:cs="TTE15A60C8t00"/>
        </w:rPr>
        <w:t xml:space="preserve"> określonych obszarów). Również E</w:t>
      </w:r>
      <w:r>
        <w:rPr>
          <w:rFonts w:cs="TTE15A60C8t00"/>
        </w:rPr>
        <w:t xml:space="preserve">uropejska </w:t>
      </w:r>
      <w:r w:rsidRPr="00CE1F76">
        <w:rPr>
          <w:rFonts w:cs="TTE15A60C8t00"/>
        </w:rPr>
        <w:t>K</w:t>
      </w:r>
      <w:r>
        <w:rPr>
          <w:rFonts w:cs="TTE15A60C8t00"/>
        </w:rPr>
        <w:t xml:space="preserve">omisja </w:t>
      </w:r>
      <w:r w:rsidRPr="00CE1F76">
        <w:rPr>
          <w:rFonts w:cs="TTE15A60C8t00"/>
        </w:rPr>
        <w:t>G</w:t>
      </w:r>
      <w:r>
        <w:rPr>
          <w:rFonts w:cs="TTE15A60C8t00"/>
        </w:rPr>
        <w:t>ospodarcza</w:t>
      </w:r>
      <w:r w:rsidRPr="00CE1F76">
        <w:rPr>
          <w:rFonts w:cs="TTE15A60C8t00"/>
        </w:rPr>
        <w:t xml:space="preserve"> ONZ podejmuje działania skierowane na zapewnienie jak najszer</w:t>
      </w:r>
      <w:r>
        <w:rPr>
          <w:rFonts w:cs="TTE15A60C8t00"/>
        </w:rPr>
        <w:t>szej interoperacyjności danych. P</w:t>
      </w:r>
      <w:r w:rsidRPr="00CE1F76">
        <w:rPr>
          <w:rFonts w:cs="TTE15A60C8t00"/>
        </w:rPr>
        <w:t>odejmowan</w:t>
      </w:r>
      <w:r>
        <w:rPr>
          <w:rFonts w:cs="TTE15A60C8t00"/>
        </w:rPr>
        <w:t>e obecnie</w:t>
      </w:r>
      <w:r w:rsidRPr="00CE1F76">
        <w:rPr>
          <w:rFonts w:cs="TTE15A60C8t00"/>
        </w:rPr>
        <w:t xml:space="preserve"> </w:t>
      </w:r>
      <w:r>
        <w:rPr>
          <w:rFonts w:cs="TTE15A60C8t00"/>
        </w:rPr>
        <w:t xml:space="preserve">przez administrację publiczną </w:t>
      </w:r>
      <w:r w:rsidRPr="00CE1F76">
        <w:rPr>
          <w:rFonts w:cs="TTE15A60C8t00"/>
        </w:rPr>
        <w:t>działa</w:t>
      </w:r>
      <w:r>
        <w:rPr>
          <w:rFonts w:cs="TTE15A60C8t00"/>
        </w:rPr>
        <w:t>nia</w:t>
      </w:r>
      <w:r w:rsidRPr="00CE1F76">
        <w:rPr>
          <w:rFonts w:cs="TTE15A60C8t00"/>
        </w:rPr>
        <w:t xml:space="preserve"> będ</w:t>
      </w:r>
      <w:r>
        <w:rPr>
          <w:rFonts w:cs="TTE15A60C8t00"/>
        </w:rPr>
        <w:t>ą</w:t>
      </w:r>
      <w:r w:rsidRPr="00CE1F76">
        <w:rPr>
          <w:rFonts w:cs="TTE15A60C8t00"/>
        </w:rPr>
        <w:t xml:space="preserve"> kontynuowan</w:t>
      </w:r>
      <w:r>
        <w:rPr>
          <w:rFonts w:cs="TTE15A60C8t00"/>
        </w:rPr>
        <w:t>e</w:t>
      </w:r>
      <w:r w:rsidRPr="00CE1F76">
        <w:rPr>
          <w:rFonts w:cs="TTE15A60C8t00"/>
        </w:rPr>
        <w:t xml:space="preserve"> i rozwijan</w:t>
      </w:r>
      <w:r>
        <w:rPr>
          <w:rFonts w:cs="TTE15A60C8t00"/>
        </w:rPr>
        <w:t>e, tak aby uczestnicy rynku mogli wykorzystywać dane publiczne równolegle na potrzeby społeczne i do celów komercyjnych.</w:t>
      </w:r>
      <w:r w:rsidRPr="00CE1F76">
        <w:rPr>
          <w:rFonts w:cs="TTE15A60C8t00"/>
        </w:rPr>
        <w:t xml:space="preserve"> </w:t>
      </w:r>
      <w:r>
        <w:rPr>
          <w:rFonts w:cs="TTE15A60C8t00"/>
        </w:rPr>
        <w:t xml:space="preserve">Dlatego też administracja publiczna będzie zwiększała </w:t>
      </w:r>
      <w:r w:rsidRPr="00CE1F76">
        <w:rPr>
          <w:rFonts w:cs="TTE15A60C8t00"/>
        </w:rPr>
        <w:t>dostępnoś</w:t>
      </w:r>
      <w:r>
        <w:rPr>
          <w:rFonts w:cs="TTE15A60C8t00"/>
        </w:rPr>
        <w:t>ć</w:t>
      </w:r>
      <w:r w:rsidRPr="00CE1F76">
        <w:rPr>
          <w:rFonts w:cs="TTE15A60C8t00"/>
        </w:rPr>
        <w:t xml:space="preserve"> danych pu</w:t>
      </w:r>
      <w:r>
        <w:rPr>
          <w:rFonts w:cs="TTE15A60C8t00"/>
        </w:rPr>
        <w:t xml:space="preserve">blicznych z obszaru środowiska oraz dbała o </w:t>
      </w:r>
      <w:r w:rsidRPr="00CE1F76">
        <w:rPr>
          <w:rFonts w:cs="TTE15A60C8t00"/>
        </w:rPr>
        <w:t>ich aktualnoś</w:t>
      </w:r>
      <w:r>
        <w:rPr>
          <w:rFonts w:cs="TTE15A60C8t00"/>
        </w:rPr>
        <w:t>ć</w:t>
      </w:r>
      <w:r w:rsidRPr="00CE1F76">
        <w:rPr>
          <w:rFonts w:cs="TTE15A60C8t00"/>
        </w:rPr>
        <w:t xml:space="preserve"> i referencyjnoś</w:t>
      </w:r>
      <w:r>
        <w:rPr>
          <w:rFonts w:cs="TTE15A60C8t00"/>
        </w:rPr>
        <w:t>ć</w:t>
      </w:r>
      <w:r w:rsidRPr="00CE1F76">
        <w:rPr>
          <w:rFonts w:cs="TTE15A60C8t00"/>
        </w:rPr>
        <w:t xml:space="preserve">, a także </w:t>
      </w:r>
      <w:r>
        <w:rPr>
          <w:rFonts w:cs="TTE15A60C8t00"/>
        </w:rPr>
        <w:t xml:space="preserve">zapewniała </w:t>
      </w:r>
      <w:r w:rsidRPr="00CE1F76">
        <w:rPr>
          <w:rFonts w:cs="TTE15A60C8t00"/>
        </w:rPr>
        <w:t>interoperacyjnoś</w:t>
      </w:r>
      <w:r>
        <w:rPr>
          <w:rFonts w:cs="TTE15A60C8t00"/>
        </w:rPr>
        <w:t>ć</w:t>
      </w:r>
      <w:r w:rsidRPr="00CE1F76">
        <w:rPr>
          <w:rFonts w:cs="TTE15A60C8t00"/>
        </w:rPr>
        <w:t xml:space="preserve"> istniejących systemów</w:t>
      </w:r>
      <w:r>
        <w:rPr>
          <w:rFonts w:cs="TTE15A60C8t00"/>
        </w:rPr>
        <w:t xml:space="preserve"> i </w:t>
      </w:r>
      <w:r w:rsidRPr="00CE1F76">
        <w:rPr>
          <w:rFonts w:cs="TTE15A60C8t00"/>
        </w:rPr>
        <w:t>baz danych.</w:t>
      </w:r>
    </w:p>
    <w:p w:rsidR="008E35FE" w:rsidRDefault="008E35FE" w:rsidP="005223E2"/>
    <w:p w:rsidR="000E23F7" w:rsidRPr="008E35FE" w:rsidRDefault="000E23F7" w:rsidP="005223E2"/>
    <w:sectPr w:rsidR="000E23F7" w:rsidRPr="008E35FE">
      <w:footerReference w:type="default" r:id="rId8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2649" w:rsidRDefault="00812649" w:rsidP="00E22A77">
      <w:pPr>
        <w:spacing w:after="0" w:line="240" w:lineRule="auto"/>
      </w:pPr>
      <w:r>
        <w:separator/>
      </w:r>
    </w:p>
  </w:endnote>
  <w:endnote w:type="continuationSeparator" w:id="0">
    <w:p w:rsidR="00812649" w:rsidRDefault="00812649" w:rsidP="00E22A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5" w:usb1="08070000" w:usb2="00000010" w:usb3="00000000" w:csb0="00020002" w:csb1="00000000"/>
  </w:font>
  <w:font w:name="TT5D1o00">
    <w:altName w:val="MS Mincho"/>
    <w:panose1 w:val="00000000000000000000"/>
    <w:charset w:val="80"/>
    <w:family w:val="auto"/>
    <w:notTrueType/>
    <w:pitch w:val="default"/>
    <w:sig w:usb0="00000001" w:usb1="08070000" w:usb2="00000010" w:usb3="00000000" w:csb0="00020000" w:csb1="00000000"/>
  </w:font>
  <w:font w:name="SwitzerCndPSEFN">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A00002EF" w:usb1="4000207B" w:usb2="00000000" w:usb3="00000000" w:csb0="0000019F" w:csb1="00000000"/>
  </w:font>
  <w:font w:name="TimesNewRomanPS-BoldMT">
    <w:altName w:val="Arial"/>
    <w:panose1 w:val="00000000000000000000"/>
    <w:charset w:val="00"/>
    <w:family w:val="swiss"/>
    <w:notTrueType/>
    <w:pitch w:val="default"/>
    <w:sig w:usb0="00000007" w:usb1="00000000" w:usb2="00000000" w:usb3="00000000" w:csb0="00000003" w:csb1="00000000"/>
  </w:font>
  <w:font w:name="Cambria,Italic">
    <w:altName w:val="Arial"/>
    <w:panose1 w:val="00000000000000000000"/>
    <w:charset w:val="00"/>
    <w:family w:val="swiss"/>
    <w:notTrueType/>
    <w:pitch w:val="default"/>
    <w:sig w:usb0="00000007" w:usb1="00000000" w:usb2="00000000" w:usb3="00000000" w:csb0="00000003" w:csb1="00000000"/>
  </w:font>
  <w:font w:name="Cambria,BoldItalic">
    <w:altName w:val="Arial"/>
    <w:panose1 w:val="00000000000000000000"/>
    <w:charset w:val="00"/>
    <w:family w:val="swiss"/>
    <w:notTrueType/>
    <w:pitch w:val="default"/>
    <w:sig w:usb0="00000007" w:usb1="00000000" w:usb2="00000000" w:usb3="00000000" w:csb0="00000003" w:csb1="00000000"/>
  </w:font>
  <w:font w:name="TTE15A60C8t00">
    <w:panose1 w:val="00000000000000000000"/>
    <w:charset w:val="EE"/>
    <w:family w:val="auto"/>
    <w:notTrueType/>
    <w:pitch w:val="default"/>
    <w:sig w:usb0="00000005" w:usb1="00000000" w:usb2="00000000" w:usb3="00000000" w:csb0="00000002"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8651374"/>
      <w:docPartObj>
        <w:docPartGallery w:val="Page Numbers (Bottom of Page)"/>
        <w:docPartUnique/>
      </w:docPartObj>
    </w:sdtPr>
    <w:sdtEndPr/>
    <w:sdtContent>
      <w:p w:rsidR="00812649" w:rsidRDefault="00812649">
        <w:pPr>
          <w:pStyle w:val="Stopka"/>
          <w:jc w:val="right"/>
        </w:pPr>
        <w:r>
          <w:fldChar w:fldCharType="begin"/>
        </w:r>
        <w:r>
          <w:instrText>PAGE   \* MERGEFORMAT</w:instrText>
        </w:r>
        <w:r>
          <w:fldChar w:fldCharType="separate"/>
        </w:r>
        <w:r w:rsidR="00FD04E5">
          <w:rPr>
            <w:noProof/>
          </w:rPr>
          <w:t>118</w:t>
        </w:r>
        <w:r>
          <w:fldChar w:fldCharType="end"/>
        </w:r>
      </w:p>
    </w:sdtContent>
  </w:sdt>
  <w:p w:rsidR="00812649" w:rsidRDefault="0081264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2649" w:rsidRDefault="00812649" w:rsidP="00E22A77">
      <w:pPr>
        <w:spacing w:after="0" w:line="240" w:lineRule="auto"/>
      </w:pPr>
      <w:r>
        <w:separator/>
      </w:r>
    </w:p>
  </w:footnote>
  <w:footnote w:type="continuationSeparator" w:id="0">
    <w:p w:rsidR="00812649" w:rsidRDefault="00812649" w:rsidP="00E22A77">
      <w:pPr>
        <w:spacing w:after="0" w:line="240" w:lineRule="auto"/>
      </w:pPr>
      <w:r>
        <w:continuationSeparator/>
      </w:r>
    </w:p>
  </w:footnote>
  <w:footnote w:id="1">
    <w:p w:rsidR="00812649" w:rsidRDefault="00812649" w:rsidP="00383D92">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383D92" w:rsidRDefault="00812649" w:rsidP="00383D92">
      <w:pPr>
        <w:pStyle w:val="Tekstprzypisudolnego"/>
      </w:pPr>
      <w:r>
        <w:rPr>
          <w:bCs/>
          <w:iCs/>
          <w:lang w:val="pl-PL"/>
        </w:rPr>
        <w:t>Stan środowiska w Polsce, Raport 2014, (GIOŚ 2014)</w:t>
      </w:r>
    </w:p>
  </w:footnote>
  <w:footnote w:id="2">
    <w:p w:rsidR="00812649" w:rsidRPr="0091647B" w:rsidRDefault="00812649" w:rsidP="00BE39C6">
      <w:pPr>
        <w:pStyle w:val="Tekstprzypisudolnego"/>
      </w:pPr>
      <w:r w:rsidRPr="00AB7A3C">
        <w:rPr>
          <w:color w:val="auto"/>
          <w:sz w:val="22"/>
          <w:szCs w:val="22"/>
          <w:vertAlign w:val="superscript"/>
          <w:lang w:val="pl-PL" w:eastAsia="en-US"/>
        </w:rPr>
        <w:footnoteRef/>
      </w:r>
      <w:r w:rsidRPr="0006589F">
        <w:rPr>
          <w:color w:val="auto"/>
          <w:sz w:val="22"/>
          <w:szCs w:val="22"/>
          <w:lang w:val="pl-PL" w:eastAsia="en-US"/>
        </w:rPr>
        <w:t xml:space="preserve"> </w:t>
      </w:r>
      <w:r w:rsidRPr="00AB7A3C">
        <w:rPr>
          <w:color w:val="auto"/>
          <w:lang w:val="pl-PL" w:eastAsia="en-US"/>
        </w:rPr>
        <w:t>Reperowa sieć monitoringu – zestaw punktów pomiarowo-kontrolnych na jednolitych częściach wód powierzchniowych wytypowanych jako reprezentatywne dla Polski w celu monitorowania ich jakości. Monitoring w punktach reperowych jest prowadzony częściej niż w pozostałych punktach.</w:t>
      </w:r>
    </w:p>
  </w:footnote>
  <w:footnote w:id="3">
    <w:p w:rsidR="00812649" w:rsidRPr="00936AEC" w:rsidRDefault="00812649" w:rsidP="00936AEC">
      <w:pPr>
        <w:pStyle w:val="Tekstprzypisudolnego"/>
      </w:pPr>
      <w:r>
        <w:rPr>
          <w:rStyle w:val="Odwoanieprzypisudolnego"/>
        </w:rPr>
        <w:footnoteRef/>
      </w:r>
      <w:r>
        <w:t xml:space="preserve"> </w:t>
      </w:r>
      <w:r>
        <w:rPr>
          <w:lang w:val="pl-PL"/>
        </w:rPr>
        <w:t xml:space="preserve">zob. </w:t>
      </w:r>
      <w:r w:rsidRPr="00936AEC">
        <w:t xml:space="preserve">Robak-Bakierowska A., Kopiec J., Łużecki G., Łysiak-Pastuszak E., i in.. 2013. </w:t>
      </w:r>
      <w:r w:rsidRPr="00936AEC">
        <w:rPr>
          <w:i/>
        </w:rPr>
        <w:t xml:space="preserve">Ocena stanu środowiska morskiego polskiej strefy ekonomicznej Bałtyku na podstawie danych monitoringowych z roku 2012 na tle dziesięciolecia 2002-2011. </w:t>
      </w:r>
      <w:r w:rsidRPr="00936AEC">
        <w:t>Biblioteka Monitoringu Środowiska. Warszawa;</w:t>
      </w:r>
    </w:p>
    <w:p w:rsidR="00812649" w:rsidRPr="00936AEC" w:rsidRDefault="00812649">
      <w:pPr>
        <w:pStyle w:val="Tekstprzypisudolnego"/>
        <w:rPr>
          <w:lang w:val="pl-PL"/>
        </w:rPr>
      </w:pPr>
    </w:p>
  </w:footnote>
  <w:footnote w:id="4">
    <w:p w:rsidR="00812649" w:rsidRDefault="00812649" w:rsidP="00BE39C6">
      <w:pPr>
        <w:pStyle w:val="Tekstprzypisudolnego"/>
        <w:ind w:left="142" w:hanging="142"/>
        <w:jc w:val="both"/>
      </w:pPr>
      <w:r>
        <w:rPr>
          <w:rStyle w:val="Odwoanieprzypisudolnego"/>
        </w:rPr>
        <w:footnoteRef/>
      </w:r>
      <w:r>
        <w:t xml:space="preserve"> </w:t>
      </w:r>
      <w:r>
        <w:rPr>
          <w:rFonts w:ascii="Times New Roman" w:hAnsi="Times New Roman"/>
        </w:rPr>
        <w:t>HELCOM –</w:t>
      </w:r>
      <w:r w:rsidRPr="00817956">
        <w:rPr>
          <w:rFonts w:ascii="Times New Roman" w:hAnsi="Times New Roman"/>
        </w:rPr>
        <w:t xml:space="preserve"> Komisja Helsińska, organ wykonawczy Konwencji o ochronie środowiska morskiego obszaru Morza Bałtyckiego (Konwencji Helsińskiej)</w:t>
      </w:r>
      <w:r>
        <w:rPr>
          <w:rFonts w:ascii="Times New Roman" w:hAnsi="Times New Roman"/>
        </w:rPr>
        <w:t>.</w:t>
      </w:r>
    </w:p>
  </w:footnote>
  <w:footnote w:id="5">
    <w:p w:rsidR="00812649" w:rsidRDefault="00812649" w:rsidP="000E23F7">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845B49" w:rsidRDefault="00812649">
      <w:pPr>
        <w:pStyle w:val="Tekstprzypisudolnego"/>
        <w:rPr>
          <w:lang w:val="pl-PL"/>
        </w:rPr>
      </w:pPr>
      <w:r>
        <w:rPr>
          <w:bCs/>
          <w:iCs/>
          <w:lang w:val="pl-PL"/>
        </w:rPr>
        <w:t>Stan środowiska w Polsce, Raport 2014, (GIOŚ 2014)</w:t>
      </w:r>
    </w:p>
  </w:footnote>
  <w:footnote w:id="6">
    <w:p w:rsidR="00812649" w:rsidRPr="00137C1F" w:rsidRDefault="00812649" w:rsidP="00845B49">
      <w:pPr>
        <w:pStyle w:val="Tekstprzypisudolnego"/>
        <w:rPr>
          <w:rFonts w:asciiTheme="minorHAnsi" w:hAnsiTheme="minorHAnsi"/>
        </w:rPr>
      </w:pPr>
      <w:r w:rsidRPr="00137C1F">
        <w:rPr>
          <w:rStyle w:val="Odwoanieprzypisudolnego"/>
          <w:rFonts w:asciiTheme="minorHAnsi" w:hAnsiTheme="minorHAnsi"/>
        </w:rPr>
        <w:footnoteRef/>
      </w:r>
      <w:r w:rsidRPr="00137C1F">
        <w:rPr>
          <w:rFonts w:asciiTheme="minorHAnsi" w:hAnsiTheme="minorHAnsi"/>
        </w:rPr>
        <w:t xml:space="preserve"> PM10, PM2,5 (od ang. </w:t>
      </w:r>
      <w:r w:rsidRPr="00137C1F">
        <w:rPr>
          <w:rFonts w:asciiTheme="minorHAnsi" w:hAnsiTheme="minorHAnsi"/>
          <w:i/>
        </w:rPr>
        <w:t>particulate matter</w:t>
      </w:r>
      <w:r w:rsidRPr="00137C1F">
        <w:rPr>
          <w:rFonts w:asciiTheme="minorHAnsi" w:hAnsiTheme="minorHAnsi"/>
        </w:rPr>
        <w:t xml:space="preserve">) – pył zawieszony o wielkości cząstek odpowiednio 10 mikrometrów lub mniejszej oraz  2,5 mikrometra  lub mniejszej. </w:t>
      </w:r>
    </w:p>
  </w:footnote>
  <w:footnote w:id="7">
    <w:p w:rsidR="00812649" w:rsidRDefault="00812649" w:rsidP="00845B49">
      <w:pPr>
        <w:pStyle w:val="Tekstprzypisudolnego"/>
      </w:pPr>
      <w:r w:rsidRPr="00137C1F">
        <w:rPr>
          <w:rStyle w:val="Odwoanieprzypisudolnego"/>
          <w:rFonts w:asciiTheme="minorHAnsi" w:hAnsiTheme="minorHAnsi"/>
        </w:rPr>
        <w:footnoteRef/>
      </w:r>
      <w:r w:rsidRPr="00137C1F">
        <w:rPr>
          <w:rFonts w:asciiTheme="minorHAnsi" w:hAnsiTheme="minorHAnsi"/>
        </w:rPr>
        <w:t xml:space="preserve"> Rozporządzenie Ministra Środowiska z dnia 24 sierpnia 2012 r. w sprawie poziomów niektórych substancji w powietrzu (Dz. U. poz. 1031).</w:t>
      </w:r>
      <w:r>
        <w:t xml:space="preserve"> </w:t>
      </w:r>
    </w:p>
  </w:footnote>
  <w:footnote w:id="8">
    <w:p w:rsidR="00812649" w:rsidRPr="0068626B" w:rsidRDefault="00812649" w:rsidP="00845B49">
      <w:pPr>
        <w:pStyle w:val="Tekstprzypisudolnego"/>
        <w:jc w:val="both"/>
      </w:pPr>
      <w:r w:rsidRPr="00B11854">
        <w:rPr>
          <w:rStyle w:val="Odwoanieprzypisudolnego"/>
        </w:rPr>
        <w:footnoteRef/>
      </w:r>
      <w:r w:rsidRPr="00B11854">
        <w:t xml:space="preserve"> „Stan środowiska w Polsce, Sygnały 201</w:t>
      </w:r>
      <w:r>
        <w:t>6</w:t>
      </w:r>
      <w:r w:rsidRPr="00B11854">
        <w:t>” Główny Inspektorat Ochrony Środowiska, Warszawa 201</w:t>
      </w:r>
      <w:r>
        <w:t>6</w:t>
      </w:r>
      <w:r w:rsidRPr="00B11854">
        <w:t>.</w:t>
      </w:r>
    </w:p>
  </w:footnote>
  <w:footnote w:id="9">
    <w:p w:rsidR="00812649" w:rsidRPr="003F5CB1" w:rsidRDefault="00812649" w:rsidP="00845B49">
      <w:pPr>
        <w:pStyle w:val="Tekstprzypisudolnego"/>
      </w:pPr>
      <w:r w:rsidRPr="003F5CB1">
        <w:rPr>
          <w:rStyle w:val="Odwoanieprzypisudolnego"/>
        </w:rPr>
        <w:footnoteRef/>
      </w:r>
      <w:r w:rsidRPr="003F5CB1">
        <w:t xml:space="preserve"> </w:t>
      </w:r>
      <w:r w:rsidRPr="003F5CB1">
        <w:rPr>
          <w:iCs/>
        </w:rPr>
        <w:t>Dz.U. L 309 z 27</w:t>
      </w:r>
      <w:r>
        <w:rPr>
          <w:iCs/>
        </w:rPr>
        <w:t>.</w:t>
      </w:r>
      <w:r w:rsidRPr="003F5CB1">
        <w:rPr>
          <w:iCs/>
        </w:rPr>
        <w:t>11</w:t>
      </w:r>
      <w:r>
        <w:rPr>
          <w:iCs/>
        </w:rPr>
        <w:t>.</w:t>
      </w:r>
      <w:r w:rsidRPr="003F5CB1">
        <w:rPr>
          <w:iCs/>
        </w:rPr>
        <w:t>2001, str. 22</w:t>
      </w:r>
      <w:r>
        <w:rPr>
          <w:iCs/>
        </w:rPr>
        <w:t>.</w:t>
      </w:r>
    </w:p>
  </w:footnote>
  <w:footnote w:id="10">
    <w:p w:rsidR="00812649" w:rsidRPr="00930CAA" w:rsidRDefault="00812649" w:rsidP="00845B49">
      <w:pPr>
        <w:spacing w:line="240" w:lineRule="auto"/>
        <w:ind w:left="142" w:hanging="142"/>
        <w:rPr>
          <w:color w:val="000000" w:themeColor="text1"/>
          <w:sz w:val="20"/>
          <w:szCs w:val="20"/>
        </w:rPr>
      </w:pPr>
      <w:r>
        <w:rPr>
          <w:rStyle w:val="Odwoanieprzypisudolnego"/>
        </w:rPr>
        <w:footnoteRef/>
      </w:r>
      <w:r>
        <w:t xml:space="preserve"> </w:t>
      </w:r>
      <w:r w:rsidRPr="00930CAA">
        <w:rPr>
          <w:sz w:val="20"/>
          <w:szCs w:val="20"/>
        </w:rPr>
        <w:t>Klasyfikacja stref dokonywana jest zgodnie z rozporządzenie</w:t>
      </w:r>
      <w:r>
        <w:rPr>
          <w:sz w:val="20"/>
          <w:szCs w:val="20"/>
        </w:rPr>
        <w:t>m</w:t>
      </w:r>
      <w:r w:rsidRPr="00930CAA">
        <w:rPr>
          <w:sz w:val="20"/>
          <w:szCs w:val="20"/>
        </w:rPr>
        <w:t xml:space="preserve"> Ministra Środowiska </w:t>
      </w:r>
      <w:r w:rsidRPr="00930CAA">
        <w:rPr>
          <w:color w:val="000000" w:themeColor="text1"/>
          <w:sz w:val="20"/>
          <w:szCs w:val="20"/>
        </w:rPr>
        <w:t xml:space="preserve">z dnia 24 sierpnia 2012 r. </w:t>
      </w:r>
      <w:r w:rsidRPr="00930CAA">
        <w:rPr>
          <w:sz w:val="20"/>
          <w:szCs w:val="20"/>
        </w:rPr>
        <w:t>w</w:t>
      </w:r>
      <w:r>
        <w:rPr>
          <w:sz w:val="20"/>
          <w:szCs w:val="20"/>
        </w:rPr>
        <w:t> </w:t>
      </w:r>
      <w:r w:rsidRPr="00930CAA">
        <w:rPr>
          <w:sz w:val="20"/>
          <w:szCs w:val="20"/>
        </w:rPr>
        <w:t xml:space="preserve">sprawie poziomów niektórych substancji w powietrzu oraz rozporządzeniem Ministra Środowiska </w:t>
      </w:r>
      <w:r>
        <w:rPr>
          <w:color w:val="000000" w:themeColor="text1"/>
          <w:sz w:val="20"/>
          <w:szCs w:val="20"/>
        </w:rPr>
        <w:t>z dnia 2 </w:t>
      </w:r>
      <w:r w:rsidRPr="00930CAA">
        <w:rPr>
          <w:color w:val="000000" w:themeColor="text1"/>
          <w:sz w:val="20"/>
          <w:szCs w:val="20"/>
        </w:rPr>
        <w:t xml:space="preserve">sierpnia 2012 r. </w:t>
      </w:r>
      <w:r w:rsidRPr="00930CAA">
        <w:rPr>
          <w:sz w:val="20"/>
          <w:szCs w:val="20"/>
        </w:rPr>
        <w:t>w sprawie stref, w których dokonuje się oceny jakości powietrza</w:t>
      </w:r>
      <w:r>
        <w:rPr>
          <w:sz w:val="20"/>
          <w:szCs w:val="20"/>
        </w:rPr>
        <w:t xml:space="preserve"> (Dz. U. poz. 914), </w:t>
      </w:r>
      <w:r w:rsidRPr="00930CAA">
        <w:rPr>
          <w:sz w:val="20"/>
          <w:szCs w:val="20"/>
        </w:rPr>
        <w:t xml:space="preserve">gdzie dla klasy A poziomy stężeń nie przekraczają poziomu dopuszczalnego, a dla klasy C poziomy stężeń są powyżej poziomu dopuszczalnego. </w:t>
      </w:r>
      <w:r>
        <w:rPr>
          <w:sz w:val="20"/>
          <w:szCs w:val="20"/>
        </w:rPr>
        <w:t>D</w:t>
      </w:r>
      <w:r w:rsidRPr="00930CAA">
        <w:rPr>
          <w:sz w:val="20"/>
          <w:szCs w:val="20"/>
        </w:rPr>
        <w:t>la okresu uśredniania wynoszącego:</w:t>
      </w:r>
    </w:p>
    <w:p w:rsidR="00812649" w:rsidRPr="004338DD" w:rsidRDefault="00812649" w:rsidP="00845B49">
      <w:pPr>
        <w:pStyle w:val="Tekstprzypisudolnego"/>
        <w:numPr>
          <w:ilvl w:val="0"/>
          <w:numId w:val="9"/>
        </w:numPr>
        <w:rPr>
          <w:rFonts w:asciiTheme="minorHAnsi" w:hAnsiTheme="minorHAnsi"/>
        </w:rPr>
      </w:pPr>
      <w:r w:rsidRPr="004338DD">
        <w:rPr>
          <w:rFonts w:asciiTheme="minorHAnsi" w:hAnsiTheme="minorHAnsi"/>
        </w:rPr>
        <w:t>24 godziny – poziom dopuszczalny pyłu PM10 w powietrzu wynosi 50 μg/m</w:t>
      </w:r>
      <w:r w:rsidRPr="004338DD">
        <w:rPr>
          <w:rFonts w:asciiTheme="minorHAnsi" w:hAnsiTheme="minorHAnsi"/>
          <w:vertAlign w:val="superscript"/>
        </w:rPr>
        <w:t>3</w:t>
      </w:r>
      <w:r w:rsidRPr="004338DD">
        <w:rPr>
          <w:rFonts w:asciiTheme="minorHAnsi" w:hAnsiTheme="minorHAnsi"/>
        </w:rPr>
        <w:t>, a dopuszczalna częstość przekroczenia dopuszczalnego poziomu w roku kalendarzowym wynosi 35 razy;</w:t>
      </w:r>
    </w:p>
    <w:p w:rsidR="00812649" w:rsidRPr="004338DD" w:rsidRDefault="00812649" w:rsidP="00845B49">
      <w:pPr>
        <w:pStyle w:val="Tekstprzypisudolnego"/>
        <w:numPr>
          <w:ilvl w:val="0"/>
          <w:numId w:val="9"/>
        </w:numPr>
        <w:ind w:left="714" w:hanging="357"/>
        <w:rPr>
          <w:rFonts w:asciiTheme="minorHAnsi" w:hAnsiTheme="minorHAnsi"/>
        </w:rPr>
      </w:pPr>
      <w:r w:rsidRPr="004338DD">
        <w:rPr>
          <w:rFonts w:asciiTheme="minorHAnsi" w:hAnsiTheme="minorHAnsi"/>
        </w:rPr>
        <w:t>rok kalendarzowy - poziom dopuszczalny pyłu PM10 w powietrzu wynosi 40 μg/m</w:t>
      </w:r>
      <w:r w:rsidRPr="004338DD">
        <w:rPr>
          <w:rFonts w:asciiTheme="minorHAnsi" w:hAnsiTheme="minorHAnsi"/>
          <w:vertAlign w:val="superscript"/>
        </w:rPr>
        <w:t>3</w:t>
      </w:r>
      <w:r w:rsidRPr="004338DD">
        <w:rPr>
          <w:rFonts w:asciiTheme="minorHAnsi" w:hAnsiTheme="minorHAnsi"/>
        </w:rPr>
        <w:t>.</w:t>
      </w:r>
    </w:p>
    <w:p w:rsidR="00812649" w:rsidRPr="004338DD" w:rsidRDefault="00812649" w:rsidP="00845B49">
      <w:pPr>
        <w:pStyle w:val="Tekstprzypisudolnego"/>
        <w:ind w:left="142"/>
        <w:rPr>
          <w:rFonts w:asciiTheme="minorHAnsi" w:hAnsiTheme="minorHAnsi"/>
        </w:rPr>
      </w:pPr>
      <w:r w:rsidRPr="004338DD">
        <w:rPr>
          <w:rFonts w:asciiTheme="minorHAnsi" w:hAnsiTheme="minorHAnsi"/>
        </w:rPr>
        <w:t>Wystarczy jedna stacja, na której przekroczony jest poziom dopuszczalny, aby cała strefa została zakwalifikowana do klasy C.</w:t>
      </w:r>
    </w:p>
  </w:footnote>
  <w:footnote w:id="11">
    <w:p w:rsidR="00812649" w:rsidRDefault="00812649" w:rsidP="00845B49">
      <w:pPr>
        <w:pStyle w:val="Tekstprzypisudolnego"/>
      </w:pPr>
      <w:r>
        <w:rPr>
          <w:rStyle w:val="Odwoanieprzypisudolnego"/>
        </w:rPr>
        <w:footnoteRef/>
      </w:r>
      <w:r>
        <w:t xml:space="preserve"> </w:t>
      </w:r>
      <w:r>
        <w:rPr>
          <w:color w:val="000000" w:themeColor="text1"/>
          <w:szCs w:val="24"/>
        </w:rPr>
        <w:t>(Juda-Rezler, 2006).</w:t>
      </w:r>
    </w:p>
  </w:footnote>
  <w:footnote w:id="12">
    <w:p w:rsidR="00812649" w:rsidRPr="005425FE" w:rsidRDefault="00812649" w:rsidP="00845B49">
      <w:pPr>
        <w:spacing w:after="60" w:line="240" w:lineRule="auto"/>
        <w:ind w:left="142" w:hanging="142"/>
        <w:rPr>
          <w:sz w:val="20"/>
          <w:szCs w:val="20"/>
        </w:rPr>
      </w:pPr>
      <w:r>
        <w:rPr>
          <w:rStyle w:val="Odwoanieprzypisudolnego"/>
        </w:rPr>
        <w:footnoteRef/>
      </w:r>
      <w:r>
        <w:t xml:space="preserve"> </w:t>
      </w:r>
      <w:r w:rsidRPr="005425FE">
        <w:rPr>
          <w:sz w:val="20"/>
          <w:szCs w:val="20"/>
        </w:rPr>
        <w:t>Klasyfikacja stref dokonywana jest zgodnie z rozporządzenie</w:t>
      </w:r>
      <w:r>
        <w:rPr>
          <w:sz w:val="20"/>
          <w:szCs w:val="20"/>
        </w:rPr>
        <w:t>m</w:t>
      </w:r>
      <w:r w:rsidRPr="005425FE">
        <w:rPr>
          <w:sz w:val="20"/>
          <w:szCs w:val="20"/>
        </w:rPr>
        <w:t xml:space="preserve"> M</w:t>
      </w:r>
      <w:r>
        <w:rPr>
          <w:sz w:val="20"/>
          <w:szCs w:val="20"/>
        </w:rPr>
        <w:t xml:space="preserve">inistra </w:t>
      </w:r>
      <w:r w:rsidRPr="005425FE">
        <w:rPr>
          <w:sz w:val="20"/>
          <w:szCs w:val="20"/>
        </w:rPr>
        <w:t>Ś</w:t>
      </w:r>
      <w:r>
        <w:rPr>
          <w:sz w:val="20"/>
          <w:szCs w:val="20"/>
        </w:rPr>
        <w:t>rodowiska</w:t>
      </w:r>
      <w:r w:rsidRPr="005425FE">
        <w:rPr>
          <w:sz w:val="20"/>
          <w:szCs w:val="20"/>
        </w:rPr>
        <w:t xml:space="preserve"> </w:t>
      </w:r>
      <w:r>
        <w:rPr>
          <w:color w:val="000000" w:themeColor="text1"/>
          <w:sz w:val="20"/>
          <w:szCs w:val="20"/>
        </w:rPr>
        <w:t>z dnia 24 sierpnia 2012 </w:t>
      </w:r>
      <w:r w:rsidRPr="005425FE">
        <w:rPr>
          <w:color w:val="000000" w:themeColor="text1"/>
          <w:sz w:val="20"/>
          <w:szCs w:val="20"/>
        </w:rPr>
        <w:t xml:space="preserve">r. </w:t>
      </w:r>
      <w:r w:rsidRPr="005425FE">
        <w:rPr>
          <w:sz w:val="20"/>
          <w:szCs w:val="20"/>
        </w:rPr>
        <w:t>w sprawie poziomów niektórych substancji w powietrzu (Dz. U. poz. 1031), gdzie dla klasy A poziomy stężeń nie przekraczają poziomu docelowego, a dla klasy C poziomy stężeń są powyżej</w:t>
      </w:r>
      <w:r>
        <w:t xml:space="preserve"> </w:t>
      </w:r>
      <w:r w:rsidRPr="005425FE">
        <w:rPr>
          <w:sz w:val="20"/>
          <w:szCs w:val="20"/>
        </w:rPr>
        <w:t>poziomu docelowego.</w:t>
      </w:r>
      <w:r>
        <w:t xml:space="preserve"> </w:t>
      </w:r>
      <w:r w:rsidRPr="005425FE">
        <w:rPr>
          <w:sz w:val="20"/>
          <w:szCs w:val="20"/>
        </w:rPr>
        <w:t>Przy czym dla okresu uśredniania wynoszącego rok kalendarzowy - p</w:t>
      </w:r>
      <w:r>
        <w:rPr>
          <w:sz w:val="20"/>
          <w:szCs w:val="20"/>
        </w:rPr>
        <w:t>oziom docelowy benzo(a)pirenu w </w:t>
      </w:r>
      <w:r w:rsidRPr="005425FE">
        <w:rPr>
          <w:sz w:val="20"/>
          <w:szCs w:val="20"/>
        </w:rPr>
        <w:t>powietrzu wynosi 1 ng/m</w:t>
      </w:r>
      <w:r w:rsidRPr="005425FE">
        <w:rPr>
          <w:sz w:val="20"/>
          <w:szCs w:val="20"/>
          <w:vertAlign w:val="superscript"/>
        </w:rPr>
        <w:t>3</w:t>
      </w:r>
      <w:r w:rsidRPr="005425FE">
        <w:rPr>
          <w:sz w:val="20"/>
          <w:szCs w:val="20"/>
        </w:rPr>
        <w:t>.</w:t>
      </w:r>
    </w:p>
  </w:footnote>
  <w:footnote w:id="13">
    <w:p w:rsidR="00812649" w:rsidRPr="00CA430F" w:rsidRDefault="00812649">
      <w:pPr>
        <w:pStyle w:val="Tekstprzypisudolnego"/>
        <w:rPr>
          <w:rFonts w:asciiTheme="minorHAnsi" w:hAnsiTheme="minorHAnsi"/>
          <w:lang w:val="pl-PL"/>
        </w:rPr>
      </w:pPr>
      <w:r w:rsidRPr="00CA430F">
        <w:rPr>
          <w:rStyle w:val="Odwoanieprzypisudolnego"/>
          <w:rFonts w:asciiTheme="minorHAnsi" w:hAnsiTheme="minorHAnsi"/>
        </w:rPr>
        <w:footnoteRef/>
      </w:r>
      <w:r w:rsidRPr="00CA430F">
        <w:rPr>
          <w:rFonts w:asciiTheme="minorHAnsi" w:hAnsiTheme="minorHAnsi"/>
        </w:rPr>
        <w:t xml:space="preserve"> </w:t>
      </w:r>
      <w:r w:rsidRPr="00CA430F">
        <w:rPr>
          <w:rFonts w:asciiTheme="minorHAnsi" w:hAnsiTheme="minorHAnsi"/>
          <w:bCs/>
        </w:rPr>
        <w:t>EEA. 2013.</w:t>
      </w:r>
      <w:r w:rsidRPr="00CA430F">
        <w:rPr>
          <w:rFonts w:asciiTheme="minorHAnsi" w:hAnsiTheme="minorHAnsi"/>
          <w:i/>
        </w:rPr>
        <w:t xml:space="preserve"> Z każdym oddechem. Poprawa jakości powietrza w Europie.</w:t>
      </w:r>
      <w:r w:rsidRPr="00CA430F">
        <w:rPr>
          <w:rFonts w:asciiTheme="minorHAnsi" w:hAnsiTheme="minorHAnsi"/>
        </w:rPr>
        <w:t xml:space="preserve"> Sygnały Europejskiej Agencji Środowiska. Kopenhaga;</w:t>
      </w:r>
    </w:p>
  </w:footnote>
  <w:footnote w:id="14">
    <w:p w:rsidR="00812649" w:rsidRDefault="00812649" w:rsidP="004538EE">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4538EE" w:rsidRDefault="00812649">
      <w:pPr>
        <w:pStyle w:val="Tekstprzypisudolnego"/>
        <w:rPr>
          <w:lang w:val="pl-PL"/>
        </w:rPr>
      </w:pPr>
      <w:r>
        <w:rPr>
          <w:bCs/>
          <w:iCs/>
          <w:lang w:val="pl-PL"/>
        </w:rPr>
        <w:t>Stan środowiska w Polsce, Raport 2014, (GIOŚ 2014)</w:t>
      </w:r>
    </w:p>
  </w:footnote>
  <w:footnote w:id="15">
    <w:p w:rsidR="00812649" w:rsidRPr="004538EE" w:rsidRDefault="00812649" w:rsidP="004538EE">
      <w:pPr>
        <w:pStyle w:val="Tekstprzypisudolnego"/>
        <w:rPr>
          <w:bCs/>
          <w:iCs/>
          <w:lang w:val="pl-PL"/>
        </w:rPr>
      </w:pPr>
      <w:r w:rsidRPr="004538EE">
        <w:rPr>
          <w:bCs/>
          <w:iCs/>
          <w:vertAlign w:val="superscript"/>
          <w:lang w:val="pl-PL"/>
        </w:rPr>
        <w:footnoteRef/>
      </w:r>
      <w:r w:rsidRPr="00D30FE6">
        <w:rPr>
          <w:bCs/>
          <w:iCs/>
          <w:vertAlign w:val="superscript"/>
          <w:lang w:val="en-US"/>
        </w:rPr>
        <w:t xml:space="preserve"> </w:t>
      </w:r>
      <w:r w:rsidRPr="00D30FE6">
        <w:rPr>
          <w:bCs/>
          <w:iCs/>
          <w:lang w:val="en-US"/>
        </w:rPr>
        <w:t xml:space="preserve">Intergovernmental Panel on Climate Change (IPCC). </w:t>
      </w:r>
      <w:r w:rsidRPr="004538EE">
        <w:rPr>
          <w:bCs/>
          <w:iCs/>
          <w:lang w:val="pl-PL"/>
        </w:rPr>
        <w:t xml:space="preserve">2009. Zmiana klimatu 2007: Raport syntetyczny. Wkład Grup roboczych I, II i III do Czwartego Raportu Oceniającego Międzyrządowego Zespołu ds. Zmian Klimatu. Wyd. Instytut Ochrony Środowiska. Warszawa; </w:t>
      </w:r>
    </w:p>
    <w:p w:rsidR="00812649" w:rsidRPr="004538EE" w:rsidRDefault="00812649">
      <w:pPr>
        <w:pStyle w:val="Tekstprzypisudolnego"/>
      </w:pPr>
    </w:p>
  </w:footnote>
  <w:footnote w:id="16">
    <w:p w:rsidR="00812649" w:rsidRPr="004538EE" w:rsidRDefault="00812649" w:rsidP="004538EE">
      <w:pPr>
        <w:pStyle w:val="Tekstkomentarza"/>
      </w:pPr>
      <w:r w:rsidRPr="004538EE">
        <w:rPr>
          <w:vertAlign w:val="superscript"/>
        </w:rPr>
        <w:footnoteRef/>
      </w:r>
      <w:r>
        <w:t xml:space="preserve"> </w:t>
      </w:r>
      <w:r w:rsidRPr="004538EE">
        <w:t xml:space="preserve">Europejska Agencja Środowiska (EEA). 2008. </w:t>
      </w:r>
      <w:r w:rsidRPr="00D30FE6">
        <w:rPr>
          <w:lang w:val="en-US"/>
        </w:rPr>
        <w:t xml:space="preserve">Impacts of Europe's changing climate - 2008 indicator-based assessment. </w:t>
      </w:r>
      <w:r w:rsidRPr="004538EE">
        <w:t xml:space="preserve">Report; Intergovernmental Panel on Climate Change (IPCC). 2013. Wkład I grupy roboczej do Piątego Raportu Oceniającego Międzyrządowego Zespołu ds. Zmian Klimatu; </w:t>
      </w:r>
    </w:p>
  </w:footnote>
  <w:footnote w:id="17">
    <w:p w:rsidR="00812649" w:rsidRDefault="00812649" w:rsidP="004538EE">
      <w:pPr>
        <w:pStyle w:val="Tekstkomentarza"/>
      </w:pPr>
      <w:r>
        <w:rPr>
          <w:rStyle w:val="Odwoanieprzypisudolnego"/>
        </w:rPr>
        <w:footnoteRef/>
      </w:r>
      <w:r>
        <w:t xml:space="preserve"> Nowsza referencja:  </w:t>
      </w:r>
      <w:r w:rsidRPr="00A410FC">
        <w:rPr>
          <w:i/>
        </w:rPr>
        <w:t>Poland’s National Inventory Report 2017</w:t>
      </w:r>
      <w:r>
        <w:t xml:space="preserve"> </w:t>
      </w:r>
      <w:hyperlink r:id="rId1" w:history="1">
        <w:r w:rsidRPr="000868A2">
          <w:rPr>
            <w:rStyle w:val="Hipercze"/>
          </w:rPr>
          <w:t>http://www.kobize.pl/uploads/materialy/materialy_do_pobrania/krajowa_inwentaryzacja_emisji/NIR_2017_POL_May.pdf</w:t>
        </w:r>
      </w:hyperlink>
    </w:p>
    <w:p w:rsidR="00812649" w:rsidRDefault="00812649" w:rsidP="004538EE">
      <w:pPr>
        <w:pStyle w:val="Tekstprzypisudolnego"/>
      </w:pPr>
    </w:p>
  </w:footnote>
  <w:footnote w:id="18">
    <w:p w:rsidR="00812649" w:rsidRDefault="00812649" w:rsidP="004538EE">
      <w:pPr>
        <w:pStyle w:val="Tekstprzypisudolnego"/>
      </w:pPr>
      <w:r>
        <w:rPr>
          <w:rStyle w:val="Brak"/>
          <w:vertAlign w:val="superscript"/>
        </w:rPr>
        <w:footnoteRef/>
      </w:r>
      <w:r>
        <w:t xml:space="preserve"> więcej informacji na stronie: unfccc.int </w:t>
      </w:r>
    </w:p>
  </w:footnote>
  <w:footnote w:id="19">
    <w:p w:rsidR="00812649" w:rsidRPr="0044139A" w:rsidRDefault="00812649" w:rsidP="0044139A">
      <w:pPr>
        <w:pStyle w:val="Tekstprzypisudolnego"/>
        <w:jc w:val="both"/>
      </w:pPr>
      <w:r>
        <w:rPr>
          <w:rStyle w:val="Odwoanieprzypisudolnego"/>
        </w:rPr>
        <w:footnoteRef/>
      </w:r>
      <w:r>
        <w:t xml:space="preserve"> </w:t>
      </w:r>
      <w:r w:rsidRPr="0044139A">
        <w:rPr>
          <w:lang w:val="pl-PL"/>
        </w:rPr>
        <w:t xml:space="preserve">Instytut Ochrony Środowiska – Państwowy Instytut Badawczy (IOŚ-PIB). </w:t>
      </w:r>
      <w:r w:rsidRPr="0044139A">
        <w:rPr>
          <w:i/>
          <w:lang w:val="pl-PL"/>
        </w:rPr>
        <w:t>Ramowa konwencja Narodów Zjednoczonych w sprawie zmian klimatu</w:t>
      </w:r>
      <w:r w:rsidRPr="0044139A">
        <w:rPr>
          <w:lang w:val="pl-PL"/>
        </w:rPr>
        <w:t xml:space="preserve">. Konwencje międzynarodowe i uchwały organizacji międzynarodowych. Z. 7. Warszawa; </w:t>
      </w:r>
      <w:r w:rsidRPr="0044139A">
        <w:t xml:space="preserve">Protokół z Kioto do Ramowej konwencji Narodów Zjednoczonych w sprawie zmian klimatu. Dz.U.05.203.1684; </w:t>
      </w:r>
    </w:p>
    <w:p w:rsidR="00812649" w:rsidRPr="0044139A" w:rsidRDefault="00812649" w:rsidP="0044139A">
      <w:pPr>
        <w:pStyle w:val="Tekstprzypisudolnego"/>
        <w:rPr>
          <w:lang w:val="pl-PL"/>
        </w:rPr>
      </w:pPr>
    </w:p>
    <w:p w:rsidR="00812649" w:rsidRPr="0044139A" w:rsidRDefault="00812649">
      <w:pPr>
        <w:pStyle w:val="Tekstprzypisudolnego"/>
      </w:pPr>
    </w:p>
  </w:footnote>
  <w:footnote w:id="20">
    <w:p w:rsidR="00812649" w:rsidRDefault="00812649" w:rsidP="004538EE">
      <w:pPr>
        <w:pStyle w:val="Tekstprzypisudolnego"/>
        <w:jc w:val="both"/>
      </w:pPr>
      <w:r>
        <w:rPr>
          <w:rStyle w:val="Odwoanieprzypisudolnego"/>
        </w:rPr>
        <w:footnoteRef/>
      </w:r>
      <w:r>
        <w:t xml:space="preserve"> </w:t>
      </w:r>
      <w:r w:rsidRPr="002078AC">
        <w:t>Decyzja Parlamentu Europejskiego i Rady Nr 2009/406/WE z dnia 23 kwietnia 2009 r., w sprawie wysiłków podjętych przez państwa członkowskie, zmierzających do zmniejszenia emisji gazów cieplarnianych w celu realizacji do roku 2020 zobowiązań Wspólnoty dotyczących redukcji emisji gazów cieplarnianych (Dz.U. L 140 z 5.6.2009, s. 136).</w:t>
      </w:r>
    </w:p>
  </w:footnote>
  <w:footnote w:id="21">
    <w:p w:rsidR="00812649" w:rsidRPr="00B724F0" w:rsidRDefault="00812649" w:rsidP="004538EE">
      <w:pPr>
        <w:pStyle w:val="Tekstprzypisudolnego"/>
        <w:jc w:val="both"/>
      </w:pPr>
      <w:r w:rsidRPr="00B724F0">
        <w:rPr>
          <w:rStyle w:val="Odwoanieprzypisudolnego"/>
        </w:rPr>
        <w:footnoteRef/>
      </w:r>
      <w:r w:rsidRPr="00B724F0">
        <w:t xml:space="preserve"> LULUCF – ang. </w:t>
      </w:r>
      <w:r w:rsidRPr="00B724F0">
        <w:rPr>
          <w:i/>
        </w:rPr>
        <w:t>Land Use, Land Use Change and Forestry</w:t>
      </w:r>
      <w:r w:rsidRPr="00B724F0">
        <w:t>: użytkowanie gruntów, zmiana użytkowania gruntów i leśnictwo.</w:t>
      </w:r>
    </w:p>
  </w:footnote>
  <w:footnote w:id="22">
    <w:p w:rsidR="00812649" w:rsidRPr="0044139A" w:rsidRDefault="00812649" w:rsidP="0044139A">
      <w:pPr>
        <w:pStyle w:val="Tekstprzypisudolnego"/>
        <w:jc w:val="both"/>
        <w:rPr>
          <w:lang w:val="pl-PL"/>
        </w:rPr>
      </w:pPr>
      <w:r>
        <w:rPr>
          <w:rStyle w:val="Odwoanieprzypisudolnego"/>
        </w:rPr>
        <w:footnoteRef/>
      </w:r>
      <w:r>
        <w:t xml:space="preserve"> </w:t>
      </w:r>
      <w:r w:rsidRPr="0044139A">
        <w:rPr>
          <w:lang w:val="en-US"/>
        </w:rPr>
        <w:t xml:space="preserve">Intergovernmental Panel on Climate Change (IPCC). </w:t>
      </w:r>
      <w:r w:rsidRPr="0044139A">
        <w:rPr>
          <w:lang w:val="pl-PL"/>
        </w:rPr>
        <w:t xml:space="preserve">2009. </w:t>
      </w:r>
      <w:r w:rsidRPr="0044139A">
        <w:rPr>
          <w:i/>
          <w:lang w:val="pl-PL"/>
        </w:rPr>
        <w:t>Zmiana klimatu 2007: Raport syntetyczny</w:t>
      </w:r>
      <w:r w:rsidRPr="0044139A">
        <w:rPr>
          <w:lang w:val="pl-PL"/>
        </w:rPr>
        <w:t xml:space="preserve">. Wkład Grup roboczych I, II i III do Czwartego Raportu Oceniającego Międzyrządowego Zespołu ds. Zmian Klimatu. Wyd. Instytut Ochrony Środowiska. Warszawa; </w:t>
      </w:r>
    </w:p>
  </w:footnote>
  <w:footnote w:id="23">
    <w:p w:rsidR="00812649" w:rsidRPr="0044139A" w:rsidRDefault="00812649" w:rsidP="0044139A">
      <w:pPr>
        <w:pStyle w:val="Tekstprzypisudolnego"/>
        <w:rPr>
          <w:lang w:val="pl-PL"/>
        </w:rPr>
      </w:pPr>
      <w:r>
        <w:rPr>
          <w:rStyle w:val="Odwoanieprzypisudolnego"/>
        </w:rPr>
        <w:footnoteRef/>
      </w:r>
      <w:r>
        <w:t xml:space="preserve"> </w:t>
      </w:r>
      <w:r w:rsidRPr="00D30FE6">
        <w:rPr>
          <w:lang w:val="pl-PL"/>
        </w:rPr>
        <w:t xml:space="preserve">Intergovernmental Panel on Climate Change (IPCC). </w:t>
      </w:r>
      <w:r w:rsidRPr="0044139A">
        <w:rPr>
          <w:lang w:val="pl-PL"/>
        </w:rPr>
        <w:t xml:space="preserve">2013. Wkład I grupy roboczej do Piątego Raportu Oceniającego Międzyrządowego Zespołu ds. Zmian Klimatu; </w:t>
      </w:r>
    </w:p>
    <w:p w:rsidR="00812649" w:rsidRPr="0044139A" w:rsidRDefault="00812649">
      <w:pPr>
        <w:pStyle w:val="Tekstprzypisudolnego"/>
      </w:pPr>
    </w:p>
  </w:footnote>
  <w:footnote w:id="24">
    <w:p w:rsidR="00812649" w:rsidRDefault="00812649" w:rsidP="004538EE">
      <w:pPr>
        <w:pStyle w:val="Tekstprzypisudolnego"/>
      </w:pPr>
      <w:r>
        <w:rPr>
          <w:rStyle w:val="Odwoanieprzypisudolnego"/>
        </w:rPr>
        <w:footnoteRef/>
      </w:r>
      <w:r>
        <w:t xml:space="preserve"> </w:t>
      </w:r>
      <w:r w:rsidRPr="008066D4">
        <w:rPr>
          <w:rFonts w:cstheme="majorHAnsi"/>
          <w:color w:val="000000" w:themeColor="text1"/>
        </w:rPr>
        <w:t xml:space="preserve">ciągi dni z </w:t>
      </w:r>
      <w:r w:rsidRPr="008066D4">
        <w:rPr>
          <w:rFonts w:cstheme="majorHAnsi"/>
        </w:rPr>
        <w:t>maksymalną temperaturą dobowa powietrza ≥30°C utrzymuj</w:t>
      </w:r>
      <w:r>
        <w:rPr>
          <w:rFonts w:cstheme="majorHAnsi"/>
        </w:rPr>
        <w:t>ącą się przez co najmniej 3 dni</w:t>
      </w:r>
    </w:p>
  </w:footnote>
  <w:footnote w:id="25">
    <w:p w:rsidR="00812649" w:rsidRDefault="00812649" w:rsidP="004538EE">
      <w:pPr>
        <w:pStyle w:val="Tekstprzypisudolnego"/>
      </w:pPr>
      <w:r>
        <w:rPr>
          <w:rStyle w:val="Odwoanieprzypisudolnego"/>
        </w:rPr>
        <w:footnoteRef/>
      </w:r>
      <w:r>
        <w:t xml:space="preserve"> </w:t>
      </w:r>
      <w:r w:rsidRPr="008066D4">
        <w:rPr>
          <w:rFonts w:cstheme="majorHAnsi"/>
        </w:rPr>
        <w:t xml:space="preserve">z temperaturą maksymalną </w:t>
      </w:r>
      <w:r w:rsidRPr="008066D4">
        <w:rPr>
          <w:rFonts w:eastAsia="TimesNewRoman" w:cstheme="majorHAnsi"/>
        </w:rPr>
        <w:t>≥</w:t>
      </w:r>
      <w:r w:rsidRPr="008066D4">
        <w:rPr>
          <w:rFonts w:cstheme="majorHAnsi"/>
        </w:rPr>
        <w:t>30</w:t>
      </w:r>
      <w:r w:rsidRPr="008066D4">
        <w:rPr>
          <w:rFonts w:cstheme="majorHAnsi"/>
          <w:vertAlign w:val="superscript"/>
        </w:rPr>
        <w:t>o</w:t>
      </w:r>
      <w:r w:rsidRPr="008066D4">
        <w:rPr>
          <w:rFonts w:cstheme="majorHAnsi"/>
        </w:rPr>
        <w:t>C</w:t>
      </w:r>
    </w:p>
  </w:footnote>
  <w:footnote w:id="26">
    <w:p w:rsidR="00812649" w:rsidRDefault="00812649" w:rsidP="004538EE">
      <w:pPr>
        <w:pStyle w:val="Tekstprzypisudolnego"/>
      </w:pPr>
      <w:r>
        <w:rPr>
          <w:rStyle w:val="Odwoanieprzypisudolnego"/>
        </w:rPr>
        <w:footnoteRef/>
      </w:r>
      <w:r>
        <w:t xml:space="preserve"> Informacje na podstawie Opracowania „Ocena wpływu obecnych i przyszłych zmian klimatu na strefę polskiego wybrzeża i ekosystem Morza Bałtyckiego” zostało wykonane na podstawie umowy nr DZR/2/U/2014 z dnia 18.09.2014, zawartej pomiędzy Ministerstwem Środowiska  a Instytutem Meteorologii i Gospodarki Wodnej – Państwowym Instytutem Badawczym, sfinansowanej ze środków Narodowego Funduszu Ochrony Środowiska i Gospodarki Wodnej.</w:t>
      </w:r>
    </w:p>
  </w:footnote>
  <w:footnote w:id="27">
    <w:p w:rsidR="00812649" w:rsidRDefault="00812649" w:rsidP="004538EE">
      <w:pPr>
        <w:pStyle w:val="Tekstprzypisudolnego"/>
      </w:pPr>
      <w:r>
        <w:rPr>
          <w:rStyle w:val="Odwoanieprzypisudolnego"/>
        </w:rPr>
        <w:footnoteRef/>
      </w:r>
      <w:r>
        <w:t xml:space="preserve"> </w:t>
      </w:r>
      <w:r w:rsidRPr="00CE391B">
        <w:t>model ECHAM5</w:t>
      </w:r>
    </w:p>
  </w:footnote>
  <w:footnote w:id="28">
    <w:p w:rsidR="00812649" w:rsidRDefault="00812649" w:rsidP="004538EE">
      <w:pPr>
        <w:pStyle w:val="Tekstprzypisudolnego"/>
      </w:pPr>
      <w:r>
        <w:rPr>
          <w:rStyle w:val="Odwoanieprzypisudolnego"/>
        </w:rPr>
        <w:footnoteRef/>
      </w:r>
      <w:r>
        <w:t xml:space="preserve"> Zgodnie z metodyką  przyjętą w </w:t>
      </w:r>
      <w:r w:rsidRPr="0044139A">
        <w:rPr>
          <w:i/>
        </w:rPr>
        <w:t>Strategicznym Planie Adaptacji dla sektorów i obszarów wrażliwych na zmiany klimatu do roku 2020 z perspektywą do 2030</w:t>
      </w:r>
      <w:r>
        <w:t xml:space="preserve">. </w:t>
      </w:r>
    </w:p>
  </w:footnote>
  <w:footnote w:id="29">
    <w:p w:rsidR="00812649" w:rsidRDefault="00812649" w:rsidP="004538EE">
      <w:pPr>
        <w:pStyle w:val="Tekstprzypisudolnego"/>
      </w:pPr>
      <w:r>
        <w:rPr>
          <w:rStyle w:val="Odwoanieprzypisudolnego"/>
        </w:rPr>
        <w:footnoteRef/>
      </w:r>
      <w:r>
        <w:t xml:space="preserve"> Przyjęte Programie ochrony przed powodzią w Dorzeczu Górnej Wisły założenia dotyczące szkód powodziowych pośrednich zastosowano do ogółu niekorzystnych zjawisk atmosferycznych. </w:t>
      </w:r>
    </w:p>
  </w:footnote>
  <w:footnote w:id="30">
    <w:p w:rsidR="00812649" w:rsidRPr="00D5364F" w:rsidRDefault="00812649" w:rsidP="004538EE">
      <w:pPr>
        <w:autoSpaceDE w:val="0"/>
        <w:autoSpaceDN w:val="0"/>
        <w:adjustRightInd w:val="0"/>
        <w:spacing w:after="0" w:line="240" w:lineRule="auto"/>
        <w:rPr>
          <w:rFonts w:cs="TimesNewRoman"/>
          <w:sz w:val="20"/>
          <w:szCs w:val="20"/>
        </w:rPr>
      </w:pPr>
      <w:r>
        <w:rPr>
          <w:rStyle w:val="Odwoanieprzypisudolnego"/>
        </w:rPr>
        <w:footnoteRef/>
      </w:r>
      <w:r>
        <w:t xml:space="preserve"> </w:t>
      </w:r>
      <w:r w:rsidRPr="00D5364F">
        <w:rPr>
          <w:rFonts w:cs="TimesNewRoman"/>
          <w:sz w:val="20"/>
          <w:szCs w:val="20"/>
        </w:rPr>
        <w:t>COM(2009) 82: Wspólnotowe podejście do zapobiegania klęskom żywiołowym oraz katastrofom</w:t>
      </w:r>
    </w:p>
    <w:p w:rsidR="00812649" w:rsidRPr="00D5364F" w:rsidRDefault="00812649" w:rsidP="004538EE">
      <w:pPr>
        <w:pStyle w:val="Tekstprzypisudolnego"/>
      </w:pPr>
      <w:r w:rsidRPr="00D5364F">
        <w:rPr>
          <w:rFonts w:cs="TimesNewRoman"/>
        </w:rPr>
        <w:t>spowodowanym przez człowieka</w:t>
      </w:r>
    </w:p>
  </w:footnote>
  <w:footnote w:id="31">
    <w:p w:rsidR="00812649" w:rsidRPr="00484674" w:rsidRDefault="00812649" w:rsidP="004538EE">
      <w:pPr>
        <w:autoSpaceDE w:val="0"/>
        <w:autoSpaceDN w:val="0"/>
        <w:adjustRightInd w:val="0"/>
        <w:spacing w:after="0" w:line="240" w:lineRule="auto"/>
        <w:jc w:val="both"/>
        <w:rPr>
          <w:rFonts w:cs="TimesNewRoman"/>
          <w:sz w:val="20"/>
          <w:szCs w:val="20"/>
        </w:rPr>
      </w:pPr>
      <w:r>
        <w:rPr>
          <w:rStyle w:val="Odwoanieprzypisudolnego"/>
        </w:rPr>
        <w:footnoteRef/>
      </w:r>
      <w:r>
        <w:t xml:space="preserve"> </w:t>
      </w:r>
      <w:r w:rsidRPr="00DB2FC7">
        <w:rPr>
          <w:rFonts w:cs="TimesNewRoman"/>
          <w:sz w:val="20"/>
          <w:szCs w:val="20"/>
        </w:rPr>
        <w:t>Zielona infrastruktura: strategicznie zaplanowana sieć obszarów naturalnych i półnaturalnych z innymi cechami środowiskowymi, zaprojektowana i zarządzana w sposób mający zapewnić szeroką gamę usług ekosystemowych. Obejmuje ona obszary zielone (lub niebieskie w przypadku ekosystemów wodnych) oraz inne cechy fizyczne obszarów lądowych (w tym przybrzeżnych) oraz morskich. Na lądzie zielona infrastruktura jest obecna na obszarach wiejskich i w środowisku miejskim.</w:t>
      </w:r>
      <w:r>
        <w:rPr>
          <w:rFonts w:cs="TimesNewRoman"/>
          <w:sz w:val="20"/>
          <w:szCs w:val="20"/>
        </w:rPr>
        <w:t xml:space="preserve"> Za K</w:t>
      </w:r>
      <w:r w:rsidRPr="00DB2FC7">
        <w:rPr>
          <w:rFonts w:cs="TimesNewRoman"/>
          <w:sz w:val="20"/>
          <w:szCs w:val="20"/>
        </w:rPr>
        <w:t>omunikat</w:t>
      </w:r>
      <w:r>
        <w:rPr>
          <w:rFonts w:cs="TimesNewRoman"/>
          <w:sz w:val="20"/>
          <w:szCs w:val="20"/>
        </w:rPr>
        <w:t>em K</w:t>
      </w:r>
      <w:r w:rsidRPr="00DB2FC7">
        <w:rPr>
          <w:rFonts w:cs="TimesNewRoman"/>
          <w:sz w:val="20"/>
          <w:szCs w:val="20"/>
        </w:rPr>
        <w:t xml:space="preserve">omisji do </w:t>
      </w:r>
      <w:r>
        <w:rPr>
          <w:rFonts w:cs="TimesNewRoman"/>
          <w:sz w:val="20"/>
          <w:szCs w:val="20"/>
        </w:rPr>
        <w:t>P</w:t>
      </w:r>
      <w:r w:rsidRPr="00DB2FC7">
        <w:rPr>
          <w:rFonts w:cs="TimesNewRoman"/>
          <w:sz w:val="20"/>
          <w:szCs w:val="20"/>
        </w:rPr>
        <w:t xml:space="preserve">arlamentu </w:t>
      </w:r>
      <w:r>
        <w:rPr>
          <w:rFonts w:cs="TimesNewRoman"/>
          <w:sz w:val="20"/>
          <w:szCs w:val="20"/>
        </w:rPr>
        <w:t>Europejskiego, Rady, Europejskiego K</w:t>
      </w:r>
      <w:r w:rsidRPr="00DB2FC7">
        <w:rPr>
          <w:rFonts w:cs="TimesNewRoman"/>
          <w:sz w:val="20"/>
          <w:szCs w:val="20"/>
        </w:rPr>
        <w:t xml:space="preserve">omitetu </w:t>
      </w:r>
      <w:r>
        <w:rPr>
          <w:rFonts w:cs="TimesNewRoman"/>
          <w:sz w:val="20"/>
          <w:szCs w:val="20"/>
        </w:rPr>
        <w:t>E</w:t>
      </w:r>
      <w:r w:rsidRPr="00DB2FC7">
        <w:rPr>
          <w:rFonts w:cs="TimesNewRoman"/>
          <w:sz w:val="20"/>
          <w:szCs w:val="20"/>
        </w:rPr>
        <w:t>konomiczno-</w:t>
      </w:r>
      <w:r>
        <w:rPr>
          <w:rFonts w:cs="TimesNewRoman"/>
          <w:sz w:val="20"/>
          <w:szCs w:val="20"/>
        </w:rPr>
        <w:t>S</w:t>
      </w:r>
      <w:r w:rsidRPr="00DB2FC7">
        <w:rPr>
          <w:rFonts w:cs="TimesNewRoman"/>
          <w:sz w:val="20"/>
          <w:szCs w:val="20"/>
        </w:rPr>
        <w:t xml:space="preserve">połecznego i </w:t>
      </w:r>
      <w:r>
        <w:rPr>
          <w:rFonts w:cs="TimesNewRoman"/>
          <w:sz w:val="20"/>
          <w:szCs w:val="20"/>
        </w:rPr>
        <w:t>K</w:t>
      </w:r>
      <w:r w:rsidRPr="00DB2FC7">
        <w:rPr>
          <w:rFonts w:cs="TimesNewRoman"/>
          <w:sz w:val="20"/>
          <w:szCs w:val="20"/>
        </w:rPr>
        <w:t xml:space="preserve">omitetu </w:t>
      </w:r>
      <w:r>
        <w:rPr>
          <w:rFonts w:cs="TimesNewRoman"/>
          <w:sz w:val="20"/>
          <w:szCs w:val="20"/>
        </w:rPr>
        <w:t>R</w:t>
      </w:r>
      <w:r w:rsidRPr="00DB2FC7">
        <w:rPr>
          <w:rFonts w:cs="TimesNewRoman"/>
          <w:sz w:val="20"/>
          <w:szCs w:val="20"/>
        </w:rPr>
        <w:t>egionów</w:t>
      </w:r>
      <w:r>
        <w:rPr>
          <w:rFonts w:cs="TimesNewRoman"/>
          <w:sz w:val="20"/>
          <w:szCs w:val="20"/>
        </w:rPr>
        <w:t xml:space="preserve"> </w:t>
      </w:r>
      <w:r w:rsidRPr="00DB2FC7">
        <w:rPr>
          <w:rFonts w:cs="TimesNewRoman"/>
          <w:sz w:val="20"/>
          <w:szCs w:val="20"/>
        </w:rPr>
        <w:t>Zielona infrastruktura — zwiększanie kapitału naturalnego Europy</w:t>
      </w:r>
      <w:r>
        <w:rPr>
          <w:rFonts w:cs="TimesNewRoman"/>
          <w:sz w:val="20"/>
          <w:szCs w:val="20"/>
        </w:rPr>
        <w:t xml:space="preserve"> SWD(2013)155 final)</w:t>
      </w:r>
    </w:p>
  </w:footnote>
  <w:footnote w:id="32">
    <w:p w:rsidR="00812649" w:rsidRPr="00D30FE6" w:rsidRDefault="00812649" w:rsidP="00D30FE6">
      <w:pPr>
        <w:pStyle w:val="Tekstprzypisudolnego"/>
        <w:rPr>
          <w:rFonts w:asciiTheme="minorHAnsi" w:hAnsiTheme="minorHAnsi"/>
        </w:rPr>
      </w:pPr>
      <w:r w:rsidRPr="00D30FE6">
        <w:rPr>
          <w:rStyle w:val="Odwoanieprzypisudolnego"/>
          <w:rFonts w:asciiTheme="minorHAnsi" w:hAnsiTheme="minorHAnsi"/>
        </w:rPr>
        <w:footnoteRef/>
      </w:r>
      <w:r w:rsidRPr="00D30FE6">
        <w:rPr>
          <w:rFonts w:asciiTheme="minorHAnsi" w:hAnsiTheme="minorHAnsi"/>
        </w:rPr>
        <w:t xml:space="preserve"> Zgodnie z art. 3 pkt 5 ustawy z dnia 27 kwietnia 2001 r. – Prawo ochrony środowiska (Dz. U. z 2017 r. poz. 519, z późn. zm.).</w:t>
      </w:r>
    </w:p>
  </w:footnote>
  <w:footnote w:id="33">
    <w:p w:rsidR="00812649" w:rsidRPr="00E03D7E" w:rsidRDefault="00812649" w:rsidP="00E03D7E">
      <w:pPr>
        <w:pStyle w:val="Tekstprzypisudolnego"/>
        <w:rPr>
          <w:b/>
          <w:lang w:val="pl-PL"/>
        </w:rPr>
      </w:pPr>
      <w:r>
        <w:rPr>
          <w:rStyle w:val="Odwoanieprzypisudolnego"/>
        </w:rPr>
        <w:footnoteRef/>
      </w:r>
      <w:r>
        <w:t xml:space="preserve"> </w:t>
      </w:r>
      <w:r w:rsidRPr="00E03D7E">
        <w:rPr>
          <w:lang w:val="en-US"/>
        </w:rPr>
        <w:t xml:space="preserve">World Health Organization – Joint Research Centre (WHO – JRC). 2011. </w:t>
      </w:r>
      <w:r w:rsidRPr="00E03D7E">
        <w:rPr>
          <w:i/>
          <w:lang w:val="pl-PL"/>
        </w:rPr>
        <w:t>Burden of disease from environmental noise</w:t>
      </w:r>
      <w:r w:rsidRPr="00E03D7E">
        <w:rPr>
          <w:lang w:val="pl-PL"/>
        </w:rPr>
        <w:t xml:space="preserve"> (</w:t>
      </w:r>
      <w:r w:rsidRPr="00E03D7E">
        <w:rPr>
          <w:i/>
          <w:lang w:val="pl-PL"/>
        </w:rPr>
        <w:t>Obciążenie chorobami z powodu hałasu w środowisku</w:t>
      </w:r>
      <w:r w:rsidRPr="00E03D7E">
        <w:rPr>
          <w:lang w:val="pl-PL"/>
        </w:rPr>
        <w:t xml:space="preserve">). [online]. Dostępny w internecie: </w:t>
      </w:r>
      <w:hyperlink r:id="rId2" w:history="1">
        <w:r w:rsidRPr="00E03D7E">
          <w:rPr>
            <w:rStyle w:val="Hipercze"/>
            <w:lang w:val="pl-PL"/>
          </w:rPr>
          <w:t>http://www.euro.who.int/__data/assets/pdf_file/0008/136466/e94888.pdf</w:t>
        </w:r>
      </w:hyperlink>
      <w:r w:rsidRPr="00E03D7E">
        <w:rPr>
          <w:lang w:val="pl-PL"/>
        </w:rPr>
        <w:t>;</w:t>
      </w:r>
      <w:r w:rsidRPr="00E03D7E">
        <w:rPr>
          <w:b/>
          <w:lang w:val="pl-PL"/>
        </w:rPr>
        <w:t xml:space="preserve"> </w:t>
      </w:r>
    </w:p>
    <w:p w:rsidR="00812649" w:rsidRPr="00E03D7E" w:rsidRDefault="00812649">
      <w:pPr>
        <w:pStyle w:val="Tekstprzypisudolnego"/>
        <w:rPr>
          <w:lang w:val="pl-PL"/>
        </w:rPr>
      </w:pPr>
    </w:p>
  </w:footnote>
  <w:footnote w:id="34">
    <w:p w:rsidR="00812649" w:rsidRDefault="00812649" w:rsidP="00D30FE6">
      <w:pPr>
        <w:pStyle w:val="Tekstprzypisudolnego"/>
      </w:pPr>
      <w:r>
        <w:rPr>
          <w:rStyle w:val="Odwoanieprzypisudolnego"/>
        </w:rPr>
        <w:footnoteRef/>
      </w:r>
      <w:r w:rsidRPr="002D1219">
        <w:rPr>
          <w:b/>
        </w:rPr>
        <w:t>Wskaźnik L</w:t>
      </w:r>
      <w:r w:rsidRPr="002D1219">
        <w:rPr>
          <w:b/>
          <w:vertAlign w:val="subscript"/>
        </w:rPr>
        <w:t>N</w:t>
      </w:r>
      <w:r>
        <w:t>, to </w:t>
      </w:r>
      <w:r w:rsidRPr="002F4B6C">
        <w:t>długookresowy średni poziom dźwięku A wyrażony w decybelach (dB), wyznaczony w ciągu wszystkich pór nocy w roku (rozumianych jako pr</w:t>
      </w:r>
      <w:r>
        <w:t>zedział czasu od godz. 22.00 do </w:t>
      </w:r>
      <w:r w:rsidRPr="002F4B6C">
        <w:t>godz. 6.00)</w:t>
      </w:r>
      <w:r>
        <w:t>.</w:t>
      </w:r>
    </w:p>
  </w:footnote>
  <w:footnote w:id="35">
    <w:p w:rsidR="00812649" w:rsidRDefault="00812649" w:rsidP="00D30FE6">
      <w:pPr>
        <w:pStyle w:val="Tekstprzypisudolnego"/>
      </w:pPr>
      <w:r>
        <w:rPr>
          <w:rStyle w:val="Odwoanieprzypisudolnego"/>
        </w:rPr>
        <w:t xml:space="preserve"> </w:t>
      </w:r>
      <w:r>
        <w:rPr>
          <w:rStyle w:val="Odwoanieprzypisudolnego"/>
        </w:rPr>
        <w:footnoteRef/>
      </w:r>
      <w:r>
        <w:t xml:space="preserve"> </w:t>
      </w:r>
      <w:r w:rsidRPr="008C2D76">
        <w:t>http://www.gios.gov.pl/images/dokumenty/pms/monitoring_halasu/15-podsumowanie.pdf</w:t>
      </w:r>
    </w:p>
    <w:p w:rsidR="00812649" w:rsidRDefault="00812649" w:rsidP="00D30FE6">
      <w:pPr>
        <w:pStyle w:val="Tekstprzypisudolnego"/>
      </w:pPr>
    </w:p>
  </w:footnote>
  <w:footnote w:id="36">
    <w:p w:rsidR="00812649" w:rsidRPr="006A04F6" w:rsidRDefault="00812649" w:rsidP="002C274A">
      <w:pPr>
        <w:pStyle w:val="Tekstprzypisudolnego"/>
      </w:pPr>
      <w:r>
        <w:rPr>
          <w:rStyle w:val="Odwoanieprzypisudolnego"/>
        </w:rPr>
        <w:footnoteRef/>
      </w:r>
      <w:r>
        <w:t xml:space="preserve"> </w:t>
      </w:r>
      <w:r w:rsidRPr="006A04F6">
        <w:t>Raport z działalności Prezesa Państwowej Agencji Atomistyki oraz ocena stanu bezpieczeństwa jądrowego i ochrony radiologicznej w Polsce w 2016 r.</w:t>
      </w:r>
    </w:p>
  </w:footnote>
  <w:footnote w:id="37">
    <w:p w:rsidR="00812649" w:rsidRPr="006A04F6" w:rsidRDefault="00812649" w:rsidP="002C274A">
      <w:pPr>
        <w:pStyle w:val="Tekstprzypisudolnego"/>
      </w:pPr>
      <w:r w:rsidRPr="006A04F6">
        <w:rPr>
          <w:rStyle w:val="Odwoanieprzypisudolnego"/>
        </w:rPr>
        <w:footnoteRef/>
      </w:r>
      <w:r w:rsidRPr="006A04F6">
        <w:t xml:space="preserve"> Program Państwowego Monitoringu Środowiska na lata 2016-2020, Warszawa 2015</w:t>
      </w:r>
    </w:p>
  </w:footnote>
  <w:footnote w:id="38">
    <w:p w:rsidR="00812649" w:rsidRPr="00000F2B" w:rsidRDefault="00812649" w:rsidP="002C274A">
      <w:pPr>
        <w:pStyle w:val="Tekstprzypisudolnego"/>
      </w:pPr>
      <w:r w:rsidRPr="00000F2B">
        <w:rPr>
          <w:rStyle w:val="Odwoanieprzypisudolnego"/>
        </w:rPr>
        <w:footnoteRef/>
      </w:r>
      <w:r w:rsidRPr="00000F2B">
        <w:t xml:space="preserve"> n</w:t>
      </w:r>
      <w:r>
        <w:t>Sv</w:t>
      </w:r>
      <w:r w:rsidRPr="00000F2B">
        <w:t>/h – nano</w:t>
      </w:r>
      <w:r>
        <w:t>siwerty</w:t>
      </w:r>
      <w:r w:rsidRPr="00000F2B">
        <w:t xml:space="preserve"> na godzinę. </w:t>
      </w:r>
      <w:r>
        <w:t>Siwert</w:t>
      </w:r>
      <w:r w:rsidRPr="00000F2B">
        <w:t xml:space="preserve"> (</w:t>
      </w:r>
      <w:r>
        <w:t>Sv</w:t>
      </w:r>
      <w:r w:rsidRPr="00000F2B">
        <w:t>)</w:t>
      </w:r>
      <w:r>
        <w:t xml:space="preserve"> to jednostka, która o</w:t>
      </w:r>
      <w:r w:rsidRPr="00092E16">
        <w:t>kreśla dawkę pochłoniętą w tkance lub narządzie, uwzględniając rodzaj i energię promieniowania. Pozwala na określenie skutków biologicznych oddziaływania promieniowania na narażoną tkankę.</w:t>
      </w:r>
      <w:r w:rsidRPr="00000F2B">
        <w:t xml:space="preserve"> </w:t>
      </w:r>
    </w:p>
  </w:footnote>
  <w:footnote w:id="39">
    <w:p w:rsidR="00812649" w:rsidRDefault="00812649" w:rsidP="00CE7329">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845B49" w:rsidRDefault="00812649" w:rsidP="00CE7329">
      <w:pPr>
        <w:pStyle w:val="Tekstprzypisudolnego"/>
        <w:rPr>
          <w:lang w:val="pl-PL"/>
        </w:rPr>
      </w:pPr>
      <w:r>
        <w:rPr>
          <w:bCs/>
          <w:iCs/>
          <w:lang w:val="pl-PL"/>
        </w:rPr>
        <w:t>Stan środowiska w Polsce, Raport 2014, (GIOŚ 2014)</w:t>
      </w:r>
    </w:p>
    <w:p w:rsidR="00812649" w:rsidRPr="00CE7329" w:rsidRDefault="00812649">
      <w:pPr>
        <w:pStyle w:val="Tekstprzypisudolnego"/>
        <w:rPr>
          <w:lang w:val="pl-PL"/>
        </w:rPr>
      </w:pPr>
    </w:p>
  </w:footnote>
  <w:footnote w:id="40">
    <w:p w:rsidR="00812649" w:rsidRPr="00D55EAA" w:rsidRDefault="00812649" w:rsidP="00956E3C">
      <w:pPr>
        <w:pStyle w:val="Stopka3"/>
        <w:shd w:val="clear" w:color="auto" w:fill="auto"/>
        <w:tabs>
          <w:tab w:val="left" w:pos="173"/>
        </w:tabs>
        <w:rPr>
          <w:rFonts w:asciiTheme="minorHAnsi" w:hAnsiTheme="minorHAnsi"/>
          <w:sz w:val="18"/>
          <w:szCs w:val="18"/>
        </w:rPr>
      </w:pPr>
      <w:r>
        <w:rPr>
          <w:vertAlign w:val="superscript"/>
        </w:rPr>
        <w:footnoteRef/>
      </w:r>
      <w:r>
        <w:tab/>
      </w:r>
      <w:r w:rsidRPr="00D55EAA">
        <w:rPr>
          <w:rFonts w:asciiTheme="minorHAnsi" w:hAnsiTheme="minorHAnsi"/>
          <w:sz w:val="18"/>
          <w:szCs w:val="18"/>
        </w:rPr>
        <w:t>W niniejszej strategii posłużono się nazwą najczęściej pojawiającą się w dyskusji publicznej na generalne określenie „gazu z zasobów niekonwencjonalnych”. Należy mieć na uwadze, że gaz z zasobów niekonwencjonalnych obejmuje znacznie szerszy zakres zasobów niż tylko gaz z łupków.</w:t>
      </w:r>
    </w:p>
  </w:footnote>
  <w:footnote w:id="41">
    <w:p w:rsidR="00812649" w:rsidRPr="00D55EAA" w:rsidRDefault="00812649" w:rsidP="00956E3C">
      <w:pPr>
        <w:pStyle w:val="Tekstprzypisudolnego"/>
        <w:jc w:val="both"/>
        <w:rPr>
          <w:sz w:val="18"/>
          <w:szCs w:val="18"/>
        </w:rPr>
      </w:pPr>
      <w:r w:rsidRPr="00D55EAA">
        <w:rPr>
          <w:rStyle w:val="Odwoanieprzypisudolnego"/>
          <w:sz w:val="18"/>
          <w:szCs w:val="18"/>
        </w:rPr>
        <w:footnoteRef/>
      </w:r>
      <w:r w:rsidRPr="00D55EAA">
        <w:rPr>
          <w:sz w:val="18"/>
          <w:szCs w:val="18"/>
        </w:rPr>
        <w:t xml:space="preserve"> Encyklopedia PWN.</w:t>
      </w:r>
    </w:p>
  </w:footnote>
  <w:footnote w:id="42">
    <w:p w:rsidR="00812649" w:rsidRPr="00D55EAA" w:rsidRDefault="00812649" w:rsidP="00956E3C">
      <w:pPr>
        <w:pStyle w:val="Stopka3"/>
        <w:shd w:val="clear" w:color="auto" w:fill="auto"/>
        <w:tabs>
          <w:tab w:val="left" w:pos="202"/>
        </w:tabs>
        <w:rPr>
          <w:rFonts w:asciiTheme="minorHAnsi" w:hAnsiTheme="minorHAnsi"/>
          <w:sz w:val="18"/>
          <w:szCs w:val="18"/>
        </w:rPr>
      </w:pPr>
      <w:r w:rsidRPr="00D55EAA">
        <w:rPr>
          <w:rFonts w:asciiTheme="minorHAnsi" w:hAnsiTheme="minorHAnsi"/>
          <w:sz w:val="18"/>
          <w:szCs w:val="18"/>
          <w:vertAlign w:val="superscript"/>
        </w:rPr>
        <w:footnoteRef/>
      </w:r>
      <w:r w:rsidRPr="00D55EAA">
        <w:rPr>
          <w:rFonts w:asciiTheme="minorHAnsi" w:hAnsiTheme="minorHAnsi"/>
          <w:sz w:val="18"/>
          <w:szCs w:val="18"/>
        </w:rPr>
        <w:tab/>
      </w:r>
      <w:r w:rsidRPr="00D55EAA">
        <w:rPr>
          <w:rStyle w:val="StopkaKursywa"/>
          <w:rFonts w:asciiTheme="minorHAnsi" w:hAnsiTheme="minorHAnsi"/>
          <w:sz w:val="18"/>
          <w:szCs w:val="18"/>
        </w:rPr>
        <w:t>Bilans zasobów złóż kopalin wg stanu na 31 XII 2012 r,</w:t>
      </w:r>
      <w:r w:rsidRPr="00D55EAA">
        <w:rPr>
          <w:rFonts w:asciiTheme="minorHAnsi" w:hAnsiTheme="minorHAnsi"/>
          <w:sz w:val="18"/>
          <w:szCs w:val="18"/>
        </w:rPr>
        <w:t xml:space="preserve"> Państwowy Instytut Geologiczny - Państwowy Instytut Badawczy, Warszawa 2013.</w:t>
      </w:r>
    </w:p>
  </w:footnote>
  <w:footnote w:id="43">
    <w:p w:rsidR="00812649" w:rsidRPr="00D55EAA" w:rsidRDefault="00812649" w:rsidP="00956E3C">
      <w:pPr>
        <w:pStyle w:val="Stopka20"/>
        <w:shd w:val="clear" w:color="auto" w:fill="auto"/>
        <w:tabs>
          <w:tab w:val="left" w:pos="168"/>
        </w:tabs>
        <w:rPr>
          <w:rFonts w:asciiTheme="minorHAnsi" w:hAnsiTheme="minorHAnsi"/>
          <w:sz w:val="18"/>
          <w:szCs w:val="18"/>
        </w:rPr>
      </w:pPr>
      <w:r w:rsidRPr="00D55EAA">
        <w:rPr>
          <w:rStyle w:val="Stopka2Bezkursywy"/>
          <w:rFonts w:asciiTheme="minorHAnsi" w:eastAsia="Calibri" w:hAnsiTheme="minorHAnsi"/>
          <w:sz w:val="18"/>
          <w:szCs w:val="18"/>
        </w:rPr>
        <w:footnoteRef/>
      </w:r>
      <w:r w:rsidRPr="00D55EAA">
        <w:rPr>
          <w:rStyle w:val="Stopka2Bezkursywy"/>
          <w:rFonts w:asciiTheme="minorHAnsi" w:eastAsia="Calibri" w:hAnsiTheme="minorHAnsi"/>
          <w:sz w:val="18"/>
          <w:szCs w:val="18"/>
        </w:rPr>
        <w:tab/>
      </w:r>
      <w:r w:rsidRPr="00D55EAA">
        <w:rPr>
          <w:rFonts w:asciiTheme="minorHAnsi" w:hAnsiTheme="minorHAnsi"/>
          <w:sz w:val="18"/>
          <w:szCs w:val="18"/>
        </w:rPr>
        <w:t>Bilans zasobów złóż kopalin...</w:t>
      </w:r>
      <w:r w:rsidRPr="00D55EAA">
        <w:rPr>
          <w:rStyle w:val="Stopka2Bezkursywy"/>
          <w:rFonts w:asciiTheme="minorHAnsi" w:eastAsia="Calibri" w:hAnsiTheme="minorHAnsi"/>
          <w:sz w:val="18"/>
          <w:szCs w:val="18"/>
        </w:rPr>
        <w:t>, dz. cyt.</w:t>
      </w:r>
    </w:p>
  </w:footnote>
  <w:footnote w:id="44">
    <w:p w:rsidR="00812649" w:rsidRPr="00D55EAA" w:rsidRDefault="00812649" w:rsidP="00956E3C">
      <w:pPr>
        <w:pStyle w:val="Stopka3"/>
        <w:shd w:val="clear" w:color="auto" w:fill="auto"/>
        <w:tabs>
          <w:tab w:val="left" w:pos="192"/>
        </w:tabs>
        <w:rPr>
          <w:rFonts w:asciiTheme="minorHAnsi" w:hAnsiTheme="minorHAnsi"/>
          <w:sz w:val="18"/>
          <w:szCs w:val="18"/>
        </w:rPr>
      </w:pPr>
      <w:r w:rsidRPr="00D55EAA">
        <w:rPr>
          <w:rFonts w:asciiTheme="minorHAnsi" w:hAnsiTheme="minorHAnsi"/>
          <w:sz w:val="18"/>
          <w:szCs w:val="18"/>
          <w:vertAlign w:val="superscript"/>
        </w:rPr>
        <w:footnoteRef/>
      </w:r>
      <w:r w:rsidRPr="00D55EAA">
        <w:rPr>
          <w:rFonts w:asciiTheme="minorHAnsi" w:hAnsiTheme="minorHAnsi"/>
          <w:sz w:val="18"/>
          <w:szCs w:val="18"/>
        </w:rPr>
        <w:tab/>
      </w:r>
      <w:r w:rsidRPr="00D55EAA">
        <w:rPr>
          <w:rStyle w:val="StopkaKursywa"/>
          <w:rFonts w:asciiTheme="minorHAnsi" w:hAnsiTheme="minorHAnsi"/>
          <w:sz w:val="18"/>
          <w:szCs w:val="18"/>
        </w:rPr>
        <w:t>Wydobycie i zużycie gazu w Polsce w liczbach,</w:t>
      </w:r>
      <w:r w:rsidRPr="00D55EAA">
        <w:rPr>
          <w:rFonts w:asciiTheme="minorHAnsi" w:hAnsiTheme="minorHAnsi"/>
          <w:sz w:val="18"/>
          <w:szCs w:val="18"/>
        </w:rPr>
        <w:t xml:space="preserve"> Ministerstwo Gospodarki, </w:t>
      </w:r>
      <w:hyperlink r:id="rId3" w:history="1">
        <w:r w:rsidRPr="00956E3C">
          <w:rPr>
            <w:rStyle w:val="Stopka1"/>
            <w:rFonts w:asciiTheme="minorHAnsi" w:hAnsiTheme="minorHAnsi"/>
            <w:sz w:val="18"/>
            <w:szCs w:val="18"/>
            <w:lang w:val="pl-PL"/>
          </w:rPr>
          <w:t>http://www.mg.gov.pl/node/18029</w:t>
        </w:r>
      </w:hyperlink>
    </w:p>
  </w:footnote>
  <w:footnote w:id="45">
    <w:p w:rsidR="00812649" w:rsidRPr="00D55EAA" w:rsidRDefault="00812649" w:rsidP="00956E3C">
      <w:pPr>
        <w:pStyle w:val="Stopka20"/>
        <w:shd w:val="clear" w:color="auto" w:fill="auto"/>
        <w:tabs>
          <w:tab w:val="left" w:pos="168"/>
        </w:tabs>
        <w:rPr>
          <w:rFonts w:asciiTheme="minorHAnsi" w:hAnsiTheme="minorHAnsi"/>
          <w:sz w:val="18"/>
          <w:szCs w:val="18"/>
        </w:rPr>
      </w:pPr>
      <w:r w:rsidRPr="00D55EAA">
        <w:rPr>
          <w:rStyle w:val="Stopka2Bezkursywy"/>
          <w:rFonts w:asciiTheme="minorHAnsi" w:eastAsia="Calibri" w:hAnsiTheme="minorHAnsi"/>
          <w:sz w:val="18"/>
          <w:szCs w:val="18"/>
        </w:rPr>
        <w:footnoteRef/>
      </w:r>
      <w:r w:rsidRPr="00D55EAA">
        <w:rPr>
          <w:rStyle w:val="Stopka2Bezkursywy"/>
          <w:rFonts w:asciiTheme="minorHAnsi" w:eastAsia="Calibri" w:hAnsiTheme="minorHAnsi"/>
          <w:sz w:val="18"/>
          <w:szCs w:val="18"/>
        </w:rPr>
        <w:tab/>
      </w:r>
      <w:r w:rsidRPr="00D55EAA">
        <w:rPr>
          <w:rFonts w:asciiTheme="minorHAnsi" w:hAnsiTheme="minorHAnsi"/>
          <w:sz w:val="18"/>
          <w:szCs w:val="18"/>
        </w:rPr>
        <w:t>Bilans zasobów złóż kopalin</w:t>
      </w:r>
      <w:r w:rsidRPr="00D55EAA">
        <w:rPr>
          <w:rStyle w:val="Stopka2Bezkursywy"/>
          <w:rFonts w:asciiTheme="minorHAnsi" w:eastAsia="Calibri" w:hAnsiTheme="minorHAnsi"/>
          <w:sz w:val="18"/>
          <w:szCs w:val="18"/>
        </w:rPr>
        <w:t>...</w:t>
      </w:r>
      <w:r w:rsidRPr="00D55EAA">
        <w:rPr>
          <w:rFonts w:asciiTheme="minorHAnsi" w:hAnsiTheme="minorHAnsi"/>
          <w:sz w:val="18"/>
          <w:szCs w:val="18"/>
        </w:rPr>
        <w:t>,</w:t>
      </w:r>
      <w:r w:rsidRPr="00D55EAA">
        <w:rPr>
          <w:rStyle w:val="Stopka2Bezkursywy"/>
          <w:rFonts w:asciiTheme="minorHAnsi" w:eastAsia="Calibri" w:hAnsiTheme="minorHAnsi"/>
          <w:sz w:val="18"/>
          <w:szCs w:val="18"/>
        </w:rPr>
        <w:t xml:space="preserve"> dz. cyt.</w:t>
      </w:r>
    </w:p>
  </w:footnote>
  <w:footnote w:id="46">
    <w:p w:rsidR="00812649" w:rsidRPr="00D55EAA" w:rsidRDefault="00812649" w:rsidP="00956E3C">
      <w:pPr>
        <w:pStyle w:val="Stopka20"/>
        <w:shd w:val="clear" w:color="auto" w:fill="auto"/>
        <w:tabs>
          <w:tab w:val="left" w:pos="206"/>
        </w:tabs>
        <w:rPr>
          <w:rFonts w:asciiTheme="minorHAnsi" w:hAnsiTheme="minorHAnsi"/>
          <w:sz w:val="18"/>
          <w:szCs w:val="18"/>
        </w:rPr>
      </w:pPr>
      <w:r w:rsidRPr="00D55EAA">
        <w:rPr>
          <w:rStyle w:val="Stopka2Bezkursywy"/>
          <w:rFonts w:asciiTheme="minorHAnsi" w:eastAsia="Calibri" w:hAnsiTheme="minorHAnsi"/>
          <w:sz w:val="18"/>
          <w:szCs w:val="18"/>
        </w:rPr>
        <w:footnoteRef/>
      </w:r>
      <w:r w:rsidRPr="00D55EAA">
        <w:rPr>
          <w:rStyle w:val="Stopka2Bezkursywy"/>
          <w:rFonts w:asciiTheme="minorHAnsi" w:eastAsia="Calibri" w:hAnsiTheme="minorHAnsi"/>
          <w:sz w:val="18"/>
          <w:szCs w:val="18"/>
        </w:rPr>
        <w:tab/>
      </w:r>
      <w:r w:rsidRPr="00D55EAA">
        <w:rPr>
          <w:rFonts w:asciiTheme="minorHAnsi" w:hAnsiTheme="minorHAnsi"/>
          <w:sz w:val="18"/>
          <w:szCs w:val="18"/>
        </w:rPr>
        <w:t>Ocena sytuacji w handlu zagranicznym w 2012 roku (na podstawie danych wstępnych GUS),</w:t>
      </w:r>
      <w:r w:rsidRPr="00D55EAA">
        <w:rPr>
          <w:rStyle w:val="Stopka2Bezkursywy"/>
          <w:rFonts w:asciiTheme="minorHAnsi" w:eastAsia="Calibri" w:hAnsiTheme="minorHAnsi"/>
          <w:sz w:val="18"/>
          <w:szCs w:val="18"/>
        </w:rPr>
        <w:t xml:space="preserve"> Ministerstwo Gospodarki, Warszawa 2013.</w:t>
      </w:r>
    </w:p>
  </w:footnote>
  <w:footnote w:id="47">
    <w:p w:rsidR="00812649" w:rsidRPr="004D1E16" w:rsidRDefault="00812649" w:rsidP="00956E3C">
      <w:pPr>
        <w:pStyle w:val="Tekstprzypisudolnego"/>
        <w:ind w:left="142" w:hanging="142"/>
        <w:jc w:val="both"/>
      </w:pPr>
      <w:r w:rsidRPr="00D55EAA">
        <w:rPr>
          <w:rStyle w:val="Odwoanieprzypisudolnego"/>
          <w:sz w:val="18"/>
          <w:szCs w:val="18"/>
        </w:rPr>
        <w:footnoteRef/>
      </w:r>
      <w:r w:rsidRPr="00D55EAA">
        <w:rPr>
          <w:sz w:val="18"/>
          <w:szCs w:val="18"/>
        </w:rPr>
        <w:t xml:space="preserve"> Krajowa konsumpcja materiałów (DMC – </w:t>
      </w:r>
      <w:r w:rsidRPr="00D55EAA">
        <w:rPr>
          <w:i/>
          <w:sz w:val="18"/>
          <w:szCs w:val="18"/>
        </w:rPr>
        <w:t>domestic material consumption</w:t>
      </w:r>
      <w:r w:rsidRPr="00D55EAA">
        <w:rPr>
          <w:sz w:val="18"/>
          <w:szCs w:val="18"/>
        </w:rPr>
        <w:t>) –</w:t>
      </w:r>
      <w:r>
        <w:rPr>
          <w:sz w:val="18"/>
          <w:szCs w:val="18"/>
        </w:rPr>
        <w:t xml:space="preserve"> </w:t>
      </w:r>
      <w:r w:rsidRPr="00D55EAA">
        <w:rPr>
          <w:sz w:val="18"/>
          <w:szCs w:val="18"/>
        </w:rPr>
        <w:t>materiał bezpośrednio wykorzystywany w gospodarce zdefiniowany jako pozyskanie krajowe powiększone o import, a pomniejszone o eksport. Wskaźnik DMC przedstawia ocenę w wartościach absolutnych wykorzystania zasobów.</w:t>
      </w:r>
    </w:p>
    <w:p w:rsidR="00812649" w:rsidRPr="004D1E16" w:rsidRDefault="00812649" w:rsidP="00956E3C">
      <w:pPr>
        <w:pStyle w:val="Tekstprzypisudolnego"/>
        <w:ind w:left="142" w:hanging="142"/>
        <w:jc w:val="both"/>
      </w:pPr>
    </w:p>
  </w:footnote>
  <w:footnote w:id="48">
    <w:p w:rsidR="00812649" w:rsidRDefault="00812649" w:rsidP="00CE7329">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CE7329" w:rsidRDefault="00812649">
      <w:pPr>
        <w:pStyle w:val="Tekstprzypisudolnego"/>
        <w:rPr>
          <w:lang w:val="pl-PL"/>
        </w:rPr>
      </w:pPr>
      <w:r>
        <w:rPr>
          <w:bCs/>
          <w:iCs/>
          <w:lang w:val="pl-PL"/>
        </w:rPr>
        <w:t>Stan środowiska w Polsce, Raport 2014, (GIOŚ 2014)</w:t>
      </w:r>
    </w:p>
  </w:footnote>
  <w:footnote w:id="49">
    <w:p w:rsidR="00812649" w:rsidRPr="00CE7329" w:rsidRDefault="00812649" w:rsidP="00CE7329">
      <w:pPr>
        <w:spacing w:after="0" w:line="240" w:lineRule="auto"/>
        <w:rPr>
          <w:rFonts w:cs="Times New Roman"/>
          <w:sz w:val="20"/>
          <w:szCs w:val="20"/>
        </w:rPr>
      </w:pPr>
      <w:r w:rsidRPr="005270A2">
        <w:rPr>
          <w:rStyle w:val="Odwoanieprzypisudolnego"/>
          <w:sz w:val="20"/>
          <w:szCs w:val="20"/>
        </w:rPr>
        <w:footnoteRef/>
      </w:r>
      <w:r w:rsidRPr="005270A2">
        <w:rPr>
          <w:sz w:val="20"/>
          <w:szCs w:val="20"/>
        </w:rPr>
        <w:t xml:space="preserve"> </w:t>
      </w:r>
      <w:r w:rsidRPr="005270A2">
        <w:rPr>
          <w:rFonts w:cs="Times New Roman"/>
          <w:sz w:val="20"/>
          <w:szCs w:val="20"/>
        </w:rPr>
        <w:t xml:space="preserve">KE. 2010. Komunikat Komisji do Parlamentu Europejskiego, Rady, Europejskiego Komitetu Ekonomiczno-Społecznego i Komitetu Regionów. </w:t>
      </w:r>
      <w:r w:rsidRPr="005270A2">
        <w:rPr>
          <w:rFonts w:cs="Times New Roman"/>
          <w:i/>
          <w:sz w:val="20"/>
          <w:szCs w:val="20"/>
        </w:rPr>
        <w:t>Nasze ubezpieczenie na życie i nasz kapitał naturalny - unijna strategia ochrony różnorodności biologicznej na okres do 2020 r</w:t>
      </w:r>
      <w:r>
        <w:rPr>
          <w:rFonts w:cs="Times New Roman"/>
          <w:sz w:val="20"/>
          <w:szCs w:val="20"/>
        </w:rPr>
        <w:t xml:space="preserve">. Bruksela; </w:t>
      </w:r>
    </w:p>
  </w:footnote>
  <w:footnote w:id="50">
    <w:p w:rsidR="00812649" w:rsidRPr="00CE7329" w:rsidRDefault="00812649">
      <w:pPr>
        <w:pStyle w:val="Tekstprzypisudolnego"/>
        <w:rPr>
          <w:rFonts w:asciiTheme="minorHAnsi" w:eastAsiaTheme="minorHAnsi" w:hAnsiTheme="minorHAnsi"/>
          <w:color w:val="auto"/>
          <w:lang w:val="pl-PL" w:eastAsia="en-US"/>
        </w:rPr>
      </w:pPr>
      <w:r>
        <w:rPr>
          <w:rStyle w:val="Odwoanieprzypisudolnego"/>
        </w:rPr>
        <w:footnoteRef/>
      </w:r>
      <w:r>
        <w:t xml:space="preserve"> </w:t>
      </w:r>
      <w:r w:rsidRPr="00CE7329">
        <w:rPr>
          <w:rFonts w:asciiTheme="minorHAnsi" w:eastAsiaTheme="minorHAnsi" w:hAnsiTheme="minorHAnsi"/>
          <w:color w:val="auto"/>
          <w:lang w:val="pl-PL" w:eastAsia="en-US"/>
        </w:rPr>
        <w:t xml:space="preserve">Państwowe Gospodarstwo Leśne. Lasy Państwowe. Raport o stanie lasów w Polsce 2012. Warszawa. 2013. Dostępny w internecie: </w:t>
      </w:r>
      <w:hyperlink r:id="rId4" w:history="1">
        <w:r w:rsidRPr="00CE7329">
          <w:rPr>
            <w:rFonts w:asciiTheme="minorHAnsi" w:eastAsiaTheme="minorHAnsi" w:hAnsiTheme="minorHAnsi"/>
            <w:lang w:val="pl-PL" w:eastAsia="en-US"/>
          </w:rPr>
          <w:t>http://www.lasy.gov.pl/dokumenty/raporty/raport-o-stanie-lasow-w-polsce-2012-roku</w:t>
        </w:r>
      </w:hyperlink>
    </w:p>
  </w:footnote>
  <w:footnote w:id="51">
    <w:p w:rsidR="00812649" w:rsidRPr="005270A2" w:rsidRDefault="00812649" w:rsidP="005270A2">
      <w:pPr>
        <w:spacing w:after="0" w:line="240" w:lineRule="auto"/>
        <w:rPr>
          <w:rFonts w:cs="Times New Roman"/>
          <w:sz w:val="20"/>
          <w:szCs w:val="20"/>
        </w:rPr>
      </w:pPr>
      <w:r>
        <w:rPr>
          <w:rStyle w:val="Odwoanieprzypisudolnego"/>
        </w:rPr>
        <w:footnoteRef/>
      </w:r>
      <w:r>
        <w:t xml:space="preserve"> </w:t>
      </w:r>
      <w:r w:rsidRPr="005270A2">
        <w:rPr>
          <w:rFonts w:cs="Times New Roman"/>
          <w:sz w:val="20"/>
          <w:szCs w:val="20"/>
        </w:rPr>
        <w:t xml:space="preserve">Ministerstwo Środowiska. 2006. Strategia ochrony obszarów wodno-błotnych w Polsce wraz z planem działań (na lata 2006-2013). Warszawa. Dostępny w internecie: </w:t>
      </w:r>
      <w:hyperlink r:id="rId5" w:history="1">
        <w:r w:rsidRPr="005270A2">
          <w:rPr>
            <w:sz w:val="20"/>
            <w:szCs w:val="20"/>
          </w:rPr>
          <w:t>http://www.gdos.gov.pl/files/Konwencje/ramsarska/strategia_ochrony_plan_dzialan.pdf</w:t>
        </w:r>
      </w:hyperlink>
      <w:r w:rsidRPr="005270A2">
        <w:rPr>
          <w:rFonts w:cs="Times New Roman"/>
          <w:sz w:val="20"/>
          <w:szCs w:val="20"/>
        </w:rPr>
        <w:t xml:space="preserve">; </w:t>
      </w:r>
    </w:p>
    <w:p w:rsidR="00812649" w:rsidRPr="005270A2" w:rsidRDefault="00812649">
      <w:pPr>
        <w:pStyle w:val="Tekstprzypisudolnego"/>
        <w:rPr>
          <w:lang w:val="pl-PL"/>
        </w:rPr>
      </w:pPr>
    </w:p>
  </w:footnote>
  <w:footnote w:id="52">
    <w:p w:rsidR="00812649" w:rsidRDefault="00812649" w:rsidP="005270A2">
      <w:pPr>
        <w:pStyle w:val="Tekstprzypisudolnego"/>
        <w:ind w:left="142" w:hanging="142"/>
        <w:jc w:val="both"/>
      </w:pPr>
      <w:r>
        <w:rPr>
          <w:rStyle w:val="Odwoanieprzypisudolnego"/>
        </w:rPr>
        <w:footnoteRef/>
      </w:r>
      <w:r>
        <w:t xml:space="preserve"> W</w:t>
      </w:r>
      <w:r w:rsidRPr="00A82180">
        <w:t xml:space="preserve">g klasyfikacji </w:t>
      </w:r>
      <w:r w:rsidRPr="005E55C4">
        <w:t>IUCN</w:t>
      </w:r>
      <w:r>
        <w:t xml:space="preserve"> </w:t>
      </w:r>
      <w:r w:rsidRPr="005E55C4">
        <w:t>(krytycznie zagrożonych: CR, zagrożonych: EN, lub wysokiego ryzyka, narażonych na wyginięcie: VU)</w:t>
      </w:r>
    </w:p>
  </w:footnote>
  <w:footnote w:id="53">
    <w:p w:rsidR="00812649" w:rsidRPr="00CE7329" w:rsidRDefault="00812649">
      <w:pPr>
        <w:pStyle w:val="Tekstprzypisudolnego"/>
      </w:pPr>
      <w:r>
        <w:rPr>
          <w:rStyle w:val="Odwoanieprzypisudolnego"/>
        </w:rPr>
        <w:footnoteRef/>
      </w:r>
      <w:r>
        <w:t xml:space="preserve"> </w:t>
      </w:r>
      <w:r w:rsidRPr="00CE7329">
        <w:t>dane z roku 2013</w:t>
      </w:r>
    </w:p>
  </w:footnote>
  <w:footnote w:id="54">
    <w:p w:rsidR="00812649" w:rsidRDefault="00812649" w:rsidP="005270A2">
      <w:pPr>
        <w:pStyle w:val="Tekstprzypisudolnego"/>
        <w:ind w:left="142" w:hanging="142"/>
        <w:jc w:val="both"/>
      </w:pPr>
      <w:r w:rsidRPr="00282494">
        <w:rPr>
          <w:sz w:val="16"/>
          <w:szCs w:val="16"/>
        </w:rPr>
        <w:footnoteRef/>
      </w:r>
      <w:r>
        <w:t xml:space="preserve"> Dy</w:t>
      </w:r>
      <w:r w:rsidRPr="009D74D0">
        <w:t>rektyw</w:t>
      </w:r>
      <w:r>
        <w:t>a</w:t>
      </w:r>
      <w:r w:rsidRPr="009D74D0">
        <w:t xml:space="preserve"> Rady 92/43/EWG z dnia 21 maja 1992 r. w sprawie ochrony siedlisk przyrodniczych oraz dzikiej fauny i flory</w:t>
      </w:r>
      <w:r>
        <w:t xml:space="preserve"> [Dz.U. L 206 z 22.07.1992, str. 7].</w:t>
      </w:r>
    </w:p>
  </w:footnote>
  <w:footnote w:id="55">
    <w:p w:rsidR="00812649" w:rsidRDefault="00812649" w:rsidP="005270A2">
      <w:pPr>
        <w:pStyle w:val="Tekstprzypisudolnego"/>
      </w:pPr>
      <w:r>
        <w:rPr>
          <w:rStyle w:val="Odwoanieprzypisudolnego"/>
        </w:rPr>
        <w:footnoteRef/>
      </w:r>
      <w:r>
        <w:t xml:space="preserve"> Dla Wspólnoty Europejskiej poprzez ich oznaczenie na listach w załącznikach Dyrektywie siedliskowej.</w:t>
      </w:r>
    </w:p>
  </w:footnote>
  <w:footnote w:id="56">
    <w:p w:rsidR="00812649" w:rsidRDefault="00812649" w:rsidP="005270A2">
      <w:pPr>
        <w:pStyle w:val="Tekstprzypisudolnego"/>
      </w:pPr>
      <w:r>
        <w:rPr>
          <w:rStyle w:val="Odwoanieprzypisudolnego"/>
        </w:rPr>
        <w:footnoteRef/>
      </w:r>
      <w:r>
        <w:t xml:space="preserve"> Kolejny raport, z lat 2013–2018 zostanie przygotowany w 2019 r. po zakończeniu kolejnego cyklu monitoringu</w:t>
      </w:r>
    </w:p>
  </w:footnote>
  <w:footnote w:id="57">
    <w:p w:rsidR="00812649" w:rsidRDefault="00812649" w:rsidP="005270A2">
      <w:pPr>
        <w:pStyle w:val="Tekstprzypisudolnego"/>
      </w:pPr>
      <w:r>
        <w:rPr>
          <w:rStyle w:val="Odwoanieprzypisudolnego"/>
        </w:rPr>
        <w:footnoteRef/>
      </w:r>
      <w:r>
        <w:t xml:space="preserve"> Powierzchnia lądowa Polski: 312 480 km</w:t>
      </w:r>
      <w:r w:rsidRPr="00C209DE">
        <w:rPr>
          <w:vertAlign w:val="superscript"/>
        </w:rPr>
        <w:t>2</w:t>
      </w:r>
      <w:r w:rsidRPr="00F42A36">
        <w:t>.</w:t>
      </w:r>
    </w:p>
  </w:footnote>
  <w:footnote w:id="58">
    <w:p w:rsidR="00812649" w:rsidRPr="004E65E5" w:rsidRDefault="00812649" w:rsidP="004E65E5">
      <w:pPr>
        <w:spacing w:after="0" w:line="240" w:lineRule="auto"/>
        <w:rPr>
          <w:rFonts w:cs="Times New Roman"/>
          <w:sz w:val="20"/>
          <w:szCs w:val="20"/>
        </w:rPr>
      </w:pPr>
      <w:r>
        <w:rPr>
          <w:rStyle w:val="Odwoanieprzypisudolnego"/>
        </w:rPr>
        <w:footnoteRef/>
      </w:r>
      <w:r>
        <w:t xml:space="preserve"> </w:t>
      </w:r>
      <w:r w:rsidRPr="004E65E5">
        <w:rPr>
          <w:rFonts w:cs="Times New Roman"/>
          <w:sz w:val="20"/>
          <w:szCs w:val="20"/>
        </w:rPr>
        <w:t xml:space="preserve">Komisja Faunistyczna. 2013. </w:t>
      </w:r>
      <w:r w:rsidRPr="004E65E5">
        <w:rPr>
          <w:rFonts w:cs="Times New Roman"/>
          <w:i/>
          <w:sz w:val="20"/>
          <w:szCs w:val="20"/>
        </w:rPr>
        <w:t>Gatunki ptaków stwierdzone w Polsce – stan z 30.06.2013 r.</w:t>
      </w:r>
      <w:r w:rsidRPr="004E65E5">
        <w:rPr>
          <w:rFonts w:cs="Times New Roman"/>
          <w:sz w:val="20"/>
          <w:szCs w:val="20"/>
        </w:rPr>
        <w:t xml:space="preserve"> [dostęp 15 listopada 2013]. Dostępny w internecie: </w:t>
      </w:r>
      <w:hyperlink r:id="rId6" w:history="1">
        <w:r w:rsidRPr="004E65E5">
          <w:rPr>
            <w:rStyle w:val="Hipercze"/>
            <w:rFonts w:cs="Times New Roman"/>
            <w:sz w:val="20"/>
            <w:szCs w:val="20"/>
          </w:rPr>
          <w:t>http://www.komisjafaunistyczna.pl/kf-pl/kfw_p3_lista.html</w:t>
        </w:r>
      </w:hyperlink>
      <w:r w:rsidRPr="004E65E5">
        <w:rPr>
          <w:rStyle w:val="Hipercze"/>
          <w:rFonts w:cs="Times New Roman"/>
          <w:sz w:val="20"/>
          <w:szCs w:val="20"/>
        </w:rPr>
        <w:t xml:space="preserve">; </w:t>
      </w:r>
    </w:p>
    <w:p w:rsidR="00812649" w:rsidRPr="004E65E5" w:rsidRDefault="00812649">
      <w:pPr>
        <w:pStyle w:val="Tekstprzypisudolnego"/>
        <w:rPr>
          <w:lang w:val="pl-PL"/>
        </w:rPr>
      </w:pPr>
    </w:p>
  </w:footnote>
  <w:footnote w:id="59">
    <w:p w:rsidR="00812649" w:rsidRPr="00023183" w:rsidRDefault="00812649" w:rsidP="005270A2">
      <w:pPr>
        <w:pStyle w:val="Tekstprzypisudolnego"/>
        <w:jc w:val="both"/>
        <w:rPr>
          <w:rFonts w:asciiTheme="minorHAnsi" w:hAnsiTheme="minorHAnsi"/>
        </w:rPr>
      </w:pPr>
      <w:r w:rsidRPr="00023183">
        <w:rPr>
          <w:rStyle w:val="Odwoanieprzypisudolnego"/>
        </w:rPr>
        <w:footnoteRef/>
      </w:r>
      <w:r w:rsidRPr="0074465C">
        <w:rPr>
          <w:sz w:val="16"/>
          <w:szCs w:val="16"/>
        </w:rPr>
        <w:t xml:space="preserve"> </w:t>
      </w:r>
      <w:r w:rsidRPr="00023183">
        <w:rPr>
          <w:rFonts w:asciiTheme="minorHAnsi" w:hAnsiTheme="minorHAnsi"/>
        </w:rPr>
        <w:t xml:space="preserve">Wskaźnik pospolitych ptaków krajobrazu rolniczego (ang. </w:t>
      </w:r>
      <w:r w:rsidRPr="00023183">
        <w:rPr>
          <w:rFonts w:asciiTheme="minorHAnsi" w:hAnsiTheme="minorHAnsi"/>
          <w:i/>
        </w:rPr>
        <w:t xml:space="preserve">Farmland Bird Index – </w:t>
      </w:r>
      <w:r w:rsidRPr="00023183">
        <w:rPr>
          <w:rFonts w:asciiTheme="minorHAnsi" w:hAnsiTheme="minorHAnsi"/>
        </w:rPr>
        <w:t xml:space="preserve">FBI 22) obejmuje w naszym kraju takie gatunki jak: bocian biały </w:t>
      </w:r>
      <w:r w:rsidRPr="00023183">
        <w:rPr>
          <w:rFonts w:asciiTheme="minorHAnsi" w:hAnsiTheme="minorHAnsi"/>
          <w:i/>
        </w:rPr>
        <w:t>Ciconia ciconia</w:t>
      </w:r>
      <w:r w:rsidRPr="00023183">
        <w:rPr>
          <w:rFonts w:asciiTheme="minorHAnsi" w:hAnsiTheme="minorHAnsi"/>
        </w:rPr>
        <w:t xml:space="preserve">, pustułka </w:t>
      </w:r>
      <w:r w:rsidRPr="00023183">
        <w:rPr>
          <w:rFonts w:asciiTheme="minorHAnsi" w:hAnsiTheme="minorHAnsi"/>
          <w:i/>
        </w:rPr>
        <w:t>Falco tinnunculus</w:t>
      </w:r>
      <w:r w:rsidRPr="00023183">
        <w:rPr>
          <w:rFonts w:asciiTheme="minorHAnsi" w:hAnsiTheme="minorHAnsi"/>
        </w:rPr>
        <w:t xml:space="preserve">, Czajka </w:t>
      </w:r>
      <w:r w:rsidRPr="00023183">
        <w:rPr>
          <w:rFonts w:asciiTheme="minorHAnsi" w:hAnsiTheme="minorHAnsi"/>
          <w:i/>
        </w:rPr>
        <w:t>Vanellus vanellus</w:t>
      </w:r>
      <w:r w:rsidRPr="00023183">
        <w:rPr>
          <w:rFonts w:asciiTheme="minorHAnsi" w:hAnsiTheme="minorHAnsi"/>
        </w:rPr>
        <w:t xml:space="preserve">, rycyk </w:t>
      </w:r>
      <w:r w:rsidRPr="00023183">
        <w:rPr>
          <w:rFonts w:asciiTheme="minorHAnsi" w:hAnsiTheme="minorHAnsi"/>
          <w:i/>
        </w:rPr>
        <w:t>Limosa limosa</w:t>
      </w:r>
      <w:r w:rsidRPr="00023183">
        <w:rPr>
          <w:rFonts w:asciiTheme="minorHAnsi" w:hAnsiTheme="minorHAnsi"/>
        </w:rPr>
        <w:t xml:space="preserve">, dudek </w:t>
      </w:r>
      <w:r w:rsidRPr="00023183">
        <w:rPr>
          <w:rFonts w:asciiTheme="minorHAnsi" w:hAnsiTheme="minorHAnsi"/>
          <w:i/>
        </w:rPr>
        <w:t>Upupa epops</w:t>
      </w:r>
      <w:r w:rsidRPr="00023183">
        <w:rPr>
          <w:rFonts w:asciiTheme="minorHAnsi" w:hAnsiTheme="minorHAnsi"/>
        </w:rPr>
        <w:t xml:space="preserve">, turkawka </w:t>
      </w:r>
      <w:r w:rsidRPr="00023183">
        <w:rPr>
          <w:rFonts w:asciiTheme="minorHAnsi" w:hAnsiTheme="minorHAnsi"/>
          <w:i/>
        </w:rPr>
        <w:t>Streptopelia turtur</w:t>
      </w:r>
      <w:r w:rsidRPr="00023183">
        <w:rPr>
          <w:rFonts w:asciiTheme="minorHAnsi" w:hAnsiTheme="minorHAnsi"/>
        </w:rPr>
        <w:t xml:space="preserve">, dzierlatka </w:t>
      </w:r>
      <w:r w:rsidRPr="00023183">
        <w:rPr>
          <w:rFonts w:asciiTheme="minorHAnsi" w:hAnsiTheme="minorHAnsi"/>
          <w:i/>
        </w:rPr>
        <w:t>Galerida cristata</w:t>
      </w:r>
      <w:r w:rsidRPr="00023183">
        <w:rPr>
          <w:rFonts w:asciiTheme="minorHAnsi" w:hAnsiTheme="minorHAnsi"/>
        </w:rPr>
        <w:t xml:space="preserve">, skowronek </w:t>
      </w:r>
      <w:r w:rsidRPr="00023183">
        <w:rPr>
          <w:rFonts w:asciiTheme="minorHAnsi" w:hAnsiTheme="minorHAnsi"/>
          <w:i/>
        </w:rPr>
        <w:t>Alauda arvensis</w:t>
      </w:r>
      <w:r w:rsidRPr="00023183">
        <w:rPr>
          <w:rFonts w:asciiTheme="minorHAnsi" w:hAnsiTheme="minorHAnsi"/>
        </w:rPr>
        <w:t xml:space="preserve">, dymówka </w:t>
      </w:r>
      <w:r w:rsidRPr="00023183">
        <w:rPr>
          <w:rFonts w:asciiTheme="minorHAnsi" w:hAnsiTheme="minorHAnsi"/>
          <w:i/>
        </w:rPr>
        <w:t>Hirundo rustica</w:t>
      </w:r>
      <w:r w:rsidRPr="00023183">
        <w:rPr>
          <w:rFonts w:asciiTheme="minorHAnsi" w:hAnsiTheme="minorHAnsi"/>
        </w:rPr>
        <w:t xml:space="preserve">, pliszka żółta </w:t>
      </w:r>
      <w:r w:rsidRPr="00023183">
        <w:rPr>
          <w:rFonts w:asciiTheme="minorHAnsi" w:hAnsiTheme="minorHAnsi"/>
          <w:i/>
        </w:rPr>
        <w:t>Motacilla flava</w:t>
      </w:r>
      <w:r w:rsidRPr="00023183">
        <w:rPr>
          <w:rFonts w:asciiTheme="minorHAnsi" w:hAnsiTheme="minorHAnsi"/>
        </w:rPr>
        <w:t xml:space="preserve">, świergotek łąkowy </w:t>
      </w:r>
      <w:r w:rsidRPr="00023183">
        <w:rPr>
          <w:rFonts w:asciiTheme="minorHAnsi" w:hAnsiTheme="minorHAnsi"/>
          <w:i/>
        </w:rPr>
        <w:t>Anthus pratensis</w:t>
      </w:r>
      <w:r w:rsidRPr="00023183">
        <w:rPr>
          <w:rFonts w:asciiTheme="minorHAnsi" w:hAnsiTheme="minorHAnsi"/>
        </w:rPr>
        <w:t xml:space="preserve">, pokląskwa </w:t>
      </w:r>
      <w:r w:rsidRPr="00023183">
        <w:rPr>
          <w:rFonts w:asciiTheme="minorHAnsi" w:hAnsiTheme="minorHAnsi"/>
          <w:i/>
        </w:rPr>
        <w:t>Saxicola rubetra</w:t>
      </w:r>
      <w:r w:rsidRPr="00023183">
        <w:rPr>
          <w:rFonts w:asciiTheme="minorHAnsi" w:hAnsiTheme="minorHAnsi"/>
        </w:rPr>
        <w:t xml:space="preserve">, kląskawka </w:t>
      </w:r>
      <w:r w:rsidRPr="00023183">
        <w:rPr>
          <w:rFonts w:asciiTheme="minorHAnsi" w:hAnsiTheme="minorHAnsi"/>
          <w:i/>
        </w:rPr>
        <w:t>Saxicola rubicola</w:t>
      </w:r>
      <w:r w:rsidRPr="00023183">
        <w:rPr>
          <w:rFonts w:asciiTheme="minorHAnsi" w:hAnsiTheme="minorHAnsi"/>
        </w:rPr>
        <w:t xml:space="preserve">, cierniówka </w:t>
      </w:r>
      <w:r w:rsidRPr="00023183">
        <w:rPr>
          <w:rFonts w:asciiTheme="minorHAnsi" w:hAnsiTheme="minorHAnsi"/>
          <w:i/>
        </w:rPr>
        <w:t>Sylvia communis</w:t>
      </w:r>
      <w:r w:rsidRPr="00023183">
        <w:rPr>
          <w:rFonts w:asciiTheme="minorHAnsi" w:hAnsiTheme="minorHAnsi"/>
        </w:rPr>
        <w:t xml:space="preserve">, gąsiorek </w:t>
      </w:r>
      <w:r w:rsidRPr="00023183">
        <w:rPr>
          <w:rFonts w:asciiTheme="minorHAnsi" w:hAnsiTheme="minorHAnsi"/>
          <w:i/>
        </w:rPr>
        <w:t>Lanius collurio</w:t>
      </w:r>
      <w:r w:rsidRPr="00023183">
        <w:rPr>
          <w:rFonts w:asciiTheme="minorHAnsi" w:hAnsiTheme="minorHAnsi"/>
        </w:rPr>
        <w:t xml:space="preserve">, szpak </w:t>
      </w:r>
      <w:r w:rsidRPr="00023183">
        <w:rPr>
          <w:rFonts w:asciiTheme="minorHAnsi" w:hAnsiTheme="minorHAnsi"/>
          <w:i/>
        </w:rPr>
        <w:t>Sturnus vulgaris</w:t>
      </w:r>
      <w:r w:rsidRPr="00023183">
        <w:rPr>
          <w:rFonts w:asciiTheme="minorHAnsi" w:hAnsiTheme="minorHAnsi"/>
        </w:rPr>
        <w:t xml:space="preserve">, mazurek </w:t>
      </w:r>
      <w:r w:rsidRPr="00023183">
        <w:rPr>
          <w:rFonts w:asciiTheme="minorHAnsi" w:hAnsiTheme="minorHAnsi"/>
          <w:i/>
        </w:rPr>
        <w:t>Passer montanus</w:t>
      </w:r>
      <w:r w:rsidRPr="00023183">
        <w:rPr>
          <w:rFonts w:asciiTheme="minorHAnsi" w:hAnsiTheme="minorHAnsi"/>
        </w:rPr>
        <w:t xml:space="preserve">, makolągwa </w:t>
      </w:r>
      <w:r w:rsidRPr="00023183">
        <w:rPr>
          <w:rFonts w:asciiTheme="minorHAnsi" w:hAnsiTheme="minorHAnsi"/>
          <w:i/>
        </w:rPr>
        <w:t>Carduelis cannabina</w:t>
      </w:r>
      <w:r w:rsidRPr="00023183">
        <w:rPr>
          <w:rFonts w:asciiTheme="minorHAnsi" w:hAnsiTheme="minorHAnsi"/>
        </w:rPr>
        <w:t xml:space="preserve">, kulczyk </w:t>
      </w:r>
      <w:r w:rsidRPr="00023183">
        <w:rPr>
          <w:rFonts w:asciiTheme="minorHAnsi" w:hAnsiTheme="minorHAnsi"/>
          <w:i/>
        </w:rPr>
        <w:t>Serinus serinus</w:t>
      </w:r>
      <w:r w:rsidRPr="00023183">
        <w:rPr>
          <w:rFonts w:asciiTheme="minorHAnsi" w:hAnsiTheme="minorHAnsi"/>
        </w:rPr>
        <w:t xml:space="preserve">, trznadel </w:t>
      </w:r>
      <w:r w:rsidRPr="00023183">
        <w:rPr>
          <w:rFonts w:asciiTheme="minorHAnsi" w:hAnsiTheme="minorHAnsi"/>
          <w:i/>
        </w:rPr>
        <w:t>Emberiza citrinella</w:t>
      </w:r>
      <w:r w:rsidRPr="00023183">
        <w:rPr>
          <w:rFonts w:asciiTheme="minorHAnsi" w:hAnsiTheme="minorHAnsi"/>
        </w:rPr>
        <w:t xml:space="preserve">, ortolan </w:t>
      </w:r>
      <w:r w:rsidRPr="00023183">
        <w:rPr>
          <w:rFonts w:asciiTheme="minorHAnsi" w:hAnsiTheme="minorHAnsi"/>
          <w:i/>
        </w:rPr>
        <w:t>Emberiza hortulana</w:t>
      </w:r>
      <w:r w:rsidRPr="00023183">
        <w:rPr>
          <w:rFonts w:asciiTheme="minorHAnsi" w:hAnsiTheme="minorHAnsi"/>
        </w:rPr>
        <w:t xml:space="preserve">, potrzeszcz </w:t>
      </w:r>
      <w:r w:rsidRPr="00023183">
        <w:rPr>
          <w:rFonts w:asciiTheme="minorHAnsi" w:hAnsiTheme="minorHAnsi"/>
          <w:i/>
        </w:rPr>
        <w:t>Miliaria calandra</w:t>
      </w:r>
      <w:r w:rsidRPr="00023183">
        <w:rPr>
          <w:rFonts w:asciiTheme="minorHAnsi" w:hAnsiTheme="minorHAnsi"/>
          <w:vertAlign w:val="superscript"/>
        </w:rPr>
        <w:t>[3.1.39][3.1.42][3.1.5][3.1.3]</w:t>
      </w:r>
      <w:r w:rsidRPr="00023183">
        <w:rPr>
          <w:rFonts w:asciiTheme="minorHAnsi" w:hAnsiTheme="minorHAnsi"/>
        </w:rPr>
        <w:t>.</w:t>
      </w:r>
    </w:p>
  </w:footnote>
  <w:footnote w:id="60">
    <w:p w:rsidR="00812649" w:rsidRPr="00023183" w:rsidRDefault="00812649" w:rsidP="00023183">
      <w:pPr>
        <w:pStyle w:val="Tekstprzypisudolnego"/>
        <w:ind w:left="142" w:hanging="142"/>
        <w:jc w:val="both"/>
        <w:rPr>
          <w:rFonts w:asciiTheme="minorHAnsi" w:hAnsiTheme="minorHAnsi"/>
        </w:rPr>
      </w:pPr>
      <w:r w:rsidRPr="00023183">
        <w:rPr>
          <w:rStyle w:val="Odwoanieprzypisudolnego"/>
          <w:rFonts w:asciiTheme="minorHAnsi" w:hAnsiTheme="minorHAnsi"/>
        </w:rPr>
        <w:footnoteRef/>
      </w:r>
      <w:r w:rsidRPr="00023183">
        <w:rPr>
          <w:rFonts w:asciiTheme="minorHAnsi" w:hAnsiTheme="minorHAnsi"/>
        </w:rPr>
        <w:t xml:space="preserve">Gatunki należące do </w:t>
      </w:r>
      <w:r w:rsidRPr="00023183">
        <w:rPr>
          <w:rFonts w:asciiTheme="minorHAnsi" w:hAnsiTheme="minorHAnsi"/>
          <w:i/>
        </w:rPr>
        <w:t>Forest Bird Index</w:t>
      </w:r>
      <w:r w:rsidRPr="00023183">
        <w:rPr>
          <w:rFonts w:asciiTheme="minorHAnsi" w:hAnsiTheme="minorHAnsi"/>
        </w:rPr>
        <w:t xml:space="preserve"> – bogatka </w:t>
      </w:r>
      <w:r w:rsidRPr="00023183">
        <w:rPr>
          <w:rFonts w:asciiTheme="minorHAnsi" w:hAnsiTheme="minorHAnsi"/>
          <w:i/>
        </w:rPr>
        <w:t>Parus major</w:t>
      </w:r>
      <w:r w:rsidRPr="00023183">
        <w:rPr>
          <w:rFonts w:asciiTheme="minorHAnsi" w:hAnsiTheme="minorHAnsi"/>
        </w:rPr>
        <w:t xml:space="preserve">, czarnogłówka </w:t>
      </w:r>
      <w:r w:rsidRPr="00023183">
        <w:rPr>
          <w:rFonts w:asciiTheme="minorHAnsi" w:hAnsiTheme="minorHAnsi"/>
          <w:i/>
        </w:rPr>
        <w:t>Poecile montanus</w:t>
      </w:r>
      <w:r w:rsidRPr="00023183">
        <w:rPr>
          <w:rFonts w:asciiTheme="minorHAnsi" w:hAnsiTheme="minorHAnsi"/>
        </w:rPr>
        <w:t xml:space="preserve">, czubatka </w:t>
      </w:r>
      <w:r w:rsidRPr="00023183">
        <w:rPr>
          <w:rFonts w:asciiTheme="minorHAnsi" w:hAnsiTheme="minorHAnsi"/>
          <w:i/>
        </w:rPr>
        <w:t>Lophophanes cristatus</w:t>
      </w:r>
      <w:r w:rsidRPr="00023183">
        <w:rPr>
          <w:rFonts w:asciiTheme="minorHAnsi" w:hAnsiTheme="minorHAnsi"/>
        </w:rPr>
        <w:t xml:space="preserve">, czyż </w:t>
      </w:r>
      <w:r w:rsidRPr="00023183">
        <w:rPr>
          <w:rFonts w:asciiTheme="minorHAnsi" w:hAnsiTheme="minorHAnsi"/>
          <w:i/>
        </w:rPr>
        <w:t>Carduelis spinus</w:t>
      </w:r>
      <w:r w:rsidRPr="00023183">
        <w:rPr>
          <w:rFonts w:asciiTheme="minorHAnsi" w:hAnsiTheme="minorHAnsi"/>
        </w:rPr>
        <w:t xml:space="preserve">, dzięcioł duży </w:t>
      </w:r>
      <w:r w:rsidRPr="00023183">
        <w:rPr>
          <w:rFonts w:asciiTheme="minorHAnsi" w:hAnsiTheme="minorHAnsi"/>
          <w:i/>
        </w:rPr>
        <w:t>Dendrocopos major</w:t>
      </w:r>
      <w:r w:rsidRPr="00023183">
        <w:rPr>
          <w:rFonts w:asciiTheme="minorHAnsi" w:hAnsiTheme="minorHAnsi"/>
        </w:rPr>
        <w:t xml:space="preserve">, dzięcioł czarny </w:t>
      </w:r>
      <w:r w:rsidRPr="00023183">
        <w:rPr>
          <w:rFonts w:asciiTheme="minorHAnsi" w:hAnsiTheme="minorHAnsi"/>
          <w:i/>
        </w:rPr>
        <w:t>Dryocopus martius</w:t>
      </w:r>
      <w:r w:rsidRPr="00023183">
        <w:rPr>
          <w:rFonts w:asciiTheme="minorHAnsi" w:hAnsiTheme="minorHAnsi"/>
        </w:rPr>
        <w:t xml:space="preserve">, gil </w:t>
      </w:r>
      <w:r w:rsidRPr="00023183">
        <w:rPr>
          <w:rFonts w:asciiTheme="minorHAnsi" w:hAnsiTheme="minorHAnsi"/>
          <w:i/>
        </w:rPr>
        <w:t>Pyrrhula pyrrhula</w:t>
      </w:r>
      <w:r w:rsidRPr="00023183">
        <w:rPr>
          <w:rFonts w:asciiTheme="minorHAnsi" w:hAnsiTheme="minorHAnsi"/>
        </w:rPr>
        <w:t xml:space="preserve">, grubodziób </w:t>
      </w:r>
      <w:r w:rsidRPr="00023183">
        <w:rPr>
          <w:rFonts w:asciiTheme="minorHAnsi" w:hAnsiTheme="minorHAnsi"/>
          <w:i/>
        </w:rPr>
        <w:t>Coccothraustes coccothraustes</w:t>
      </w:r>
      <w:r w:rsidRPr="00023183">
        <w:rPr>
          <w:rFonts w:asciiTheme="minorHAnsi" w:hAnsiTheme="minorHAnsi"/>
        </w:rPr>
        <w:t xml:space="preserve">, kapturka </w:t>
      </w:r>
      <w:r w:rsidRPr="00023183">
        <w:rPr>
          <w:rFonts w:asciiTheme="minorHAnsi" w:hAnsiTheme="minorHAnsi"/>
          <w:i/>
        </w:rPr>
        <w:t>Sylvia atricapilla</w:t>
      </w:r>
      <w:r w:rsidRPr="00023183">
        <w:rPr>
          <w:rFonts w:asciiTheme="minorHAnsi" w:hAnsiTheme="minorHAnsi"/>
        </w:rPr>
        <w:t xml:space="preserve">, kos </w:t>
      </w:r>
      <w:r w:rsidRPr="00023183">
        <w:rPr>
          <w:rFonts w:asciiTheme="minorHAnsi" w:hAnsiTheme="minorHAnsi"/>
          <w:i/>
        </w:rPr>
        <w:t>Turdus merula</w:t>
      </w:r>
      <w:r w:rsidRPr="00023183">
        <w:rPr>
          <w:rFonts w:asciiTheme="minorHAnsi" w:hAnsiTheme="minorHAnsi"/>
        </w:rPr>
        <w:t xml:space="preserve">, kowalik </w:t>
      </w:r>
      <w:r w:rsidRPr="00023183">
        <w:rPr>
          <w:rFonts w:asciiTheme="minorHAnsi" w:hAnsiTheme="minorHAnsi"/>
          <w:i/>
        </w:rPr>
        <w:t>Sitta europaea</w:t>
      </w:r>
      <w:r w:rsidRPr="00023183">
        <w:rPr>
          <w:rFonts w:asciiTheme="minorHAnsi" w:hAnsiTheme="minorHAnsi"/>
        </w:rPr>
        <w:t xml:space="preserve">, lerka </w:t>
      </w:r>
      <w:r w:rsidRPr="00023183">
        <w:rPr>
          <w:rFonts w:asciiTheme="minorHAnsi" w:hAnsiTheme="minorHAnsi"/>
          <w:i/>
        </w:rPr>
        <w:t>Lullula arborea</w:t>
      </w:r>
      <w:r w:rsidRPr="00023183">
        <w:rPr>
          <w:rFonts w:asciiTheme="minorHAnsi" w:hAnsiTheme="minorHAnsi"/>
        </w:rPr>
        <w:t xml:space="preserve">, muchołówka żałobna </w:t>
      </w:r>
      <w:r w:rsidRPr="00023183">
        <w:rPr>
          <w:rFonts w:asciiTheme="minorHAnsi" w:hAnsiTheme="minorHAnsi"/>
          <w:i/>
        </w:rPr>
        <w:t>Ficedula hypoleuca</w:t>
      </w:r>
      <w:r w:rsidRPr="00023183">
        <w:rPr>
          <w:rFonts w:asciiTheme="minorHAnsi" w:hAnsiTheme="minorHAnsi"/>
        </w:rPr>
        <w:t xml:space="preserve">, muchołówka mała </w:t>
      </w:r>
      <w:r w:rsidRPr="00023183">
        <w:rPr>
          <w:rFonts w:asciiTheme="minorHAnsi" w:hAnsiTheme="minorHAnsi"/>
          <w:i/>
        </w:rPr>
        <w:t>Ficedula parva</w:t>
      </w:r>
      <w:r w:rsidRPr="00023183">
        <w:rPr>
          <w:rFonts w:asciiTheme="minorHAnsi" w:hAnsiTheme="minorHAnsi"/>
        </w:rPr>
        <w:t xml:space="preserve">, mysikrólik </w:t>
      </w:r>
      <w:r w:rsidRPr="00023183">
        <w:rPr>
          <w:rFonts w:asciiTheme="minorHAnsi" w:hAnsiTheme="minorHAnsi"/>
          <w:i/>
        </w:rPr>
        <w:t>Regulus regulus</w:t>
      </w:r>
      <w:r w:rsidRPr="00023183">
        <w:rPr>
          <w:rFonts w:asciiTheme="minorHAnsi" w:hAnsiTheme="minorHAnsi"/>
        </w:rPr>
        <w:t xml:space="preserve">, pełzacz ogrodowy </w:t>
      </w:r>
      <w:r w:rsidRPr="00023183">
        <w:rPr>
          <w:rFonts w:asciiTheme="minorHAnsi" w:hAnsiTheme="minorHAnsi"/>
          <w:i/>
        </w:rPr>
        <w:t>Certhia brachydactyla</w:t>
      </w:r>
      <w:r w:rsidRPr="00023183">
        <w:rPr>
          <w:rFonts w:asciiTheme="minorHAnsi" w:hAnsiTheme="minorHAnsi"/>
        </w:rPr>
        <w:t xml:space="preserve">, pełzacz leśny </w:t>
      </w:r>
      <w:r w:rsidRPr="00023183">
        <w:rPr>
          <w:rFonts w:asciiTheme="minorHAnsi" w:hAnsiTheme="minorHAnsi"/>
          <w:i/>
        </w:rPr>
        <w:t>Certhia familiaris</w:t>
      </w:r>
      <w:r w:rsidRPr="00023183">
        <w:rPr>
          <w:rFonts w:asciiTheme="minorHAnsi" w:hAnsiTheme="minorHAnsi"/>
        </w:rPr>
        <w:t xml:space="preserve">, pierwiosnek </w:t>
      </w:r>
      <w:r w:rsidRPr="00023183">
        <w:rPr>
          <w:rFonts w:asciiTheme="minorHAnsi" w:hAnsiTheme="minorHAnsi"/>
          <w:i/>
        </w:rPr>
        <w:t>Phylloscopus collybita</w:t>
      </w:r>
      <w:r w:rsidRPr="00023183">
        <w:rPr>
          <w:rFonts w:asciiTheme="minorHAnsi" w:hAnsiTheme="minorHAnsi"/>
        </w:rPr>
        <w:t xml:space="preserve">, piecuszek </w:t>
      </w:r>
      <w:r w:rsidRPr="00023183">
        <w:rPr>
          <w:rFonts w:asciiTheme="minorHAnsi" w:hAnsiTheme="minorHAnsi"/>
          <w:i/>
        </w:rPr>
        <w:t>Phylloscopus trochilus</w:t>
      </w:r>
      <w:r w:rsidRPr="00023183">
        <w:rPr>
          <w:rFonts w:asciiTheme="minorHAnsi" w:hAnsiTheme="minorHAnsi"/>
        </w:rPr>
        <w:t xml:space="preserve">, paszkot </w:t>
      </w:r>
      <w:r w:rsidRPr="00023183">
        <w:rPr>
          <w:rFonts w:asciiTheme="minorHAnsi" w:hAnsiTheme="minorHAnsi"/>
          <w:i/>
        </w:rPr>
        <w:t>Turdus viscivorus</w:t>
      </w:r>
      <w:r w:rsidRPr="00023183">
        <w:rPr>
          <w:rFonts w:asciiTheme="minorHAnsi" w:hAnsiTheme="minorHAnsi"/>
        </w:rPr>
        <w:t xml:space="preserve">, pleszka </w:t>
      </w:r>
      <w:r w:rsidRPr="00023183">
        <w:rPr>
          <w:rFonts w:asciiTheme="minorHAnsi" w:hAnsiTheme="minorHAnsi"/>
          <w:i/>
        </w:rPr>
        <w:t>Phoenicurus phoenicurus</w:t>
      </w:r>
      <w:r w:rsidRPr="00023183">
        <w:rPr>
          <w:rFonts w:asciiTheme="minorHAnsi" w:hAnsiTheme="minorHAnsi"/>
        </w:rPr>
        <w:t xml:space="preserve">, pokrzywnica </w:t>
      </w:r>
      <w:r w:rsidRPr="00023183">
        <w:rPr>
          <w:rFonts w:asciiTheme="minorHAnsi" w:hAnsiTheme="minorHAnsi"/>
          <w:i/>
        </w:rPr>
        <w:t>Prunella modularis</w:t>
      </w:r>
      <w:r w:rsidRPr="00023183">
        <w:rPr>
          <w:rFonts w:asciiTheme="minorHAnsi" w:hAnsiTheme="minorHAnsi"/>
        </w:rPr>
        <w:t xml:space="preserve">, raniuszek </w:t>
      </w:r>
      <w:r w:rsidRPr="00023183">
        <w:rPr>
          <w:rFonts w:asciiTheme="minorHAnsi" w:hAnsiTheme="minorHAnsi"/>
          <w:i/>
        </w:rPr>
        <w:t>Aegithalos caudatus</w:t>
      </w:r>
      <w:r w:rsidRPr="00023183">
        <w:rPr>
          <w:rFonts w:asciiTheme="minorHAnsi" w:hAnsiTheme="minorHAnsi"/>
        </w:rPr>
        <w:t xml:space="preserve">, rudzik </w:t>
      </w:r>
      <w:r w:rsidRPr="00023183">
        <w:rPr>
          <w:rFonts w:asciiTheme="minorHAnsi" w:hAnsiTheme="minorHAnsi"/>
          <w:i/>
        </w:rPr>
        <w:t>Erithacus rubecula</w:t>
      </w:r>
      <w:r w:rsidRPr="00023183">
        <w:rPr>
          <w:rFonts w:asciiTheme="minorHAnsi" w:hAnsiTheme="minorHAnsi"/>
        </w:rPr>
        <w:t xml:space="preserve">, sikora uboga </w:t>
      </w:r>
      <w:r w:rsidRPr="00023183">
        <w:rPr>
          <w:rFonts w:asciiTheme="minorHAnsi" w:hAnsiTheme="minorHAnsi"/>
          <w:i/>
        </w:rPr>
        <w:t>Poecile palustris</w:t>
      </w:r>
      <w:r w:rsidRPr="00023183">
        <w:rPr>
          <w:rFonts w:asciiTheme="minorHAnsi" w:hAnsiTheme="minorHAnsi"/>
        </w:rPr>
        <w:t xml:space="preserve">, siniak </w:t>
      </w:r>
      <w:r w:rsidRPr="00023183">
        <w:rPr>
          <w:rFonts w:asciiTheme="minorHAnsi" w:hAnsiTheme="minorHAnsi"/>
          <w:i/>
        </w:rPr>
        <w:t>Columba oenas</w:t>
      </w:r>
      <w:r w:rsidRPr="00023183">
        <w:rPr>
          <w:rFonts w:asciiTheme="minorHAnsi" w:hAnsiTheme="minorHAnsi"/>
        </w:rPr>
        <w:t xml:space="preserve">, sosnówka </w:t>
      </w:r>
      <w:r w:rsidRPr="00023183">
        <w:rPr>
          <w:rFonts w:asciiTheme="minorHAnsi" w:hAnsiTheme="minorHAnsi"/>
          <w:i/>
        </w:rPr>
        <w:t>Periparus ater</w:t>
      </w:r>
      <w:r w:rsidRPr="00023183">
        <w:rPr>
          <w:rFonts w:asciiTheme="minorHAnsi" w:hAnsiTheme="minorHAnsi"/>
        </w:rPr>
        <w:t xml:space="preserve">, sójka </w:t>
      </w:r>
      <w:r w:rsidRPr="00023183">
        <w:rPr>
          <w:rFonts w:asciiTheme="minorHAnsi" w:hAnsiTheme="minorHAnsi"/>
          <w:i/>
        </w:rPr>
        <w:t>Garrulus glandarius</w:t>
      </w:r>
      <w:r w:rsidRPr="00023183">
        <w:rPr>
          <w:rFonts w:asciiTheme="minorHAnsi" w:hAnsiTheme="minorHAnsi"/>
        </w:rPr>
        <w:t xml:space="preserve">, śpiewak </w:t>
      </w:r>
      <w:r w:rsidRPr="00023183">
        <w:rPr>
          <w:rFonts w:asciiTheme="minorHAnsi" w:hAnsiTheme="minorHAnsi"/>
          <w:i/>
        </w:rPr>
        <w:t>Turdus philomelos</w:t>
      </w:r>
      <w:r w:rsidRPr="00023183">
        <w:rPr>
          <w:rFonts w:asciiTheme="minorHAnsi" w:hAnsiTheme="minorHAnsi"/>
        </w:rPr>
        <w:t xml:space="preserve">, strzyżyk </w:t>
      </w:r>
      <w:r w:rsidRPr="00023183">
        <w:rPr>
          <w:rFonts w:asciiTheme="minorHAnsi" w:hAnsiTheme="minorHAnsi"/>
          <w:i/>
        </w:rPr>
        <w:t>Troglodytes troglodytes</w:t>
      </w:r>
      <w:r w:rsidRPr="00023183">
        <w:rPr>
          <w:rFonts w:asciiTheme="minorHAnsi" w:hAnsiTheme="minorHAnsi"/>
        </w:rPr>
        <w:t xml:space="preserve">, świergotek drzewny </w:t>
      </w:r>
      <w:r w:rsidRPr="00023183">
        <w:rPr>
          <w:rFonts w:asciiTheme="minorHAnsi" w:hAnsiTheme="minorHAnsi"/>
          <w:i/>
        </w:rPr>
        <w:t>Anthus trivialis</w:t>
      </w:r>
      <w:r w:rsidRPr="00023183">
        <w:rPr>
          <w:rFonts w:asciiTheme="minorHAnsi" w:hAnsiTheme="minorHAnsi"/>
        </w:rPr>
        <w:t xml:space="preserve">, świstunka leśna </w:t>
      </w:r>
      <w:r w:rsidRPr="00023183">
        <w:rPr>
          <w:rFonts w:asciiTheme="minorHAnsi" w:hAnsiTheme="minorHAnsi"/>
          <w:i/>
        </w:rPr>
        <w:t>Phylloscopus sibilatrix</w:t>
      </w:r>
      <w:r w:rsidRPr="00023183">
        <w:rPr>
          <w:rFonts w:asciiTheme="minorHAnsi" w:hAnsiTheme="minorHAnsi"/>
        </w:rPr>
        <w:t xml:space="preserve">, zięba </w:t>
      </w:r>
      <w:r w:rsidRPr="00023183">
        <w:rPr>
          <w:rFonts w:asciiTheme="minorHAnsi" w:hAnsiTheme="minorHAnsi"/>
          <w:i/>
        </w:rPr>
        <w:t>Fringilla coelebs</w:t>
      </w:r>
      <w:r w:rsidRPr="00023183">
        <w:rPr>
          <w:rFonts w:asciiTheme="minorHAnsi" w:hAnsiTheme="minorHAnsi"/>
        </w:rPr>
        <w:t xml:space="preserve">, zniczek </w:t>
      </w:r>
      <w:r w:rsidRPr="00023183">
        <w:rPr>
          <w:rFonts w:asciiTheme="minorHAnsi" w:hAnsiTheme="minorHAnsi"/>
          <w:i/>
        </w:rPr>
        <w:t>Regulus ignicapilla</w:t>
      </w:r>
      <w:r w:rsidRPr="00023183">
        <w:rPr>
          <w:rFonts w:asciiTheme="minorHAnsi" w:hAnsiTheme="minorHAnsi"/>
        </w:rPr>
        <w:t>.</w:t>
      </w:r>
    </w:p>
  </w:footnote>
  <w:footnote w:id="61">
    <w:p w:rsidR="00812649" w:rsidRPr="009F2E64" w:rsidRDefault="00812649" w:rsidP="009F2E64">
      <w:pPr>
        <w:rPr>
          <w:rFonts w:cs="Times New Roman"/>
          <w:i/>
          <w:sz w:val="20"/>
          <w:szCs w:val="20"/>
        </w:rPr>
      </w:pPr>
      <w:r w:rsidRPr="00023183">
        <w:rPr>
          <w:rStyle w:val="Odwoanieprzypisudolnego"/>
          <w:sz w:val="20"/>
          <w:szCs w:val="20"/>
        </w:rPr>
        <w:footnoteRef/>
      </w:r>
      <w:r w:rsidRPr="00023183">
        <w:rPr>
          <w:sz w:val="20"/>
          <w:szCs w:val="20"/>
        </w:rPr>
        <w:t xml:space="preserve"> </w:t>
      </w:r>
      <w:r w:rsidRPr="00023183">
        <w:rPr>
          <w:rFonts w:cs="Times New Roman"/>
          <w:sz w:val="20"/>
          <w:szCs w:val="20"/>
        </w:rPr>
        <w:t xml:space="preserve">Ostasiewicz M. 2013. </w:t>
      </w:r>
      <w:r w:rsidRPr="00023183">
        <w:rPr>
          <w:rFonts w:cs="Times New Roman"/>
          <w:i/>
          <w:sz w:val="20"/>
          <w:szCs w:val="20"/>
        </w:rPr>
        <w:t>Monitoring ptaków Polski w Państwowym Monitoringu Środowiska w latach 2007-2012.</w:t>
      </w:r>
      <w:r w:rsidRPr="00023183">
        <w:rPr>
          <w:rFonts w:cs="Times New Roman"/>
          <w:sz w:val="20"/>
          <w:szCs w:val="20"/>
        </w:rPr>
        <w:t xml:space="preserve"> Aura 11/2013. Warszawa. Ss. 20-22; Ostasiewicz M., Chodkiewicz T., Chylarecki P., Neubauer G., Woźniak B. 2011. </w:t>
      </w:r>
      <w:r w:rsidRPr="00023183">
        <w:rPr>
          <w:rFonts w:cs="Times New Roman"/>
          <w:i/>
          <w:sz w:val="20"/>
          <w:szCs w:val="20"/>
        </w:rPr>
        <w:t>Wskaźnik liczebności pospolitych ptaków lęgowych – co możemy zrobić w oparciu o dane Monitoringu Pospolitych Ptaków Lęgowych w Państwowym Monitoringu Środowiska?</w:t>
      </w:r>
      <w:r>
        <w:rPr>
          <w:rFonts w:cs="Times New Roman"/>
          <w:i/>
          <w:sz w:val="20"/>
          <w:szCs w:val="20"/>
        </w:rPr>
        <w:t xml:space="preserve">; </w:t>
      </w:r>
      <w:r w:rsidRPr="009F2E64">
        <w:rPr>
          <w:rFonts w:cs="Times New Roman"/>
          <w:i/>
          <w:sz w:val="20"/>
          <w:szCs w:val="20"/>
        </w:rPr>
        <w:t>Chodkiewicz T., Neubauer G., Meissner W. 2012. Monitoring populacji ptaków Polski w latach 2010-2012. Biuletyn monitoringu Przyrody 9: 1-44;</w:t>
      </w:r>
    </w:p>
    <w:p w:rsidR="00812649" w:rsidRPr="00023183" w:rsidRDefault="00812649" w:rsidP="00023183">
      <w:pPr>
        <w:spacing w:after="0" w:line="240" w:lineRule="auto"/>
        <w:rPr>
          <w:rFonts w:cs="Times New Roman"/>
          <w:sz w:val="20"/>
          <w:szCs w:val="20"/>
        </w:rPr>
      </w:pPr>
    </w:p>
    <w:p w:rsidR="00812649" w:rsidRPr="00023183" w:rsidRDefault="00812649">
      <w:pPr>
        <w:pStyle w:val="Tekstprzypisudolnego"/>
      </w:pPr>
    </w:p>
  </w:footnote>
  <w:footnote w:id="62">
    <w:p w:rsidR="00812649" w:rsidRDefault="00812649" w:rsidP="00B14D7C">
      <w:pPr>
        <w:pStyle w:val="Tekstprzypisudolnego"/>
        <w:rPr>
          <w:bCs/>
          <w:iCs/>
          <w:lang w:val="pl-PL"/>
        </w:rPr>
      </w:pPr>
      <w:r>
        <w:rPr>
          <w:rStyle w:val="Odwoanieprzypisudolnego"/>
        </w:rPr>
        <w:footnoteRef/>
      </w:r>
      <w:r>
        <w:t xml:space="preserve"> </w:t>
      </w:r>
      <w:r>
        <w:rPr>
          <w:lang w:val="pl-PL"/>
        </w:rPr>
        <w:t xml:space="preserve">zob.: </w:t>
      </w:r>
      <w:r w:rsidRPr="00383D92">
        <w:rPr>
          <w:bCs/>
        </w:rPr>
        <w:t xml:space="preserve">Stan środowiska w Polsce </w:t>
      </w:r>
      <w:r w:rsidRPr="00383D92">
        <w:rPr>
          <w:bCs/>
          <w:i/>
          <w:iCs/>
          <w:lang w:val="pl-PL"/>
        </w:rPr>
        <w:t>Sygnały 2016</w:t>
      </w:r>
      <w:r>
        <w:rPr>
          <w:bCs/>
          <w:i/>
          <w:iCs/>
          <w:lang w:val="pl-PL"/>
        </w:rPr>
        <w:t xml:space="preserve"> </w:t>
      </w:r>
      <w:r w:rsidRPr="00383D92">
        <w:rPr>
          <w:bCs/>
          <w:iCs/>
          <w:lang w:val="pl-PL"/>
        </w:rPr>
        <w:t>(GIOŚ 2017)</w:t>
      </w:r>
      <w:r>
        <w:rPr>
          <w:bCs/>
          <w:iCs/>
          <w:lang w:val="pl-PL"/>
        </w:rPr>
        <w:t>;</w:t>
      </w:r>
    </w:p>
    <w:p w:rsidR="00812649" w:rsidRPr="00CE7329" w:rsidRDefault="00812649" w:rsidP="00B14D7C">
      <w:pPr>
        <w:pStyle w:val="Tekstprzypisudolnego"/>
        <w:rPr>
          <w:lang w:val="pl-PL"/>
        </w:rPr>
      </w:pPr>
      <w:r>
        <w:rPr>
          <w:bCs/>
          <w:iCs/>
          <w:lang w:val="pl-PL"/>
        </w:rPr>
        <w:t>Stan środowiska w Polsce, Raport 2014, (GIOŚ 2014)</w:t>
      </w:r>
    </w:p>
    <w:p w:rsidR="00812649" w:rsidRPr="00B14D7C" w:rsidRDefault="00812649">
      <w:pPr>
        <w:pStyle w:val="Tekstprzypisudolnego"/>
        <w:rPr>
          <w:lang w:val="pl-PL"/>
        </w:rPr>
      </w:pPr>
    </w:p>
  </w:footnote>
  <w:footnote w:id="63">
    <w:p w:rsidR="00812649" w:rsidRPr="005A395C" w:rsidRDefault="00812649" w:rsidP="00B14D7C">
      <w:pPr>
        <w:pStyle w:val="Tekstprzypisudolnego"/>
        <w:rPr>
          <w:sz w:val="18"/>
          <w:szCs w:val="18"/>
        </w:rPr>
      </w:pPr>
      <w:r w:rsidRPr="00A93962">
        <w:rPr>
          <w:rStyle w:val="Odwoanieprzypisudolnego"/>
          <w:rFonts w:ascii="Times New Roman" w:hAnsi="Times New Roman"/>
        </w:rPr>
        <w:footnoteRef/>
      </w:r>
      <w:r w:rsidRPr="00A93962">
        <w:rPr>
          <w:rFonts w:ascii="Times New Roman" w:hAnsi="Times New Roman"/>
        </w:rPr>
        <w:t xml:space="preserve"> </w:t>
      </w:r>
      <w:r w:rsidRPr="005A395C">
        <w:rPr>
          <w:sz w:val="18"/>
          <w:szCs w:val="18"/>
        </w:rPr>
        <w:t>dane przekazane do Komisji Europejskiej w sprawozdaniach na temat osiągniętych poziomów ponownego użycia i odzysku oraz ponownego użycia i recyklingu pojazdów wycofanych z eksploatacji w związku z dyrektywą Parlamentu Europejskiego i Rady 2000/53/WE z dnia 18 września 2000 r. w sprawie pojazdów wycofanych z eksploatacji [Dz.U. L 269 z 21.10.2000, s. 34] dostępne poprzez Centrum Danych o Odpadach w Eurostacie.</w:t>
      </w:r>
    </w:p>
  </w:footnote>
  <w:footnote w:id="64">
    <w:p w:rsidR="00812649" w:rsidRDefault="00812649" w:rsidP="00A7414F">
      <w:pPr>
        <w:pStyle w:val="Tekstprzypisudolnego"/>
        <w:jc w:val="both"/>
      </w:pPr>
      <w:r>
        <w:rPr>
          <w:rStyle w:val="Odwoanieprzypisudolnego"/>
        </w:rPr>
        <w:footnoteRef/>
      </w:r>
      <w:r w:rsidRPr="00705997">
        <w:t>Ochrona Środowiska 2016, G</w:t>
      </w:r>
      <w:r>
        <w:t xml:space="preserve">łówny </w:t>
      </w:r>
      <w:r w:rsidRPr="00705997">
        <w:t>U</w:t>
      </w:r>
      <w:r>
        <w:t xml:space="preserve">rząd </w:t>
      </w:r>
      <w:r w:rsidRPr="00705997">
        <w:t>S</w:t>
      </w:r>
      <w:r>
        <w:t>tatystyczny (GUS)</w:t>
      </w:r>
      <w:r w:rsidRPr="00705997">
        <w:t>, Warszawa 2016. Dane  o nakładach na środki trwałe służące ochronie środowiska i ich efektach rzeczowych od 1999 r. prezentuje się zgodnie z Polską Klasyfikacją Statystyczną dotyczącą Działalności i Urządzeń Związanych z Ochroną Środowiska wprowadzoną rozporządzeniem Rady Ministrów z dnia 2 marca 1999 r.(Dz. U. Nr 25, poz. 218).</w:t>
      </w:r>
    </w:p>
  </w:footnote>
  <w:footnote w:id="65">
    <w:p w:rsidR="00812649" w:rsidRDefault="00812649" w:rsidP="00A7414F">
      <w:pPr>
        <w:pStyle w:val="Tekstprzypisudolnego"/>
        <w:jc w:val="both"/>
      </w:pPr>
      <w:r>
        <w:rPr>
          <w:rStyle w:val="Odwoanieprzypisudolnego"/>
        </w:rPr>
        <w:footnoteRef/>
      </w:r>
      <w:r w:rsidRPr="00071478">
        <w:t>Krajowy Rejestr Urzędowy Podmiotów Gospodarki Narodowej</w:t>
      </w:r>
      <w:r>
        <w:t xml:space="preserve">, dane </w:t>
      </w:r>
      <w:r w:rsidRPr="007C67A3">
        <w:t>z</w:t>
      </w:r>
      <w:r>
        <w:t xml:space="preserve"> 2015 </w:t>
      </w:r>
      <w:r w:rsidRPr="007C67A3">
        <w:t>.r.</w:t>
      </w:r>
    </w:p>
  </w:footnote>
  <w:footnote w:id="66">
    <w:p w:rsidR="00812649" w:rsidRDefault="00812649" w:rsidP="00A7414F">
      <w:pPr>
        <w:pStyle w:val="Tekstprzypisudolnego"/>
        <w:jc w:val="both"/>
      </w:pPr>
      <w:r>
        <w:rPr>
          <w:rStyle w:val="Odwoanieprzypisudolnego"/>
        </w:rPr>
        <w:footnoteRef/>
      </w:r>
      <w:r>
        <w:t xml:space="preserve"> Małe i średnie przedsiębiorstwa oraz polityka przedsiębiorczości w Polsce, Przegląd OECD; Przedsiębiorczość w Polsce, Ministerstwo Rozwoju, Warszawa 2016.</w:t>
      </w:r>
    </w:p>
  </w:footnote>
  <w:footnote w:id="67">
    <w:p w:rsidR="00812649" w:rsidRDefault="00812649" w:rsidP="00A7414F">
      <w:pPr>
        <w:pStyle w:val="Tekstprzypisudolnego"/>
      </w:pPr>
      <w:r>
        <w:rPr>
          <w:rStyle w:val="Odwoanieprzypisudolnego"/>
        </w:rPr>
        <w:footnoteRef/>
      </w:r>
      <w:r w:rsidRPr="00634299">
        <w:t>Środki unijne</w:t>
      </w:r>
      <w:r>
        <w:t xml:space="preserve"> (POIiŚ 2007-2013, POIiŚ 2014-2020, Life), </w:t>
      </w:r>
      <w:r w:rsidRPr="00634299">
        <w:t>Mechanizm Finansowy EOG oraz Norweski Mechanizm Finansowy</w:t>
      </w:r>
      <w:r>
        <w:t>.</w:t>
      </w:r>
    </w:p>
  </w:footnote>
  <w:footnote w:id="68">
    <w:p w:rsidR="00812649" w:rsidRPr="003211A8" w:rsidRDefault="00812649" w:rsidP="004E65E5">
      <w:pPr>
        <w:pStyle w:val="Tekstprzypisudolnego"/>
        <w:rPr>
          <w:rStyle w:val="Pogrubienie"/>
          <w:rFonts w:asciiTheme="minorHAnsi" w:hAnsiTheme="minorHAnsi"/>
          <w:b w:val="0"/>
        </w:rPr>
      </w:pPr>
      <w:r w:rsidRPr="003211A8">
        <w:rPr>
          <w:rStyle w:val="Pogrubienie"/>
          <w:rFonts w:asciiTheme="minorHAnsi" w:hAnsiTheme="minorHAnsi"/>
          <w:b w:val="0"/>
        </w:rPr>
        <w:footnoteRef/>
      </w:r>
      <w:r w:rsidRPr="003211A8">
        <w:rPr>
          <w:rStyle w:val="Pogrubienie"/>
          <w:rFonts w:asciiTheme="minorHAnsi" w:hAnsiTheme="minorHAnsi"/>
          <w:b w:val="0"/>
        </w:rPr>
        <w:t xml:space="preserve"> Dyrektywa Rady z dnia 2 kwietnia 1979 r. w sprawie ochrony dzikiego ptactwa [Dz.U. L 103 z 25.04.1979].</w:t>
      </w:r>
    </w:p>
  </w:footnote>
  <w:footnote w:id="69">
    <w:p w:rsidR="00812649" w:rsidRPr="003211A8" w:rsidRDefault="00812649" w:rsidP="004E65E5">
      <w:pPr>
        <w:pStyle w:val="Tekstprzypisudolnego"/>
        <w:ind w:left="142" w:hanging="142"/>
        <w:rPr>
          <w:rStyle w:val="Pogrubienie"/>
          <w:rFonts w:asciiTheme="minorHAnsi" w:hAnsiTheme="minorHAnsi"/>
          <w:b w:val="0"/>
        </w:rPr>
      </w:pPr>
      <w:r w:rsidRPr="003211A8">
        <w:rPr>
          <w:rStyle w:val="Pogrubienie"/>
          <w:rFonts w:asciiTheme="minorHAnsi" w:hAnsiTheme="minorHAnsi"/>
          <w:b w:val="0"/>
        </w:rPr>
        <w:footnoteRef/>
      </w:r>
      <w:r w:rsidRPr="003211A8">
        <w:rPr>
          <w:rStyle w:val="Pogrubienie"/>
          <w:rFonts w:asciiTheme="minorHAnsi" w:hAnsiTheme="minorHAnsi"/>
          <w:b w:val="0"/>
        </w:rPr>
        <w:t xml:space="preserve"> Wg GDOŚ, stan na 6.października 2017</w:t>
      </w:r>
    </w:p>
  </w:footnote>
  <w:footnote w:id="70">
    <w:p w:rsidR="00812649" w:rsidRPr="003211A8" w:rsidRDefault="00812649" w:rsidP="004E65E5">
      <w:pPr>
        <w:pStyle w:val="Tekstprzypisudolnego"/>
        <w:rPr>
          <w:rFonts w:asciiTheme="minorHAnsi" w:hAnsiTheme="minorHAnsi"/>
        </w:rPr>
      </w:pPr>
      <w:r w:rsidRPr="003211A8">
        <w:rPr>
          <w:rStyle w:val="Pogrubienie"/>
          <w:rFonts w:asciiTheme="minorHAnsi" w:hAnsiTheme="minorHAnsi"/>
          <w:b w:val="0"/>
        </w:rPr>
        <w:footnoteRef/>
      </w:r>
      <w:r w:rsidRPr="003211A8">
        <w:rPr>
          <w:rStyle w:val="Pogrubienie"/>
          <w:rFonts w:asciiTheme="minorHAnsi" w:hAnsiTheme="minorHAnsi"/>
          <w:b w:val="0"/>
        </w:rPr>
        <w:t xml:space="preserve"> Obejmuje morskie wody wewnętrzne, morze terytorialne i wyłączną strefę ekonomiczną która nie jest na terytorium RP.</w:t>
      </w:r>
    </w:p>
  </w:footnote>
  <w:footnote w:id="71">
    <w:p w:rsidR="00812649" w:rsidRPr="003211A8" w:rsidRDefault="00812649" w:rsidP="003211A8">
      <w:pPr>
        <w:spacing w:after="0" w:line="240" w:lineRule="auto"/>
        <w:rPr>
          <w:rFonts w:cs="Times New Roman"/>
          <w:sz w:val="20"/>
          <w:szCs w:val="20"/>
        </w:rPr>
      </w:pPr>
      <w:r w:rsidRPr="003211A8">
        <w:rPr>
          <w:rStyle w:val="Odwoanieprzypisudolnego"/>
          <w:sz w:val="20"/>
          <w:szCs w:val="20"/>
        </w:rPr>
        <w:footnoteRef/>
      </w:r>
      <w:r w:rsidRPr="003211A8">
        <w:rPr>
          <w:sz w:val="20"/>
          <w:szCs w:val="20"/>
        </w:rPr>
        <w:t xml:space="preserve"> </w:t>
      </w:r>
      <w:r w:rsidRPr="003211A8">
        <w:rPr>
          <w:rFonts w:cs="Times New Roman"/>
          <w:sz w:val="20"/>
          <w:szCs w:val="20"/>
        </w:rPr>
        <w:t xml:space="preserve">GDOŚ. Statystyki Natura 2000. Dostępny w Internecie: </w:t>
      </w:r>
      <w:hyperlink r:id="rId7" w:anchor="gid=6" w:history="1">
        <w:r w:rsidRPr="003211A8">
          <w:rPr>
            <w:rStyle w:val="Hipercze"/>
            <w:rFonts w:cs="Times New Roman"/>
            <w:sz w:val="20"/>
            <w:szCs w:val="20"/>
          </w:rPr>
          <w:t>https://docs.google.com/spreadsheet/ccc?key=0ApexQCvca3htdDNrMzk2LVptUnRidkNLTU5xQlVoTXc#gid=6</w:t>
        </w:r>
      </w:hyperlink>
      <w:r w:rsidRPr="003211A8">
        <w:rPr>
          <w:rFonts w:cs="Times New Roman"/>
          <w:sz w:val="20"/>
          <w:szCs w:val="20"/>
        </w:rPr>
        <w:t xml:space="preserve"> [dostęp 17.01.2014]; </w:t>
      </w:r>
    </w:p>
    <w:p w:rsidR="00812649" w:rsidRPr="003211A8" w:rsidRDefault="00812649">
      <w:pPr>
        <w:pStyle w:val="Tekstprzypisudolnego"/>
        <w:rPr>
          <w:lang w:val="pl-PL"/>
        </w:rPr>
      </w:pPr>
    </w:p>
  </w:footnote>
  <w:footnote w:id="72">
    <w:p w:rsidR="00812649" w:rsidRPr="00096C06" w:rsidRDefault="00812649" w:rsidP="004E65E5">
      <w:pPr>
        <w:pStyle w:val="Tekstprzypisudolnego"/>
      </w:pPr>
      <w:r w:rsidRPr="00096C06">
        <w:rPr>
          <w:rStyle w:val="Odwoanieprzypisudolnego"/>
        </w:rPr>
        <w:footnoteRef/>
      </w:r>
      <w:r w:rsidRPr="00096C06">
        <w:t>HELCOM  tj. Komisja ochrony środowiska morskiego Morza Bałtyckiego pn. HELCOM, która jest organem wykonawczym  Konwencji Helsińskiej</w:t>
      </w:r>
    </w:p>
  </w:footnote>
  <w:footnote w:id="73">
    <w:p w:rsidR="00812649" w:rsidRDefault="00812649" w:rsidP="004E65E5">
      <w:pPr>
        <w:pStyle w:val="Tekstprzypisudolnego"/>
      </w:pPr>
      <w:r w:rsidRPr="00096C06">
        <w:rPr>
          <w:rFonts w:asciiTheme="minorHAnsi" w:eastAsiaTheme="minorHAnsi" w:hAnsiTheme="minorHAnsi"/>
          <w:lang w:eastAsia="en-US"/>
        </w:rPr>
        <w:footnoteRef/>
      </w:r>
      <w:r w:rsidRPr="00096C06">
        <w:rPr>
          <w:rFonts w:asciiTheme="minorHAnsi" w:eastAsiaTheme="minorHAnsi" w:hAnsiTheme="minorHAnsi"/>
          <w:lang w:eastAsia="en-US"/>
        </w:rPr>
        <w:t xml:space="preserve"> Dane HELCOM 13.06.2014.</w:t>
      </w:r>
    </w:p>
  </w:footnote>
  <w:footnote w:id="74">
    <w:p w:rsidR="00812649" w:rsidRPr="00DB258E" w:rsidRDefault="00812649" w:rsidP="00504EE2">
      <w:pPr>
        <w:autoSpaceDE w:val="0"/>
        <w:autoSpaceDN w:val="0"/>
        <w:adjustRightInd w:val="0"/>
        <w:spacing w:after="0" w:line="240" w:lineRule="auto"/>
        <w:jc w:val="both"/>
        <w:rPr>
          <w:rFonts w:cs="Cambria,Italic"/>
          <w:i/>
          <w:iCs/>
          <w:sz w:val="18"/>
          <w:szCs w:val="18"/>
        </w:rPr>
      </w:pPr>
      <w:r>
        <w:rPr>
          <w:rStyle w:val="Odwoanieprzypisudolnego"/>
        </w:rPr>
        <w:footnoteRef/>
      </w:r>
      <w:r w:rsidRPr="00DB258E">
        <w:t xml:space="preserve"> </w:t>
      </w:r>
      <w:r w:rsidRPr="00DB258E">
        <w:rPr>
          <w:rFonts w:cs="Cambria,BoldItalic"/>
          <w:b/>
          <w:bCs/>
          <w:i/>
          <w:iCs/>
          <w:sz w:val="18"/>
          <w:szCs w:val="18"/>
        </w:rPr>
        <w:t xml:space="preserve">EMAS </w:t>
      </w:r>
      <w:r w:rsidRPr="00DB258E">
        <w:rPr>
          <w:rFonts w:cs="Cambria,Italic"/>
          <w:i/>
          <w:iCs/>
          <w:sz w:val="18"/>
          <w:szCs w:val="18"/>
        </w:rPr>
        <w:t>– System Ekozarządzania i Audytu (Eco Management and Audit Scheme) to unijny systemzarządzania środowiskowego zintegrowany z certyfikatem jakości dotyczącym zarządzania</w:t>
      </w:r>
      <w:r>
        <w:rPr>
          <w:rFonts w:cs="Cambria,Italic"/>
          <w:i/>
          <w:iCs/>
          <w:sz w:val="18"/>
          <w:szCs w:val="18"/>
        </w:rPr>
        <w:t xml:space="preserve"> </w:t>
      </w:r>
      <w:r w:rsidRPr="00DB258E">
        <w:rPr>
          <w:rFonts w:cs="Cambria,Italic"/>
          <w:i/>
          <w:iCs/>
          <w:sz w:val="18"/>
          <w:szCs w:val="18"/>
        </w:rPr>
        <w:t>środowiskiem ISO 14001. Mogą w nim dobrowolnie ucze</w:t>
      </w:r>
      <w:r>
        <w:rPr>
          <w:rFonts w:cs="Cambria,Italic"/>
          <w:i/>
          <w:iCs/>
          <w:sz w:val="18"/>
          <w:szCs w:val="18"/>
        </w:rPr>
        <w:t xml:space="preserve">stniczyć organizacje, dążące do </w:t>
      </w:r>
      <w:r w:rsidRPr="00DB258E">
        <w:rPr>
          <w:rFonts w:cs="Cambria,Italic"/>
          <w:i/>
          <w:iCs/>
          <w:sz w:val="18"/>
          <w:szCs w:val="18"/>
        </w:rPr>
        <w:t>osiągania jak najlepszych wyników prowadzonych działań w kier</w:t>
      </w:r>
      <w:r>
        <w:rPr>
          <w:rFonts w:cs="Cambria,Italic"/>
          <w:i/>
          <w:iCs/>
          <w:sz w:val="18"/>
          <w:szCs w:val="18"/>
        </w:rPr>
        <w:t xml:space="preserve">unku poprawy ochrony środowiska </w:t>
      </w:r>
      <w:r w:rsidRPr="00DB258E">
        <w:rPr>
          <w:rFonts w:cs="Cambria,Italic"/>
          <w:i/>
          <w:iCs/>
          <w:sz w:val="18"/>
          <w:szCs w:val="18"/>
        </w:rPr>
        <w:t>naturalnego.</w:t>
      </w:r>
    </w:p>
  </w:footnote>
  <w:footnote w:id="75">
    <w:p w:rsidR="00812649" w:rsidRPr="00A0351B" w:rsidRDefault="00812649" w:rsidP="005223E2">
      <w:pPr>
        <w:pStyle w:val="Tekstprzypisudolnego"/>
        <w:jc w:val="both"/>
      </w:pPr>
      <w:r w:rsidRPr="00A0351B">
        <w:rPr>
          <w:rStyle w:val="Odwoanieprzypisudolnego"/>
        </w:rPr>
        <w:footnoteRef/>
      </w:r>
      <w:r w:rsidRPr="00A0351B">
        <w:t xml:space="preserve"> To cykliczne badania realizowane w ramach wieloletniego programu badawczego Ministerstwa Środowiska. Program został zainicjowany w 2011 r. </w:t>
      </w:r>
      <w:r>
        <w:t xml:space="preserve">Coroczne </w:t>
      </w:r>
      <w:r w:rsidRPr="00A0351B">
        <w:t>badania trackingowe</w:t>
      </w:r>
      <w:r>
        <w:t>, prowadzone do 2014 r., umożliwiały</w:t>
      </w:r>
      <w:r w:rsidRPr="00A0351B">
        <w:t xml:space="preserve"> śledzenie dynamiki zmian świadomości i programowanie działań m.in. w zakresie edukacji ekologicznej (projekty ekologiczne, w tym ogólnopolskie kampanie społeczne). </w:t>
      </w:r>
    </w:p>
    <w:p w:rsidR="00812649" w:rsidRPr="00A0351B" w:rsidRDefault="00812649" w:rsidP="005223E2">
      <w:pPr>
        <w:pStyle w:val="Tekstprzypisudolnego"/>
        <w:jc w:val="both"/>
      </w:pPr>
      <w:r w:rsidRPr="00A0351B">
        <w:t>Pomiary dokonywane były pod koniec każdego roku na próbie około 1000 dorosłych Polaków. Wyniki badań dostępne są na stronie: https://www.mos.gov.pl/srodowisko/edukacja-ekologiczna/badania/ba</w:t>
      </w:r>
      <w:r>
        <w:t>dania-swiadomosci-ekologicznej/</w:t>
      </w:r>
    </w:p>
  </w:footnote>
  <w:footnote w:id="76">
    <w:p w:rsidR="00812649" w:rsidRPr="00A0351B" w:rsidRDefault="00812649" w:rsidP="005223E2">
      <w:pPr>
        <w:pStyle w:val="Tekstprzypisudolnego"/>
        <w:jc w:val="both"/>
      </w:pPr>
      <w:r w:rsidRPr="00A0351B">
        <w:rPr>
          <w:rStyle w:val="Odwoanieprzypisudolnego"/>
        </w:rPr>
        <w:footnoteRef/>
      </w:r>
      <w:r w:rsidRPr="00A0351B">
        <w:t xml:space="preserve"> W diagnozie przedstawiono wynik badania realizowanego w 2014 r.</w:t>
      </w:r>
    </w:p>
  </w:footnote>
  <w:footnote w:id="77">
    <w:p w:rsidR="00812649" w:rsidRDefault="00812649" w:rsidP="005223E2">
      <w:pPr>
        <w:pStyle w:val="Tekstprzypisudolnego"/>
        <w:jc w:val="both"/>
      </w:pPr>
      <w:r>
        <w:rPr>
          <w:rStyle w:val="Odwoanieprzypisudolnego"/>
        </w:rPr>
        <w:footnoteRef/>
      </w:r>
      <w:r>
        <w:t xml:space="preserve"> </w:t>
      </w:r>
      <w:r w:rsidRPr="00CA145B">
        <w:rPr>
          <w:i/>
        </w:rPr>
        <w:t>Jednotematyczne badanie świadomości ekologicznej mieszkańców Polski. Gospodarka odpadami. Raport z badania</w:t>
      </w:r>
      <w:r>
        <w:t>. 2017.</w:t>
      </w:r>
    </w:p>
  </w:footnote>
  <w:footnote w:id="78">
    <w:p w:rsidR="00812649" w:rsidRDefault="00812649" w:rsidP="005223E2">
      <w:pPr>
        <w:pStyle w:val="Tekstprzypisudolnego"/>
        <w:jc w:val="both"/>
      </w:pPr>
      <w:r>
        <w:rPr>
          <w:rStyle w:val="Odwoanieprzypisudolnego"/>
        </w:rPr>
        <w:footnoteRef/>
      </w:r>
      <w:r>
        <w:t xml:space="preserve"> </w:t>
      </w:r>
      <w:r w:rsidRPr="00CA145B">
        <w:rPr>
          <w:i/>
        </w:rPr>
        <w:t>Jednotematyczne badanie świadomości ekologicznej mieszkańców Polski. Gospodarka odpadami. Raport z badania</w:t>
      </w:r>
      <w:r>
        <w:t>. 2017.</w:t>
      </w:r>
    </w:p>
  </w:footnote>
  <w:footnote w:id="79">
    <w:p w:rsidR="00812649" w:rsidRPr="00A0351B" w:rsidRDefault="00812649" w:rsidP="005223E2">
      <w:pPr>
        <w:pStyle w:val="Tekstprzypisudolnego"/>
        <w:jc w:val="both"/>
      </w:pPr>
      <w:r w:rsidRPr="00A0351B">
        <w:rPr>
          <w:rStyle w:val="Odwoanieprzypisudolnego"/>
        </w:rPr>
        <w:footnoteRef/>
      </w:r>
      <w:r w:rsidRPr="00A0351B">
        <w:t xml:space="preserve"> UNECE, 1998. Konwencja o dostępie do informacji, udziale społeczeństwa w podejmowaniu decyzji oraz dostępie do sprawiedliwości w sprawach dotyczących środowiska.</w:t>
      </w:r>
    </w:p>
  </w:footnote>
  <w:footnote w:id="80">
    <w:p w:rsidR="00812649" w:rsidRPr="00A0351B" w:rsidRDefault="00812649" w:rsidP="005223E2">
      <w:pPr>
        <w:pStyle w:val="Tekstprzypisudolnego"/>
        <w:jc w:val="both"/>
      </w:pPr>
      <w:r w:rsidRPr="00A0351B">
        <w:rPr>
          <w:rStyle w:val="Odwoanieprzypisudolnego"/>
        </w:rPr>
        <w:footnoteRef/>
      </w:r>
      <w:r w:rsidRPr="00A0351B">
        <w:t xml:space="preserve"> Unia Europejska, dyrektywa 2003/4/WE w sprawie publicznego dostępu do informacji dotyczących środowiska.</w:t>
      </w:r>
    </w:p>
  </w:footnote>
  <w:footnote w:id="81">
    <w:p w:rsidR="00812649" w:rsidRPr="00A0351B" w:rsidRDefault="00812649" w:rsidP="005223E2">
      <w:pPr>
        <w:pStyle w:val="Tekstprzypisudolnego"/>
        <w:jc w:val="both"/>
      </w:pPr>
      <w:r w:rsidRPr="00A0351B">
        <w:rPr>
          <w:rStyle w:val="Odwoanieprzypisudolnego"/>
        </w:rPr>
        <w:footnoteRef/>
      </w:r>
      <w:r w:rsidRPr="00A0351B">
        <w:t xml:space="preserve"> Unia Europejska, dyrektywa 2007/2/WE w sprawie INSPIRE.</w:t>
      </w:r>
    </w:p>
  </w:footnote>
  <w:footnote w:id="82">
    <w:p w:rsidR="00812649" w:rsidRPr="00A0351B" w:rsidRDefault="00812649" w:rsidP="005223E2">
      <w:pPr>
        <w:pStyle w:val="Tekstprzypisudolnego"/>
        <w:jc w:val="both"/>
      </w:pPr>
      <w:r w:rsidRPr="00A0351B">
        <w:rPr>
          <w:rStyle w:val="Odwoanieprzypisudolnego"/>
        </w:rPr>
        <w:footnoteRef/>
      </w:r>
      <w:r w:rsidRPr="00A0351B">
        <w:t xml:space="preserve"> Unia Europejska, Plan działania UE na rzecz administracji elektronicznej na lata 2016–2020 – Przyspieszenie transformacji cyfrowej w administracji COM(2016) 179 final.</w:t>
      </w:r>
    </w:p>
  </w:footnote>
  <w:footnote w:id="83">
    <w:p w:rsidR="00812649" w:rsidRPr="00A0351B" w:rsidRDefault="00812649" w:rsidP="005223E2">
      <w:pPr>
        <w:pStyle w:val="Tekstprzypisudolnego"/>
        <w:jc w:val="both"/>
      </w:pPr>
      <w:r w:rsidRPr="00A0351B">
        <w:rPr>
          <w:rStyle w:val="Odwoanieprzypisudolnego"/>
        </w:rPr>
        <w:footnoteRef/>
      </w:r>
      <w:r w:rsidRPr="00A0351B">
        <w:t xml:space="preserve"> Szczegółowy zakres danych zawarty jest w załącznikach do dyrektywy oraz w przepisach wykonawczych.</w:t>
      </w:r>
    </w:p>
  </w:footnote>
  <w:footnote w:id="84">
    <w:p w:rsidR="00812649" w:rsidRDefault="00812649" w:rsidP="005223E2">
      <w:pPr>
        <w:pStyle w:val="Tekstprzypisudolnego"/>
        <w:jc w:val="both"/>
      </w:pPr>
      <w:r w:rsidRPr="00A0351B">
        <w:rPr>
          <w:rStyle w:val="Odwoanieprzypisudolnego"/>
        </w:rPr>
        <w:footnoteRef/>
      </w:r>
      <w:r w:rsidRPr="00A0351B">
        <w:t xml:space="preserve"> Raz na 3 lata państwa członkowskie mają obowiązek przekładać KE sprawozdania z wdrożenia. Prowadzony jest również coroczny monitoring udostępnionych zasobów i usług, a w roku 2016, na wniosek Komisji, większość państw członkowskich przedstawiła plan działania w sprawie INSPIRE, w którym odnoszą się do problemów w zakresie wdrażania założeń dyrektywy, w tym Polska.</w:t>
      </w:r>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D284BC5C"/>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9121756"/>
    <w:multiLevelType w:val="hybridMultilevel"/>
    <w:tmpl w:val="CE4AAB8E"/>
    <w:lvl w:ilvl="0" w:tplc="0409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15:restartNumberingAfterBreak="0">
    <w:nsid w:val="0C0E297A"/>
    <w:multiLevelType w:val="hybridMultilevel"/>
    <w:tmpl w:val="EC0C20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867991"/>
    <w:multiLevelType w:val="multilevel"/>
    <w:tmpl w:val="F522CF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BA73B9"/>
    <w:multiLevelType w:val="hybridMultilevel"/>
    <w:tmpl w:val="C0FC29F8"/>
    <w:lvl w:ilvl="0" w:tplc="2D30FA24">
      <w:start w:val="5"/>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5AD36CB"/>
    <w:multiLevelType w:val="hybridMultilevel"/>
    <w:tmpl w:val="A948A6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0E34DD2"/>
    <w:multiLevelType w:val="hybridMultilevel"/>
    <w:tmpl w:val="E60AAA10"/>
    <w:lvl w:ilvl="0" w:tplc="7C5AEF82">
      <w:start w:val="1"/>
      <w:numFmt w:val="decimal"/>
      <w:lvlText w:val="6.%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3536D66"/>
    <w:multiLevelType w:val="hybridMultilevel"/>
    <w:tmpl w:val="063445C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3DD0A5D"/>
    <w:multiLevelType w:val="hybridMultilevel"/>
    <w:tmpl w:val="6E120C74"/>
    <w:lvl w:ilvl="0" w:tplc="ED185E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ACE502C"/>
    <w:multiLevelType w:val="hybridMultilevel"/>
    <w:tmpl w:val="E5EE7A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6162ECA"/>
    <w:multiLevelType w:val="hybridMultilevel"/>
    <w:tmpl w:val="46467BD6"/>
    <w:lvl w:ilvl="0" w:tplc="04150013">
      <w:start w:val="1"/>
      <w:numFmt w:val="upperRoman"/>
      <w:lvlText w:val="%1."/>
      <w:lvlJc w:val="righ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44D63B66">
      <w:start w:val="1"/>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C2351F6"/>
    <w:multiLevelType w:val="hybridMultilevel"/>
    <w:tmpl w:val="1FFAFC4E"/>
    <w:lvl w:ilvl="0" w:tplc="1EA864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E9F21BC"/>
    <w:multiLevelType w:val="hybridMultilevel"/>
    <w:tmpl w:val="E0A24D7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44BA631E"/>
    <w:multiLevelType w:val="multilevel"/>
    <w:tmpl w:val="3FB220B2"/>
    <w:lvl w:ilvl="0">
      <w:start w:val="4"/>
      <w:numFmt w:val="decimal"/>
      <w:lvlText w:val="%1."/>
      <w:lvlJc w:val="left"/>
      <w:pPr>
        <w:ind w:left="540" w:hanging="540"/>
      </w:pPr>
      <w:rPr>
        <w:rFonts w:hint="default"/>
        <w:b w:val="0"/>
      </w:rPr>
    </w:lvl>
    <w:lvl w:ilvl="1">
      <w:start w:val="4"/>
      <w:numFmt w:val="decimal"/>
      <w:lvlText w:val="%1.%2."/>
      <w:lvlJc w:val="left"/>
      <w:pPr>
        <w:ind w:left="720" w:hanging="540"/>
      </w:pPr>
      <w:rPr>
        <w:rFonts w:hint="default"/>
        <w:b w:val="0"/>
      </w:rPr>
    </w:lvl>
    <w:lvl w:ilvl="2">
      <w:start w:val="2"/>
      <w:numFmt w:val="decimal"/>
      <w:lvlText w:val="%1.%2.%3."/>
      <w:lvlJc w:val="left"/>
      <w:pPr>
        <w:ind w:left="1004" w:hanging="720"/>
      </w:pPr>
      <w:rPr>
        <w:rFonts w:ascii="Times New Roman" w:hAnsi="Times New Roman" w:cs="Times New Roman" w:hint="default"/>
        <w:b w:val="0"/>
      </w:rPr>
    </w:lvl>
    <w:lvl w:ilvl="3">
      <w:start w:val="1"/>
      <w:numFmt w:val="decimal"/>
      <w:lvlText w:val="%1.%2.%3.%4."/>
      <w:lvlJc w:val="left"/>
      <w:pPr>
        <w:ind w:left="1260" w:hanging="720"/>
      </w:pPr>
      <w:rPr>
        <w:rFonts w:hint="default"/>
        <w:b w:val="0"/>
      </w:rPr>
    </w:lvl>
    <w:lvl w:ilvl="4">
      <w:start w:val="1"/>
      <w:numFmt w:val="decimal"/>
      <w:lvlText w:val="%1.%2.%3.%4.%5."/>
      <w:lvlJc w:val="left"/>
      <w:pPr>
        <w:ind w:left="1800" w:hanging="1080"/>
      </w:pPr>
      <w:rPr>
        <w:rFonts w:hint="default"/>
        <w:b w:val="0"/>
      </w:rPr>
    </w:lvl>
    <w:lvl w:ilvl="5">
      <w:start w:val="1"/>
      <w:numFmt w:val="decimal"/>
      <w:lvlText w:val="%1.%2.%3.%4.%5.%6."/>
      <w:lvlJc w:val="left"/>
      <w:pPr>
        <w:ind w:left="1980" w:hanging="1080"/>
      </w:pPr>
      <w:rPr>
        <w:rFonts w:hint="default"/>
        <w:b w:val="0"/>
      </w:rPr>
    </w:lvl>
    <w:lvl w:ilvl="6">
      <w:start w:val="1"/>
      <w:numFmt w:val="decimal"/>
      <w:lvlText w:val="%1.%2.%3.%4.%5.%6.%7."/>
      <w:lvlJc w:val="left"/>
      <w:pPr>
        <w:ind w:left="2520" w:hanging="1440"/>
      </w:pPr>
      <w:rPr>
        <w:rFonts w:hint="default"/>
        <w:b w:val="0"/>
      </w:rPr>
    </w:lvl>
    <w:lvl w:ilvl="7">
      <w:start w:val="1"/>
      <w:numFmt w:val="decimal"/>
      <w:lvlText w:val="%1.%2.%3.%4.%5.%6.%7.%8."/>
      <w:lvlJc w:val="left"/>
      <w:pPr>
        <w:ind w:left="2700" w:hanging="1440"/>
      </w:pPr>
      <w:rPr>
        <w:rFonts w:hint="default"/>
        <w:b w:val="0"/>
      </w:rPr>
    </w:lvl>
    <w:lvl w:ilvl="8">
      <w:start w:val="1"/>
      <w:numFmt w:val="decimal"/>
      <w:lvlText w:val="%1.%2.%3.%4.%5.%6.%7.%8.%9."/>
      <w:lvlJc w:val="left"/>
      <w:pPr>
        <w:ind w:left="3240" w:hanging="1800"/>
      </w:pPr>
      <w:rPr>
        <w:rFonts w:hint="default"/>
        <w:b w:val="0"/>
      </w:rPr>
    </w:lvl>
  </w:abstractNum>
  <w:abstractNum w:abstractNumId="14" w15:restartNumberingAfterBreak="0">
    <w:nsid w:val="47F128D1"/>
    <w:multiLevelType w:val="hybridMultilevel"/>
    <w:tmpl w:val="47B08CE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5" w15:restartNumberingAfterBreak="0">
    <w:nsid w:val="4D945E13"/>
    <w:multiLevelType w:val="hybridMultilevel"/>
    <w:tmpl w:val="7FEE6AEA"/>
    <w:lvl w:ilvl="0" w:tplc="1EA864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E23660D"/>
    <w:multiLevelType w:val="hybridMultilevel"/>
    <w:tmpl w:val="7AF2274A"/>
    <w:lvl w:ilvl="0" w:tplc="202A6FA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15:restartNumberingAfterBreak="0">
    <w:nsid w:val="537B6CAC"/>
    <w:multiLevelType w:val="multilevel"/>
    <w:tmpl w:val="5AF4D4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75F1525"/>
    <w:multiLevelType w:val="hybridMultilevel"/>
    <w:tmpl w:val="7B1095C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81E4840"/>
    <w:multiLevelType w:val="hybridMultilevel"/>
    <w:tmpl w:val="1F905222"/>
    <w:lvl w:ilvl="0" w:tplc="0415000F">
      <w:start w:val="1"/>
      <w:numFmt w:val="decimal"/>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0" w15:restartNumberingAfterBreak="0">
    <w:nsid w:val="5B3D0EC0"/>
    <w:multiLevelType w:val="hybridMultilevel"/>
    <w:tmpl w:val="052CC0AE"/>
    <w:lvl w:ilvl="0" w:tplc="9A0420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D0968F6"/>
    <w:multiLevelType w:val="hybridMultilevel"/>
    <w:tmpl w:val="6206043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F737AA8"/>
    <w:multiLevelType w:val="multilevel"/>
    <w:tmpl w:val="C9FA15FC"/>
    <w:lvl w:ilvl="0">
      <w:start w:val="1"/>
      <w:numFmt w:val="ordinal"/>
      <w:lvlText w:val="4.2.%1"/>
      <w:lvlJc w:val="left"/>
      <w:pPr>
        <w:ind w:left="720" w:hanging="360"/>
      </w:pPr>
      <w:rPr>
        <w:rFonts w:hint="default"/>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62A522A4"/>
    <w:multiLevelType w:val="hybridMultilevel"/>
    <w:tmpl w:val="651A189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24" w15:restartNumberingAfterBreak="0">
    <w:nsid w:val="64613161"/>
    <w:multiLevelType w:val="hybridMultilevel"/>
    <w:tmpl w:val="0988E1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4DD2FF1"/>
    <w:multiLevelType w:val="hybridMultilevel"/>
    <w:tmpl w:val="2C88EACA"/>
    <w:lvl w:ilvl="0" w:tplc="F87C6452">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679E7567"/>
    <w:multiLevelType w:val="hybridMultilevel"/>
    <w:tmpl w:val="67349A32"/>
    <w:lvl w:ilvl="0" w:tplc="5E2426A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15:restartNumberingAfterBreak="0">
    <w:nsid w:val="6E324E75"/>
    <w:multiLevelType w:val="hybridMultilevel"/>
    <w:tmpl w:val="1D86EAE0"/>
    <w:lvl w:ilvl="0" w:tplc="0415000F">
      <w:start w:val="1"/>
      <w:numFmt w:val="decimal"/>
      <w:lvlText w:val="%1."/>
      <w:lvlJc w:val="left"/>
      <w:pPr>
        <w:ind w:left="1080" w:hanging="18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15:restartNumberingAfterBreak="0">
    <w:nsid w:val="75E36856"/>
    <w:multiLevelType w:val="hybridMultilevel"/>
    <w:tmpl w:val="F036DB78"/>
    <w:lvl w:ilvl="0" w:tplc="8DF0B3B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8676739"/>
    <w:multiLevelType w:val="hybridMultilevel"/>
    <w:tmpl w:val="8958A0BC"/>
    <w:lvl w:ilvl="0" w:tplc="04150013">
      <w:start w:val="1"/>
      <w:numFmt w:val="upperRoman"/>
      <w:lvlText w:val="%1."/>
      <w:lvlJc w:val="righ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97E2F60"/>
    <w:multiLevelType w:val="hybridMultilevel"/>
    <w:tmpl w:val="60A2AED4"/>
    <w:lvl w:ilvl="0" w:tplc="0415000F">
      <w:start w:val="1"/>
      <w:numFmt w:val="decimal"/>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31" w15:restartNumberingAfterBreak="0">
    <w:nsid w:val="7A777AA4"/>
    <w:multiLevelType w:val="hybridMultilevel"/>
    <w:tmpl w:val="4F10A892"/>
    <w:lvl w:ilvl="0" w:tplc="04150013">
      <w:start w:val="1"/>
      <w:numFmt w:val="upperRoman"/>
      <w:lvlText w:val="%1."/>
      <w:lvlJc w:val="right"/>
      <w:pPr>
        <w:ind w:left="720" w:hanging="360"/>
      </w:pPr>
    </w:lvl>
    <w:lvl w:ilvl="1" w:tplc="0415000F">
      <w:start w:val="1"/>
      <w:numFmt w:val="decimal"/>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7B2E68B8"/>
    <w:multiLevelType w:val="hybridMultilevel"/>
    <w:tmpl w:val="4F8C09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8"/>
  </w:num>
  <w:num w:numId="2">
    <w:abstractNumId w:val="31"/>
  </w:num>
  <w:num w:numId="3">
    <w:abstractNumId w:val="10"/>
  </w:num>
  <w:num w:numId="4">
    <w:abstractNumId w:val="29"/>
  </w:num>
  <w:num w:numId="5">
    <w:abstractNumId w:val="27"/>
  </w:num>
  <w:num w:numId="6">
    <w:abstractNumId w:val="30"/>
  </w:num>
  <w:num w:numId="7">
    <w:abstractNumId w:val="12"/>
  </w:num>
  <w:num w:numId="8">
    <w:abstractNumId w:val="22"/>
  </w:num>
  <w:num w:numId="9">
    <w:abstractNumId w:val="28"/>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num>
  <w:num w:numId="12">
    <w:abstractNumId w:val="5"/>
  </w:num>
  <w:num w:numId="13">
    <w:abstractNumId w:val="8"/>
  </w:num>
  <w:num w:numId="14">
    <w:abstractNumId w:val="19"/>
  </w:num>
  <w:num w:numId="15">
    <w:abstractNumId w:val="26"/>
  </w:num>
  <w:num w:numId="16">
    <w:abstractNumId w:val="1"/>
  </w:num>
  <w:num w:numId="17">
    <w:abstractNumId w:val="0"/>
  </w:num>
  <w:num w:numId="18">
    <w:abstractNumId w:val="21"/>
  </w:num>
  <w:num w:numId="19">
    <w:abstractNumId w:val="7"/>
  </w:num>
  <w:num w:numId="20">
    <w:abstractNumId w:val="17"/>
  </w:num>
  <w:num w:numId="21">
    <w:abstractNumId w:val="4"/>
  </w:num>
  <w:num w:numId="22">
    <w:abstractNumId w:val="24"/>
  </w:num>
  <w:num w:numId="23">
    <w:abstractNumId w:val="32"/>
  </w:num>
  <w:num w:numId="24">
    <w:abstractNumId w:val="16"/>
  </w:num>
  <w:num w:numId="25">
    <w:abstractNumId w:val="3"/>
  </w:num>
  <w:num w:numId="26">
    <w:abstractNumId w:val="11"/>
  </w:num>
  <w:num w:numId="27">
    <w:abstractNumId w:val="15"/>
  </w:num>
  <w:num w:numId="28">
    <w:abstractNumId w:val="6"/>
  </w:num>
  <w:num w:numId="29">
    <w:abstractNumId w:val="14"/>
  </w:num>
  <w:num w:numId="30">
    <w:abstractNumId w:val="9"/>
  </w:num>
  <w:num w:numId="31">
    <w:abstractNumId w:val="2"/>
  </w:num>
  <w:num w:numId="32">
    <w:abstractNumId w:val="13"/>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42B3"/>
    <w:rsid w:val="00023183"/>
    <w:rsid w:val="00096C06"/>
    <w:rsid w:val="000E23F7"/>
    <w:rsid w:val="00134F20"/>
    <w:rsid w:val="00135477"/>
    <w:rsid w:val="001E35FE"/>
    <w:rsid w:val="002C274A"/>
    <w:rsid w:val="002D617E"/>
    <w:rsid w:val="003211A8"/>
    <w:rsid w:val="00383D92"/>
    <w:rsid w:val="003B1DFB"/>
    <w:rsid w:val="003F2742"/>
    <w:rsid w:val="0044139A"/>
    <w:rsid w:val="004538EE"/>
    <w:rsid w:val="00495683"/>
    <w:rsid w:val="004E65E5"/>
    <w:rsid w:val="004F7458"/>
    <w:rsid w:val="00504EE2"/>
    <w:rsid w:val="005223E2"/>
    <w:rsid w:val="005270A2"/>
    <w:rsid w:val="00591ABA"/>
    <w:rsid w:val="0059767D"/>
    <w:rsid w:val="005D7E3A"/>
    <w:rsid w:val="005E5754"/>
    <w:rsid w:val="00601DCD"/>
    <w:rsid w:val="006214E7"/>
    <w:rsid w:val="006542B3"/>
    <w:rsid w:val="0071542A"/>
    <w:rsid w:val="00724310"/>
    <w:rsid w:val="00751F7C"/>
    <w:rsid w:val="0077038F"/>
    <w:rsid w:val="00792161"/>
    <w:rsid w:val="007B1D67"/>
    <w:rsid w:val="00812649"/>
    <w:rsid w:val="00845B49"/>
    <w:rsid w:val="0085436F"/>
    <w:rsid w:val="00894646"/>
    <w:rsid w:val="008E35FE"/>
    <w:rsid w:val="00936AEC"/>
    <w:rsid w:val="00956477"/>
    <w:rsid w:val="00956E3C"/>
    <w:rsid w:val="00974701"/>
    <w:rsid w:val="009F2E64"/>
    <w:rsid w:val="009F5687"/>
    <w:rsid w:val="00A0064B"/>
    <w:rsid w:val="00A7414F"/>
    <w:rsid w:val="00A93945"/>
    <w:rsid w:val="00AB0433"/>
    <w:rsid w:val="00AB7A3C"/>
    <w:rsid w:val="00AC5F41"/>
    <w:rsid w:val="00AD499D"/>
    <w:rsid w:val="00B00C49"/>
    <w:rsid w:val="00B14D7C"/>
    <w:rsid w:val="00B538BD"/>
    <w:rsid w:val="00BA3A51"/>
    <w:rsid w:val="00BE39C6"/>
    <w:rsid w:val="00BE6659"/>
    <w:rsid w:val="00CA430F"/>
    <w:rsid w:val="00CE7329"/>
    <w:rsid w:val="00D30FE6"/>
    <w:rsid w:val="00D657A0"/>
    <w:rsid w:val="00D90275"/>
    <w:rsid w:val="00E03D7E"/>
    <w:rsid w:val="00E138E7"/>
    <w:rsid w:val="00E22A77"/>
    <w:rsid w:val="00E86E91"/>
    <w:rsid w:val="00E9571C"/>
    <w:rsid w:val="00EF2573"/>
    <w:rsid w:val="00F1177A"/>
    <w:rsid w:val="00F93C25"/>
    <w:rsid w:val="00FD04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1F10FC0-C79B-41B9-84BD-13686B27E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E22A7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unhideWhenUsed/>
    <w:qFormat/>
    <w:rsid w:val="003B1DFB"/>
    <w:pPr>
      <w:keepNext/>
      <w:keepLines/>
      <w:spacing w:before="200" w:after="0"/>
      <w:outlineLvl w:val="1"/>
    </w:pPr>
    <w:rPr>
      <w:rFonts w:eastAsiaTheme="majorEastAsia" w:cstheme="majorBidi"/>
      <w:b/>
      <w:bCs/>
      <w:i/>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6542B3"/>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6542B3"/>
    <w:rPr>
      <w:rFonts w:eastAsiaTheme="minorEastAsia"/>
      <w:lang w:eastAsia="pl-PL"/>
    </w:rPr>
  </w:style>
  <w:style w:type="paragraph" w:styleId="Akapitzlist">
    <w:name w:val="List Paragraph"/>
    <w:aliases w:val="opis dzialania,K-P_odwolanie,Akapit z listą mon,Bullets,Dot pt,No Spacing1,List Paragraph Char Char Char,Indicator Text,Numbered Para 1,List Paragraph1,Bullet Points,MAIN CONTENT,Bullet 1,Rysunek,List Paragraph"/>
    <w:basedOn w:val="Normalny"/>
    <w:link w:val="AkapitzlistZnak"/>
    <w:uiPriority w:val="34"/>
    <w:qFormat/>
    <w:rsid w:val="006542B3"/>
    <w:pPr>
      <w:ind w:left="720"/>
      <w:contextualSpacing/>
    </w:pPr>
  </w:style>
  <w:style w:type="paragraph" w:styleId="Nagwek">
    <w:name w:val="header"/>
    <w:basedOn w:val="Normalny"/>
    <w:link w:val="NagwekZnak"/>
    <w:uiPriority w:val="99"/>
    <w:unhideWhenUsed/>
    <w:rsid w:val="00E22A7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22A77"/>
  </w:style>
  <w:style w:type="paragraph" w:styleId="Stopka">
    <w:name w:val="footer"/>
    <w:basedOn w:val="Normalny"/>
    <w:link w:val="StopkaZnak"/>
    <w:uiPriority w:val="99"/>
    <w:unhideWhenUsed/>
    <w:rsid w:val="00E22A7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22A77"/>
  </w:style>
  <w:style w:type="character" w:customStyle="1" w:styleId="Nagwek1Znak">
    <w:name w:val="Nagłówek 1 Znak"/>
    <w:basedOn w:val="Domylnaczcionkaakapitu"/>
    <w:link w:val="Nagwek1"/>
    <w:uiPriority w:val="9"/>
    <w:rsid w:val="00E22A77"/>
    <w:rPr>
      <w:rFonts w:asciiTheme="majorHAnsi" w:eastAsiaTheme="majorEastAsia" w:hAnsiTheme="majorHAnsi" w:cstheme="majorBidi"/>
      <w:color w:val="365F91" w:themeColor="accent1" w:themeShade="BF"/>
      <w:sz w:val="32"/>
      <w:szCs w:val="32"/>
    </w:rPr>
  </w:style>
  <w:style w:type="paragraph" w:styleId="Tekstdymka">
    <w:name w:val="Balloon Text"/>
    <w:basedOn w:val="Normalny"/>
    <w:link w:val="TekstdymkaZnak"/>
    <w:uiPriority w:val="99"/>
    <w:semiHidden/>
    <w:unhideWhenUsed/>
    <w:rsid w:val="00BE39C6"/>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E39C6"/>
    <w:rPr>
      <w:rFonts w:ascii="Tahoma" w:hAnsi="Tahoma" w:cs="Tahoma"/>
      <w:sz w:val="16"/>
      <w:szCs w:val="16"/>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ootnote text,Fußnote,FOOTNOTES"/>
    <w:basedOn w:val="Normalny"/>
    <w:link w:val="TekstprzypisudolnegoZnak"/>
    <w:uiPriority w:val="99"/>
    <w:qFormat/>
    <w:rsid w:val="00BE39C6"/>
    <w:pPr>
      <w:spacing w:after="0" w:line="240" w:lineRule="auto"/>
    </w:pPr>
    <w:rPr>
      <w:rFonts w:ascii="Calibri" w:eastAsia="Calibri" w:hAnsi="Calibri" w:cs="Times New Roman"/>
      <w:color w:val="000000"/>
      <w:sz w:val="20"/>
      <w:szCs w:val="20"/>
      <w:lang w:val="x-none" w:eastAsia="pl-PL"/>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ootnote text Znak"/>
    <w:basedOn w:val="Domylnaczcionkaakapitu"/>
    <w:link w:val="Tekstprzypisudolnego"/>
    <w:uiPriority w:val="99"/>
    <w:rsid w:val="00BE39C6"/>
    <w:rPr>
      <w:rFonts w:ascii="Calibri" w:eastAsia="Calibri" w:hAnsi="Calibri" w:cs="Times New Roman"/>
      <w:color w:val="000000"/>
      <w:sz w:val="20"/>
      <w:szCs w:val="20"/>
      <w:lang w:val="x-none" w:eastAsia="pl-PL"/>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uiPriority w:val="99"/>
    <w:rsid w:val="00BE39C6"/>
    <w:rPr>
      <w:vertAlign w:val="superscript"/>
    </w:rPr>
  </w:style>
  <w:style w:type="paragraph" w:styleId="Legenda">
    <w:name w:val="caption"/>
    <w:basedOn w:val="Normalny"/>
    <w:next w:val="Normalny"/>
    <w:uiPriority w:val="35"/>
    <w:semiHidden/>
    <w:unhideWhenUsed/>
    <w:qFormat/>
    <w:rsid w:val="00BE39C6"/>
    <w:rPr>
      <w:rFonts w:ascii="Calibri" w:eastAsia="Calibri" w:hAnsi="Calibri" w:cs="Times New Roman"/>
      <w:b/>
      <w:bCs/>
      <w:sz w:val="20"/>
      <w:szCs w:val="20"/>
    </w:rPr>
  </w:style>
  <w:style w:type="character" w:styleId="Pogrubienie">
    <w:name w:val="Strong"/>
    <w:basedOn w:val="Domylnaczcionkaakapitu"/>
    <w:uiPriority w:val="22"/>
    <w:qFormat/>
    <w:rsid w:val="00845B49"/>
    <w:rPr>
      <w:b/>
      <w:bCs/>
    </w:rPr>
  </w:style>
  <w:style w:type="paragraph" w:styleId="Tekstpodstawowy">
    <w:name w:val="Body Text"/>
    <w:basedOn w:val="Normalny"/>
    <w:link w:val="TekstpodstawowyZnak1"/>
    <w:rsid w:val="00845B49"/>
    <w:pPr>
      <w:suppressAutoHyphens/>
      <w:spacing w:after="120"/>
    </w:pPr>
    <w:rPr>
      <w:rFonts w:ascii="Calibri" w:eastAsia="Calibri" w:hAnsi="Calibri" w:cs="Times New Roman"/>
      <w:lang w:eastAsia="ar-SA"/>
    </w:rPr>
  </w:style>
  <w:style w:type="character" w:customStyle="1" w:styleId="TekstpodstawowyZnak">
    <w:name w:val="Tekst podstawowy Znak"/>
    <w:basedOn w:val="Domylnaczcionkaakapitu"/>
    <w:uiPriority w:val="99"/>
    <w:semiHidden/>
    <w:rsid w:val="00845B49"/>
  </w:style>
  <w:style w:type="character" w:customStyle="1" w:styleId="TekstpodstawowyZnak1">
    <w:name w:val="Tekst podstawowy Znak1"/>
    <w:link w:val="Tekstpodstawowy"/>
    <w:rsid w:val="00845B49"/>
    <w:rPr>
      <w:rFonts w:ascii="Calibri" w:eastAsia="Calibri" w:hAnsi="Calibri" w:cs="Times New Roman"/>
      <w:lang w:eastAsia="ar-SA"/>
    </w:rPr>
  </w:style>
  <w:style w:type="paragraph" w:styleId="NormalnyWeb">
    <w:name w:val="Normal (Web)"/>
    <w:basedOn w:val="Normalny"/>
    <w:uiPriority w:val="99"/>
    <w:rsid w:val="00845B49"/>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AkapitzlistZnak">
    <w:name w:val="Akapit z listą Znak"/>
    <w:aliases w:val="opis dzialania Znak,K-P_odwolanie Znak,Akapit z listą mon Znak,Bullets Znak,Dot pt Znak,No Spacing1 Znak,List Paragraph Char Char Char Znak,Indicator Text Znak,Numbered Para 1 Znak,List Paragraph1 Znak,Bullet Points Znak,Rysunek Znak"/>
    <w:link w:val="Akapitzlist"/>
    <w:rsid w:val="00845B49"/>
  </w:style>
  <w:style w:type="table" w:styleId="Tabela-Siatka">
    <w:name w:val="Table Grid"/>
    <w:basedOn w:val="Standardowy"/>
    <w:uiPriority w:val="59"/>
    <w:rsid w:val="00845B49"/>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45B49"/>
    <w:pPr>
      <w:autoSpaceDE w:val="0"/>
      <w:autoSpaceDN w:val="0"/>
      <w:adjustRightInd w:val="0"/>
      <w:spacing w:after="0" w:line="240" w:lineRule="auto"/>
    </w:pPr>
    <w:rPr>
      <w:rFonts w:ascii="Arial" w:eastAsia="Calibri" w:hAnsi="Arial" w:cs="Arial"/>
      <w:color w:val="000000"/>
      <w:sz w:val="24"/>
      <w:szCs w:val="24"/>
    </w:rPr>
  </w:style>
  <w:style w:type="paragraph" w:customStyle="1" w:styleId="Akapitzpierwszliniwcit">
    <w:name w:val="Akapit z pierwszą linią wciętą"/>
    <w:basedOn w:val="Normalny"/>
    <w:link w:val="AkapitzpierwszliniwcitZnak"/>
    <w:autoRedefine/>
    <w:rsid w:val="00845B49"/>
    <w:pPr>
      <w:widowControl w:val="0"/>
      <w:tabs>
        <w:tab w:val="left" w:pos="0"/>
      </w:tabs>
      <w:spacing w:after="120" w:line="264" w:lineRule="auto"/>
      <w:jc w:val="both"/>
    </w:pPr>
    <w:rPr>
      <w:rFonts w:ascii="Calibri" w:eastAsia="Times New Roman" w:hAnsi="Calibri" w:cs="Times New Roman"/>
      <w:color w:val="000000"/>
      <w:spacing w:val="-2"/>
      <w:lang w:val="x-none" w:eastAsia="x-none"/>
    </w:rPr>
  </w:style>
  <w:style w:type="character" w:customStyle="1" w:styleId="AkapitzpierwszliniwcitZnak">
    <w:name w:val="Akapit z pierwszą linią wciętą Znak"/>
    <w:link w:val="Akapitzpierwszliniwcit"/>
    <w:rsid w:val="00845B49"/>
    <w:rPr>
      <w:rFonts w:ascii="Calibri" w:eastAsia="Times New Roman" w:hAnsi="Calibri" w:cs="Times New Roman"/>
      <w:color w:val="000000"/>
      <w:spacing w:val="-2"/>
      <w:lang w:val="x-none" w:eastAsia="x-none"/>
    </w:rPr>
  </w:style>
  <w:style w:type="character" w:styleId="Odwoaniedokomentarza">
    <w:name w:val="annotation reference"/>
    <w:basedOn w:val="Domylnaczcionkaakapitu"/>
    <w:uiPriority w:val="99"/>
    <w:semiHidden/>
    <w:unhideWhenUsed/>
    <w:rsid w:val="007B1D67"/>
    <w:rPr>
      <w:sz w:val="16"/>
      <w:szCs w:val="16"/>
    </w:rPr>
  </w:style>
  <w:style w:type="paragraph" w:styleId="Tekstkomentarza">
    <w:name w:val="annotation text"/>
    <w:basedOn w:val="Normalny"/>
    <w:link w:val="TekstkomentarzaZnak"/>
    <w:uiPriority w:val="99"/>
    <w:unhideWhenUsed/>
    <w:rsid w:val="007B1D67"/>
    <w:pPr>
      <w:spacing w:line="240" w:lineRule="auto"/>
    </w:pPr>
    <w:rPr>
      <w:sz w:val="20"/>
      <w:szCs w:val="20"/>
    </w:rPr>
  </w:style>
  <w:style w:type="character" w:customStyle="1" w:styleId="TekstkomentarzaZnak">
    <w:name w:val="Tekst komentarza Znak"/>
    <w:basedOn w:val="Domylnaczcionkaakapitu"/>
    <w:link w:val="Tekstkomentarza"/>
    <w:uiPriority w:val="99"/>
    <w:rsid w:val="007B1D67"/>
    <w:rPr>
      <w:sz w:val="20"/>
      <w:szCs w:val="20"/>
    </w:rPr>
  </w:style>
  <w:style w:type="paragraph" w:styleId="Poprawka">
    <w:name w:val="Revision"/>
    <w:hidden/>
    <w:uiPriority w:val="99"/>
    <w:semiHidden/>
    <w:rsid w:val="007B1D67"/>
    <w:pPr>
      <w:spacing w:after="0" w:line="240" w:lineRule="auto"/>
    </w:pPr>
  </w:style>
  <w:style w:type="character" w:customStyle="1" w:styleId="tekst">
    <w:name w:val="tekst"/>
    <w:basedOn w:val="Domylnaczcionkaakapitu"/>
    <w:rsid w:val="00956E3C"/>
  </w:style>
  <w:style w:type="character" w:customStyle="1" w:styleId="Stopka0">
    <w:name w:val="Stopka_"/>
    <w:link w:val="Stopka3"/>
    <w:rsid w:val="00956E3C"/>
    <w:rPr>
      <w:rFonts w:ascii="Times New Roman" w:eastAsia="Times New Roman" w:hAnsi="Times New Roman" w:cs="Times New Roman"/>
      <w:sz w:val="19"/>
      <w:szCs w:val="19"/>
      <w:shd w:val="clear" w:color="auto" w:fill="FFFFFF"/>
    </w:rPr>
  </w:style>
  <w:style w:type="character" w:customStyle="1" w:styleId="StopkaKursywa">
    <w:name w:val="Stopka + Kursywa"/>
    <w:rsid w:val="00956E3C"/>
    <w:rPr>
      <w:rFonts w:ascii="Times New Roman" w:eastAsia="Times New Roman" w:hAnsi="Times New Roman" w:cs="Times New Roman"/>
      <w:b w:val="0"/>
      <w:bCs w:val="0"/>
      <w:i/>
      <w:iCs/>
      <w:smallCaps w:val="0"/>
      <w:strike w:val="0"/>
      <w:color w:val="000000"/>
      <w:spacing w:val="0"/>
      <w:w w:val="100"/>
      <w:position w:val="0"/>
      <w:sz w:val="19"/>
      <w:szCs w:val="19"/>
      <w:u w:val="none"/>
      <w:lang w:val="pl-PL" w:eastAsia="pl-PL" w:bidi="pl-PL"/>
    </w:rPr>
  </w:style>
  <w:style w:type="character" w:customStyle="1" w:styleId="Stopka2">
    <w:name w:val="Stopka (2)_"/>
    <w:link w:val="Stopka20"/>
    <w:rsid w:val="00956E3C"/>
    <w:rPr>
      <w:rFonts w:ascii="Times New Roman" w:eastAsia="Times New Roman" w:hAnsi="Times New Roman" w:cs="Times New Roman"/>
      <w:i/>
      <w:iCs/>
      <w:sz w:val="19"/>
      <w:szCs w:val="19"/>
      <w:shd w:val="clear" w:color="auto" w:fill="FFFFFF"/>
    </w:rPr>
  </w:style>
  <w:style w:type="character" w:customStyle="1" w:styleId="Stopka2Bezkursywy">
    <w:name w:val="Stopka (2) + Bez kursywy"/>
    <w:rsid w:val="00956E3C"/>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eastAsia="pl-PL" w:bidi="pl-PL"/>
    </w:rPr>
  </w:style>
  <w:style w:type="character" w:customStyle="1" w:styleId="Stopka1">
    <w:name w:val="Stopka1"/>
    <w:rsid w:val="00956E3C"/>
    <w:rPr>
      <w:rFonts w:ascii="Times New Roman" w:eastAsia="Times New Roman" w:hAnsi="Times New Roman" w:cs="Times New Roman"/>
      <w:b w:val="0"/>
      <w:bCs w:val="0"/>
      <w:i w:val="0"/>
      <w:iCs w:val="0"/>
      <w:smallCaps w:val="0"/>
      <w:strike w:val="0"/>
      <w:color w:val="0000FF"/>
      <w:spacing w:val="0"/>
      <w:w w:val="100"/>
      <w:position w:val="0"/>
      <w:sz w:val="19"/>
      <w:szCs w:val="19"/>
      <w:u w:val="single"/>
      <w:lang w:val="en-US" w:eastAsia="en-US" w:bidi="en-US"/>
    </w:rPr>
  </w:style>
  <w:style w:type="character" w:customStyle="1" w:styleId="Teksttreci2">
    <w:name w:val="Tekst treści (2)_"/>
    <w:link w:val="Teksttreci20"/>
    <w:rsid w:val="00956E3C"/>
    <w:rPr>
      <w:rFonts w:ascii="Times New Roman" w:eastAsia="Times New Roman" w:hAnsi="Times New Roman" w:cs="Times New Roman"/>
      <w:shd w:val="clear" w:color="auto" w:fill="FFFFFF"/>
    </w:rPr>
  </w:style>
  <w:style w:type="character" w:customStyle="1" w:styleId="Teksttreci412ptBezpogrubienia">
    <w:name w:val="Tekst treści (4) + 12 pt;Bez pogrubienia"/>
    <w:rsid w:val="00956E3C"/>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eastAsia="pl-PL" w:bidi="pl-PL"/>
    </w:rPr>
  </w:style>
  <w:style w:type="paragraph" w:customStyle="1" w:styleId="Stopka3">
    <w:name w:val="Stopka3"/>
    <w:basedOn w:val="Normalny"/>
    <w:link w:val="Stopka0"/>
    <w:rsid w:val="00956E3C"/>
    <w:pPr>
      <w:widowControl w:val="0"/>
      <w:shd w:val="clear" w:color="auto" w:fill="FFFFFF"/>
      <w:spacing w:after="0" w:line="230" w:lineRule="exact"/>
      <w:jc w:val="both"/>
    </w:pPr>
    <w:rPr>
      <w:rFonts w:ascii="Times New Roman" w:eastAsia="Times New Roman" w:hAnsi="Times New Roman" w:cs="Times New Roman"/>
      <w:sz w:val="19"/>
      <w:szCs w:val="19"/>
    </w:rPr>
  </w:style>
  <w:style w:type="paragraph" w:customStyle="1" w:styleId="Stopka20">
    <w:name w:val="Stopka (2)"/>
    <w:basedOn w:val="Normalny"/>
    <w:link w:val="Stopka2"/>
    <w:rsid w:val="00956E3C"/>
    <w:pPr>
      <w:widowControl w:val="0"/>
      <w:shd w:val="clear" w:color="auto" w:fill="FFFFFF"/>
      <w:spacing w:after="0" w:line="230" w:lineRule="exact"/>
      <w:jc w:val="both"/>
    </w:pPr>
    <w:rPr>
      <w:rFonts w:ascii="Times New Roman" w:eastAsia="Times New Roman" w:hAnsi="Times New Roman" w:cs="Times New Roman"/>
      <w:i/>
      <w:iCs/>
      <w:sz w:val="19"/>
      <w:szCs w:val="19"/>
    </w:rPr>
  </w:style>
  <w:style w:type="paragraph" w:customStyle="1" w:styleId="Teksttreci20">
    <w:name w:val="Tekst treści (2)"/>
    <w:basedOn w:val="Normalny"/>
    <w:link w:val="Teksttreci2"/>
    <w:rsid w:val="00956E3C"/>
    <w:pPr>
      <w:widowControl w:val="0"/>
      <w:shd w:val="clear" w:color="auto" w:fill="FFFFFF"/>
      <w:spacing w:before="480" w:after="120" w:line="317" w:lineRule="exact"/>
      <w:jc w:val="both"/>
    </w:pPr>
    <w:rPr>
      <w:rFonts w:ascii="Times New Roman" w:eastAsia="Times New Roman" w:hAnsi="Times New Roman" w:cs="Times New Roman"/>
    </w:rPr>
  </w:style>
  <w:style w:type="paragraph" w:styleId="Tekstpodstawowyzwciciem">
    <w:name w:val="Body Text First Indent"/>
    <w:basedOn w:val="Tekstpodstawowy"/>
    <w:link w:val="TekstpodstawowyzwciciemZnak"/>
    <w:uiPriority w:val="99"/>
    <w:unhideWhenUsed/>
    <w:rsid w:val="005270A2"/>
    <w:pPr>
      <w:suppressAutoHyphens w:val="0"/>
      <w:spacing w:after="200"/>
      <w:ind w:firstLine="360"/>
    </w:pPr>
    <w:rPr>
      <w:rFonts w:asciiTheme="minorHAnsi" w:eastAsiaTheme="minorHAnsi" w:hAnsiTheme="minorHAnsi" w:cstheme="minorBidi"/>
      <w:lang w:eastAsia="en-US"/>
    </w:rPr>
  </w:style>
  <w:style w:type="character" w:customStyle="1" w:styleId="TekstpodstawowyzwciciemZnak">
    <w:name w:val="Tekst podstawowy z wcięciem Znak"/>
    <w:basedOn w:val="TekstpodstawowyZnak1"/>
    <w:link w:val="Tekstpodstawowyzwciciem"/>
    <w:uiPriority w:val="99"/>
    <w:rsid w:val="005270A2"/>
    <w:rPr>
      <w:rFonts w:ascii="Calibri" w:eastAsia="Calibri" w:hAnsi="Calibri" w:cs="Times New Roman"/>
      <w:lang w:eastAsia="ar-SA"/>
    </w:rPr>
  </w:style>
  <w:style w:type="paragraph" w:styleId="Listapunktowana">
    <w:name w:val="List Bullet"/>
    <w:basedOn w:val="Normalny"/>
    <w:uiPriority w:val="99"/>
    <w:unhideWhenUsed/>
    <w:rsid w:val="005270A2"/>
    <w:pPr>
      <w:numPr>
        <w:numId w:val="17"/>
      </w:numPr>
      <w:contextualSpacing/>
    </w:pPr>
  </w:style>
  <w:style w:type="character" w:styleId="Hipercze">
    <w:name w:val="Hyperlink"/>
    <w:basedOn w:val="Domylnaczcionkaakapitu"/>
    <w:uiPriority w:val="99"/>
    <w:unhideWhenUsed/>
    <w:rsid w:val="005270A2"/>
    <w:rPr>
      <w:color w:val="0000FF" w:themeColor="hyperlink"/>
      <w:u w:val="single"/>
    </w:rPr>
  </w:style>
  <w:style w:type="character" w:customStyle="1" w:styleId="Brak">
    <w:name w:val="Brak"/>
    <w:rsid w:val="004538EE"/>
  </w:style>
  <w:style w:type="paragraph" w:customStyle="1" w:styleId="Literatura">
    <w:name w:val="Literatura"/>
    <w:basedOn w:val="Normalny"/>
    <w:link w:val="LiteraturaZnak"/>
    <w:rsid w:val="004538EE"/>
    <w:pPr>
      <w:keepNext/>
      <w:tabs>
        <w:tab w:val="left" w:pos="1260"/>
      </w:tabs>
      <w:autoSpaceDE w:val="0"/>
      <w:autoSpaceDN w:val="0"/>
      <w:adjustRightInd w:val="0"/>
      <w:spacing w:before="60" w:after="0" w:line="240" w:lineRule="auto"/>
      <w:ind w:left="851" w:hanging="851"/>
      <w:jc w:val="both"/>
    </w:pPr>
    <w:rPr>
      <w:rFonts w:ascii="Times New Roman" w:eastAsia="Calibri" w:hAnsi="Times New Roman" w:cs="Times New Roman"/>
      <w:lang w:val="en-US" w:eastAsia="pl-PL"/>
    </w:rPr>
  </w:style>
  <w:style w:type="character" w:customStyle="1" w:styleId="LiteraturaZnak">
    <w:name w:val="Literatura Znak"/>
    <w:basedOn w:val="Domylnaczcionkaakapitu"/>
    <w:link w:val="Literatura"/>
    <w:locked/>
    <w:rsid w:val="004538EE"/>
    <w:rPr>
      <w:rFonts w:ascii="Times New Roman" w:eastAsia="Calibri" w:hAnsi="Times New Roman" w:cs="Times New Roman"/>
      <w:lang w:val="en-US" w:eastAsia="pl-PL"/>
    </w:rPr>
  </w:style>
  <w:style w:type="paragraph" w:customStyle="1" w:styleId="EGONormalny">
    <w:name w:val="EGO Normalny"/>
    <w:basedOn w:val="Normalny"/>
    <w:link w:val="EGONormalnyZnak"/>
    <w:qFormat/>
    <w:rsid w:val="00504EE2"/>
    <w:pPr>
      <w:spacing w:after="120"/>
      <w:ind w:firstLine="426"/>
      <w:jc w:val="both"/>
    </w:pPr>
    <w:rPr>
      <w:rFonts w:ascii="Calibri" w:eastAsia="Calibri" w:hAnsi="Calibri" w:cs="Times New Roman"/>
      <w:sz w:val="20"/>
      <w:szCs w:val="20"/>
      <w:lang w:val="x-none" w:eastAsia="x-none"/>
    </w:rPr>
  </w:style>
  <w:style w:type="character" w:customStyle="1" w:styleId="EGONormalnyZnak">
    <w:name w:val="EGO Normalny Znak"/>
    <w:link w:val="EGONormalny"/>
    <w:rsid w:val="00504EE2"/>
    <w:rPr>
      <w:rFonts w:ascii="Calibri" w:eastAsia="Calibri" w:hAnsi="Calibri" w:cs="Times New Roman"/>
      <w:sz w:val="20"/>
      <w:szCs w:val="20"/>
      <w:lang w:val="x-none" w:eastAsia="x-none"/>
    </w:rPr>
  </w:style>
  <w:style w:type="paragraph" w:styleId="Tekstpodstawowywcity">
    <w:name w:val="Body Text Indent"/>
    <w:basedOn w:val="Normalny"/>
    <w:link w:val="TekstpodstawowywcityZnak"/>
    <w:uiPriority w:val="99"/>
    <w:unhideWhenUsed/>
    <w:rsid w:val="00D30FE6"/>
    <w:pPr>
      <w:spacing w:after="120"/>
      <w:ind w:left="283"/>
    </w:pPr>
  </w:style>
  <w:style w:type="character" w:customStyle="1" w:styleId="TekstpodstawowywcityZnak">
    <w:name w:val="Tekst podstawowy wcięty Znak"/>
    <w:basedOn w:val="Domylnaczcionkaakapitu"/>
    <w:link w:val="Tekstpodstawowywcity"/>
    <w:uiPriority w:val="99"/>
    <w:rsid w:val="00D30FE6"/>
  </w:style>
  <w:style w:type="character" w:customStyle="1" w:styleId="Nagwek2Znak">
    <w:name w:val="Nagłówek 2 Znak"/>
    <w:basedOn w:val="Domylnaczcionkaakapitu"/>
    <w:link w:val="Nagwek2"/>
    <w:uiPriority w:val="9"/>
    <w:rsid w:val="003B1DFB"/>
    <w:rPr>
      <w:rFonts w:eastAsiaTheme="majorEastAsia" w:cstheme="majorBidi"/>
      <w:b/>
      <w:bCs/>
      <w:i/>
      <w:sz w:val="26"/>
      <w:szCs w:val="26"/>
    </w:rPr>
  </w:style>
  <w:style w:type="paragraph" w:styleId="Spistreci2">
    <w:name w:val="toc 2"/>
    <w:basedOn w:val="Normalny"/>
    <w:next w:val="Normalny"/>
    <w:autoRedefine/>
    <w:uiPriority w:val="39"/>
    <w:unhideWhenUsed/>
    <w:rsid w:val="003B1DFB"/>
    <w:pPr>
      <w:spacing w:after="100"/>
      <w:ind w:left="220"/>
    </w:pPr>
  </w:style>
  <w:style w:type="paragraph" w:styleId="Spistreci1">
    <w:name w:val="toc 1"/>
    <w:basedOn w:val="Normalny"/>
    <w:next w:val="Normalny"/>
    <w:autoRedefine/>
    <w:uiPriority w:val="39"/>
    <w:unhideWhenUsed/>
    <w:rsid w:val="003B1DFB"/>
    <w:pPr>
      <w:spacing w:after="100"/>
    </w:pPr>
  </w:style>
  <w:style w:type="paragraph" w:styleId="Nagwekspisutreci">
    <w:name w:val="TOC Heading"/>
    <w:basedOn w:val="Nagwek1"/>
    <w:next w:val="Normalny"/>
    <w:uiPriority w:val="39"/>
    <w:semiHidden/>
    <w:unhideWhenUsed/>
    <w:qFormat/>
    <w:rsid w:val="00812649"/>
    <w:pPr>
      <w:spacing w:before="480"/>
      <w:outlineLvl w:val="9"/>
    </w:pPr>
    <w:rPr>
      <w:b/>
      <w:bCs/>
      <w:sz w:val="28"/>
      <w:szCs w:val="28"/>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png"/><Relationship Id="rId26" Type="http://schemas.openxmlformats.org/officeDocument/2006/relationships/image" Target="media/image12.emf"/><Relationship Id="rId39" Type="http://schemas.openxmlformats.org/officeDocument/2006/relationships/image" Target="media/image22.png"/><Relationship Id="rId21" Type="http://schemas.openxmlformats.org/officeDocument/2006/relationships/image" Target="media/image8.jpeg"/><Relationship Id="rId34" Type="http://schemas.openxmlformats.org/officeDocument/2006/relationships/image" Target="media/image18.png"/><Relationship Id="rId42" Type="http://schemas.openxmlformats.org/officeDocument/2006/relationships/image" Target="media/image25.emf"/><Relationship Id="rId47" Type="http://schemas.openxmlformats.org/officeDocument/2006/relationships/chart" Target="charts/chart13.xml"/><Relationship Id="rId50" Type="http://schemas.openxmlformats.org/officeDocument/2006/relationships/image" Target="media/image29.png"/><Relationship Id="rId55" Type="http://schemas.openxmlformats.org/officeDocument/2006/relationships/chart" Target="charts/chart16.xml"/><Relationship Id="rId63" Type="http://schemas.openxmlformats.org/officeDocument/2006/relationships/hyperlink" Target="http://geoserwis.gdos.gov.pl/mapy/" TargetMode="External"/><Relationship Id="rId68" Type="http://schemas.openxmlformats.org/officeDocument/2006/relationships/chart" Target="charts/chart26.xml"/><Relationship Id="rId76" Type="http://schemas.openxmlformats.org/officeDocument/2006/relationships/image" Target="media/image38.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chart" Target="charts/chart9.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6.emf"/><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1.png"/><Relationship Id="rId58" Type="http://schemas.openxmlformats.org/officeDocument/2006/relationships/chart" Target="charts/chart18.xml"/><Relationship Id="rId66" Type="http://schemas.openxmlformats.org/officeDocument/2006/relationships/chart" Target="charts/chart24.xml"/><Relationship Id="rId74" Type="http://schemas.openxmlformats.org/officeDocument/2006/relationships/image" Target="media/image37.png"/><Relationship Id="rId79" Type="http://schemas.openxmlformats.org/officeDocument/2006/relationships/chart" Target="charts/chart30.xml"/><Relationship Id="rId5" Type="http://schemas.openxmlformats.org/officeDocument/2006/relationships/webSettings" Target="webSettings.xml"/><Relationship Id="rId61" Type="http://schemas.openxmlformats.org/officeDocument/2006/relationships/chart" Target="charts/chart21.xml"/><Relationship Id="rId82" Type="http://schemas.openxmlformats.org/officeDocument/2006/relationships/chart" Target="charts/chart32.xml"/><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image" Target="media/image9.jpeg"/><Relationship Id="rId27" Type="http://schemas.openxmlformats.org/officeDocument/2006/relationships/chart" Target="charts/chart8.xml"/><Relationship Id="rId30" Type="http://schemas.openxmlformats.org/officeDocument/2006/relationships/image" Target="media/image14.emf"/><Relationship Id="rId35" Type="http://schemas.openxmlformats.org/officeDocument/2006/relationships/image" Target="media/image19.png"/><Relationship Id="rId43" Type="http://schemas.openxmlformats.org/officeDocument/2006/relationships/image" Target="media/image26.emf"/><Relationship Id="rId48" Type="http://schemas.openxmlformats.org/officeDocument/2006/relationships/chart" Target="charts/chart14.xml"/><Relationship Id="rId56" Type="http://schemas.openxmlformats.org/officeDocument/2006/relationships/image" Target="media/image33.png"/><Relationship Id="rId64" Type="http://schemas.openxmlformats.org/officeDocument/2006/relationships/chart" Target="charts/chart22.xml"/><Relationship Id="rId69" Type="http://schemas.openxmlformats.org/officeDocument/2006/relationships/chart" Target="charts/chart27.xml"/><Relationship Id="rId77" Type="http://schemas.openxmlformats.org/officeDocument/2006/relationships/hyperlink" Target="http://www.innowacyjna.zpp.pl/" TargetMode="External"/><Relationship Id="rId8" Type="http://schemas.openxmlformats.org/officeDocument/2006/relationships/image" Target="media/image1.jpeg"/><Relationship Id="rId51" Type="http://schemas.openxmlformats.org/officeDocument/2006/relationships/chart" Target="charts/chart15.xml"/><Relationship Id="rId72" Type="http://schemas.openxmlformats.org/officeDocument/2006/relationships/hyperlink" Target="http://geoserwis.gdos.gov.pl/mapy/" TargetMode="External"/><Relationship Id="rId80" Type="http://schemas.openxmlformats.org/officeDocument/2006/relationships/image" Target="media/image39.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chart" Target="charts/chart7.xm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chart" Target="charts/chart12.xml"/><Relationship Id="rId59" Type="http://schemas.openxmlformats.org/officeDocument/2006/relationships/chart" Target="charts/chart19.xml"/><Relationship Id="rId67" Type="http://schemas.openxmlformats.org/officeDocument/2006/relationships/chart" Target="charts/chart25.xml"/><Relationship Id="rId20" Type="http://schemas.openxmlformats.org/officeDocument/2006/relationships/chart" Target="charts/chart6.xml"/><Relationship Id="rId41" Type="http://schemas.openxmlformats.org/officeDocument/2006/relationships/image" Target="media/image24.emf"/><Relationship Id="rId54" Type="http://schemas.openxmlformats.org/officeDocument/2006/relationships/image" Target="media/image32.png"/><Relationship Id="rId62" Type="http://schemas.openxmlformats.org/officeDocument/2006/relationships/image" Target="media/image34.png"/><Relationship Id="rId70" Type="http://schemas.openxmlformats.org/officeDocument/2006/relationships/image" Target="media/image35.png"/><Relationship Id="rId75" Type="http://schemas.openxmlformats.org/officeDocument/2006/relationships/hyperlink" Target="http://geoserwis.gdos.gov.pl/mapy/"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chart" Target="charts/chart10.xml"/><Relationship Id="rId49" Type="http://schemas.openxmlformats.org/officeDocument/2006/relationships/image" Target="media/image28.png"/><Relationship Id="rId57" Type="http://schemas.openxmlformats.org/officeDocument/2006/relationships/chart" Target="charts/chart17.xml"/><Relationship Id="rId10" Type="http://schemas.openxmlformats.org/officeDocument/2006/relationships/image" Target="media/image3.png"/><Relationship Id="rId31" Type="http://schemas.openxmlformats.org/officeDocument/2006/relationships/image" Target="media/image15.emf"/><Relationship Id="rId44" Type="http://schemas.openxmlformats.org/officeDocument/2006/relationships/chart" Target="charts/chart11.xml"/><Relationship Id="rId52" Type="http://schemas.openxmlformats.org/officeDocument/2006/relationships/image" Target="media/image30.png"/><Relationship Id="rId60" Type="http://schemas.openxmlformats.org/officeDocument/2006/relationships/chart" Target="charts/chart20.xml"/><Relationship Id="rId65" Type="http://schemas.openxmlformats.org/officeDocument/2006/relationships/chart" Target="charts/chart23.xml"/><Relationship Id="rId73" Type="http://schemas.openxmlformats.org/officeDocument/2006/relationships/chart" Target="charts/chart28.xml"/><Relationship Id="rId78" Type="http://schemas.openxmlformats.org/officeDocument/2006/relationships/chart" Target="charts/chart29.xml"/><Relationship Id="rId81" Type="http://schemas.openxmlformats.org/officeDocument/2006/relationships/chart" Target="charts/chart31.xml"/></Relationships>
</file>

<file path=word/_rels/footnotes.xml.rels><?xml version="1.0" encoding="UTF-8" standalone="yes"?>
<Relationships xmlns="http://schemas.openxmlformats.org/package/2006/relationships"><Relationship Id="rId3" Type="http://schemas.openxmlformats.org/officeDocument/2006/relationships/hyperlink" Target="http://www.mg.gov.pl/node/18029" TargetMode="External"/><Relationship Id="rId7" Type="http://schemas.openxmlformats.org/officeDocument/2006/relationships/hyperlink" Target="https://docs.google.com/spreadsheet/ccc?key=0ApexQCvca3htdDNrMzk2LVptUnRidkNLTU5xQlVoTXc" TargetMode="External"/><Relationship Id="rId2" Type="http://schemas.openxmlformats.org/officeDocument/2006/relationships/hyperlink" Target="http://www.euro.who.int/__data/assets/pdf_file/0008/136466/e94888.pdf" TargetMode="External"/><Relationship Id="rId1" Type="http://schemas.openxmlformats.org/officeDocument/2006/relationships/hyperlink" Target="http://www.kobize.pl/uploads/materialy/materialy_do_pobrania/krajowa_inwentaryzacja_emisji/NIR_2017_POL_May.pdf" TargetMode="External"/><Relationship Id="rId6" Type="http://schemas.openxmlformats.org/officeDocument/2006/relationships/hyperlink" Target="http://www.komisjafaunistyczna.pl/kf-pl/kfw_p3_lista.html" TargetMode="External"/><Relationship Id="rId5" Type="http://schemas.openxmlformats.org/officeDocument/2006/relationships/hyperlink" Target="http://www.gdos.gov.pl/files/Konwencje/ramsarska/strategia_ochrony_plan_dzialan.pdf" TargetMode="External"/><Relationship Id="rId4" Type="http://schemas.openxmlformats.org/officeDocument/2006/relationships/hyperlink" Target="http://www.lasy.gov.pl/dokumenty/raporty/raport-o-stanie-lasow-w-polsce-2012-rok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t.zalewski\Downloads\raport%20wska&#378;nikowy%20rzeki%20ocena%20wykresy.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nna.olecka\Dokumenty\ESD\emisje%20non%20ETS%202005-2015%20i%20projekcje%20BR2%202015%20%20base%20year%202005%20new%20and%202015%20after%20TERT%202017.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homik\JI\NON-ETS\Dane\Dane_nadwy&#380;ka_2017\ESD%202013-2020%20PL%204.10.2017.xlsx" TargetMode="Externa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ewelina.siwiec\Desktop\Kopia%20Straty_og&#243;lemuzupelnione_IBS2208.xlsx"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ewelina.siwiec\Desktop\Straty%20Polska.xlsx"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Arkusz_programu_Microsoft_Excel4.xlsx"/><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jkwapisz\Documents\Joanna\GLEBY%20-polityka%20resortu\GUS%20GLEBY%20u&#380;ytkowanie.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nero\DZM\4.%20Wydzia&#322;%20Koordynacji%20Strategicznej\11.%20PEP%20Polityka%20ekologiczna%20pa&#324;stwa%202030\Diagnoza\1017%20diagnoza%20uwagi\powierzchnia%20ziemi\05_Polityka%20ekologiczna%20pa+&#228;stwa%202030_Powierzchnia%20ziemi_dane%20do%20wykresow.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RAPORT%202014\zaakceptowane%20poprawki%20GRID%2001.2014\raport_wykresy_15.01.2014.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t.zalewski\Downloads\raport%20wska&#378;nikowy%20rzeki%20ocena%20wykresy.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m.ostasiewicz\AppData\Local\Microsoft\Windows\INetCache\Content.Outlook\U8WT1C8D\Trendy_MPP_2015_aktMarzec2015_popr.xlsx" TargetMode="External"/></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nero\DZM\4.%20Wydzia&#322;%20Koordynacji%20Strategicznej\11.%20PEP%20Polityka%20ekologiczna%20pa&#324;stwa%202030\Diagnoza\1017%20diagnoza%20uwagi\odpady\04_Polityka%20ekologiczna%20pa+&#228;stwa%202030_Odpady_dane%20do%20wykresow.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nero\DZM\4.%20Wydzia&#322;%20Koordynacji%20Strategicznej\11.%20PEP%20Polityka%20ekologiczna%20pa&#324;stwa%202030\Diagnoza\1017%20diagnoza%20uwagi\odpady\Kopia%2004_Polityka%20ekologiczna%20pa+&#228;stwa%202030_Odpady_dane%20do%20wykresow-ac.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nero\DZM\4.%20Wydzia&#322;%20Koordynacji%20Strategicznej\11.%20PEP%20Polityka%20ekologiczna%20pa&#324;stwa%202030\Diagnoza\1017%20diagnoza%20uwagi\odpady\04_Polityka%20ekologiczna%20pa+&#228;stwa%202030_Odpady_dane%20do%20wykresow.xlsx" TargetMode="External"/></Relationships>
</file>

<file path=word/charts/_rels/chart25.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_rels/chart27.xml.rels><?xml version="1.0" encoding="UTF-8" standalone="yes"?>
<Relationships xmlns="http://schemas.openxmlformats.org/package/2006/relationships"><Relationship Id="rId1" Type="http://schemas.openxmlformats.org/officeDocument/2006/relationships/oleObject" Target="file:///C:\Users\jfilipow\Documents\JF\Wydz.op\ROZPORZ&#260;DZENIA\BATERYJNA\art.%2040%20ust.%202%20-%20stawka%20op&#322;aty%20produktowej\spotkanie%20konsultacyjne\poziomy%20zbierania%20w%20wojew&#243;dztwach.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_rels/chart29.xml.rels><?xml version="1.0" encoding="UTF-8" standalone="yes"?>
<Relationships xmlns="http://schemas.openxmlformats.org/package/2006/relationships"><Relationship Id="rId2" Type="http://schemas.openxmlformats.org/officeDocument/2006/relationships/package" Target="../embeddings/Arkusz_programu_Microsoft_Excel10.xlsx"/><Relationship Id="rId1" Type="http://schemas.openxmlformats.org/officeDocument/2006/relationships/themeOverride" Target="../theme/themeOverride9.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t.zalewski\Downloads\raport%20wska&#378;nikowy%20rzeki%20ocena%20wykresy.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Arkusz_programu_Microsoft_Excel11.xlsx"/><Relationship Id="rId1" Type="http://schemas.openxmlformats.org/officeDocument/2006/relationships/themeOverride" Target="../theme/themeOverride1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Arkusz_programu_Microsoft_Excel12.xlsx"/><Relationship Id="rId1" Type="http://schemas.openxmlformats.org/officeDocument/2006/relationships/themeOverride" Target="../theme/themeOverride1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Arkusz_programu_Microsoft_Excel13.xlsx"/><Relationship Id="rId1" Type="http://schemas.openxmlformats.org/officeDocument/2006/relationships/themeOverride" Target="../theme/themeOverride12.xml"/></Relationships>
</file>

<file path=word/charts/_rels/chart4.xml.rels><?xml version="1.0" encoding="UTF-8" standalone="yes"?>
<Relationships xmlns="http://schemas.openxmlformats.org/package/2006/relationships"><Relationship Id="rId1" Type="http://schemas.openxmlformats.org/officeDocument/2006/relationships/oleObject" Target="file:///D:\t.zalewski\Prace_DM\2017\Sprawozdanie%20z%20dzia&#322;alno&#347;ci%20IO&#346;\wykresy%20(Automatycznie%20zapisany).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m.dudek\Desktop\UDOST&#280;PNIANIE_DANYCH\RAPORT%20WSKA&#377;NIKOWY\jeziora_reperowe_2009_2015_DO_WYKRES&#211;W.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dudek\Desktop\OSADY_MONITORING\RAPORT%20WSKA&#377;NIKOWY\rzeki_ALL.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latin typeface="+mn-lt"/>
              </a:defRPr>
            </a:pPr>
            <a:r>
              <a:rPr lang="pl-PL" sz="1200" b="0" baseline="0">
                <a:latin typeface="+mn-lt"/>
              </a:rPr>
              <a:t>Stan/potencjał ekologiczny</a:t>
            </a:r>
          </a:p>
        </c:rich>
      </c:tx>
      <c:layout>
        <c:manualLayout>
          <c:xMode val="edge"/>
          <c:yMode val="edge"/>
          <c:x val="5.5645268861873552E-4"/>
          <c:y val="2.6215491182905452E-2"/>
        </c:manualLayout>
      </c:layout>
      <c:overlay val="0"/>
    </c:title>
    <c:autoTitleDeleted val="0"/>
    <c:plotArea>
      <c:layout>
        <c:manualLayout>
          <c:layoutTarget val="inner"/>
          <c:xMode val="edge"/>
          <c:yMode val="edge"/>
          <c:x val="0.47338604186952277"/>
          <c:y val="0.2634129874012065"/>
          <c:w val="0.4902104670531679"/>
          <c:h val="0.69513391212025222"/>
        </c:manualLayout>
      </c:layout>
      <c:pieChart>
        <c:varyColors val="1"/>
        <c:ser>
          <c:idx val="0"/>
          <c:order val="0"/>
          <c:dPt>
            <c:idx val="0"/>
            <c:bubble3D val="0"/>
            <c:spPr>
              <a:solidFill>
                <a:srgbClr val="0070C0"/>
              </a:solidFill>
            </c:spPr>
            <c:extLst xmlns:c16r2="http://schemas.microsoft.com/office/drawing/2015/06/chart">
              <c:ext xmlns:c16="http://schemas.microsoft.com/office/drawing/2014/chart" uri="{C3380CC4-5D6E-409C-BE32-E72D297353CC}">
                <c16:uniqueId val="{00000001-3F22-42C1-8D1A-51684E28049B}"/>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3F22-42C1-8D1A-51684E28049B}"/>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3F22-42C1-8D1A-51684E28049B}"/>
              </c:ext>
            </c:extLst>
          </c:dPt>
          <c:dPt>
            <c:idx val="3"/>
            <c:bubble3D val="0"/>
            <c:spPr>
              <a:solidFill>
                <a:srgbClr val="F79646"/>
              </a:solidFill>
            </c:spPr>
            <c:extLst xmlns:c16r2="http://schemas.microsoft.com/office/drawing/2015/06/chart">
              <c:ext xmlns:c16="http://schemas.microsoft.com/office/drawing/2014/chart" uri="{C3380CC4-5D6E-409C-BE32-E72D297353CC}">
                <c16:uniqueId val="{00000007-3F22-42C1-8D1A-51684E28049B}"/>
              </c:ext>
            </c:extLst>
          </c:dPt>
          <c:dPt>
            <c:idx val="4"/>
            <c:bubble3D val="0"/>
            <c:spPr>
              <a:solidFill>
                <a:srgbClr val="FF0000"/>
              </a:solidFill>
            </c:spPr>
            <c:extLst xmlns:c16r2="http://schemas.microsoft.com/office/drawing/2015/06/chart">
              <c:ext xmlns:c16="http://schemas.microsoft.com/office/drawing/2014/chart" uri="{C3380CC4-5D6E-409C-BE32-E72D297353CC}">
                <c16:uniqueId val="{00000009-3F22-42C1-8D1A-51684E28049B}"/>
              </c:ext>
            </c:extLst>
          </c:dPt>
          <c:dLbls>
            <c:dLbl>
              <c:idx val="0"/>
              <c:layout>
                <c:manualLayout>
                  <c:x val="0.16390966348605454"/>
                  <c:y val="2.9411961768109136E-2"/>
                </c:manualLayout>
              </c:layout>
              <c:tx>
                <c:rich>
                  <a:bodyPr/>
                  <a:lstStyle/>
                  <a:p>
                    <a:r>
                      <a:rPr lang="en-US" sz="800"/>
                      <a:t>Bardzo dobry/Maksymalny
1%</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F22-42C1-8D1A-51684E28049B}"/>
                </c:ext>
                <c:ext xmlns:c15="http://schemas.microsoft.com/office/drawing/2012/chart" uri="{CE6537A1-D6FC-4f65-9D91-7224C49458BB}">
                  <c15:layout/>
                </c:ext>
              </c:extLst>
            </c:dLbl>
            <c:dLbl>
              <c:idx val="2"/>
              <c:layout/>
              <c:tx>
                <c:rich>
                  <a:bodyPr/>
                  <a:lstStyle/>
                  <a:p>
                    <a:r>
                      <a:rPr lang="en-US"/>
                      <a:t>Umiarkowany
41%</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F22-42C1-8D1A-51684E28049B}"/>
                </c:ext>
                <c:ext xmlns:c15="http://schemas.microsoft.com/office/drawing/2012/chart" uri="{CE6537A1-D6FC-4f65-9D91-7224C49458BB}">
                  <c15:layout/>
                </c:ext>
              </c:extLst>
            </c:dLbl>
            <c:spPr>
              <a:noFill/>
              <a:ln>
                <a:noFill/>
              </a:ln>
              <a:effectLst/>
            </c:spPr>
            <c:txPr>
              <a:bodyPr/>
              <a:lstStyle/>
              <a:p>
                <a:pPr>
                  <a:defRPr sz="800"/>
                </a:pPr>
                <a:endParaRPr lang="pl-PL"/>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Arkusz1!$L$20:$Q$20</c:f>
              <c:strCache>
                <c:ptCount val="6"/>
                <c:pt idx="0">
                  <c:v>Maksymalny</c:v>
                </c:pt>
                <c:pt idx="1">
                  <c:v>Dobry</c:v>
                </c:pt>
                <c:pt idx="2">
                  <c:v>Umiarkowany</c:v>
                </c:pt>
                <c:pt idx="3">
                  <c:v>Słaby</c:v>
                </c:pt>
                <c:pt idx="4">
                  <c:v>Zły</c:v>
                </c:pt>
                <c:pt idx="5">
                  <c:v>Nie monitorowane</c:v>
                </c:pt>
              </c:strCache>
            </c:strRef>
          </c:cat>
          <c:val>
            <c:numRef>
              <c:f>Arkusz1!$C$65:$G$65</c:f>
              <c:numCache>
                <c:formatCode>General</c:formatCode>
                <c:ptCount val="5"/>
                <c:pt idx="0">
                  <c:v>4</c:v>
                </c:pt>
                <c:pt idx="1">
                  <c:v>141</c:v>
                </c:pt>
                <c:pt idx="2">
                  <c:v>201</c:v>
                </c:pt>
                <c:pt idx="3">
                  <c:v>100</c:v>
                </c:pt>
                <c:pt idx="4">
                  <c:v>43</c:v>
                </c:pt>
              </c:numCache>
            </c:numRef>
          </c:val>
          <c:extLst xmlns:c16r2="http://schemas.microsoft.com/office/drawing/2015/06/chart">
            <c:ext xmlns:c16="http://schemas.microsoft.com/office/drawing/2014/chart" uri="{C3380CC4-5D6E-409C-BE32-E72D297353CC}">
              <c16:uniqueId val="{0000000C-3F22-42C1-8D1A-51684E28049B}"/>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'[sieć 2016_ost.16.06.2016.xlsx]Arkusz1'!$C$3</c:f>
              <c:strCache>
                <c:ptCount val="1"/>
                <c:pt idx="0">
                  <c:v>2010</c:v>
                </c:pt>
              </c:strCache>
            </c:strRef>
          </c:tx>
          <c:spPr>
            <a:solidFill>
              <a:schemeClr val="tx2">
                <a:lumMod val="50000"/>
              </a:schemeClr>
            </a:solidFill>
            <a:ln>
              <a:noFill/>
            </a:ln>
            <a:effectLst/>
          </c:spPr>
          <c:invertIfNegative val="0"/>
          <c:cat>
            <c:strRef>
              <c:f>'[sieć 2016_ost.16.06.2016.xlsx]Arkusz1'!$B$5:$B$34</c:f>
              <c:strCache>
                <c:ptCount val="30"/>
                <c:pt idx="0">
                  <c:v>aglomeracja białostocka</c:v>
                </c:pt>
                <c:pt idx="1">
                  <c:v>aglomeracja bydgoska</c:v>
                </c:pt>
                <c:pt idx="2">
                  <c:v>aglomeracja górnośląska</c:v>
                </c:pt>
                <c:pt idx="3">
                  <c:v>aglomeracja krakowska</c:v>
                </c:pt>
                <c:pt idx="4">
                  <c:v>aglomeracja lubelska</c:v>
                </c:pt>
                <c:pt idx="5">
                  <c:v>aglomeracja łódzka</c:v>
                </c:pt>
                <c:pt idx="6">
                  <c:v>aglomeracja poznańska</c:v>
                </c:pt>
                <c:pt idx="7">
                  <c:v>aglomeracja rybnicko-jastrzębska</c:v>
                </c:pt>
                <c:pt idx="8">
                  <c:v>aglomeracja szczecińska</c:v>
                </c:pt>
                <c:pt idx="9">
                  <c:v>aglomeracja trójmiejska</c:v>
                </c:pt>
                <c:pt idx="10">
                  <c:v>aglomeracja warszawska</c:v>
                </c:pt>
                <c:pt idx="11">
                  <c:v>aglomeracja wrocławska</c:v>
                </c:pt>
                <c:pt idx="12">
                  <c:v>miasto Bielsko-Biała</c:v>
                </c:pt>
                <c:pt idx="13">
                  <c:v>miasto Częstochowa</c:v>
                </c:pt>
                <c:pt idx="14">
                  <c:v>miasto Elbląg</c:v>
                </c:pt>
                <c:pt idx="15">
                  <c:v>miasto Gorzów Wlkp,</c:v>
                </c:pt>
                <c:pt idx="16">
                  <c:v>miasto Kalisz</c:v>
                </c:pt>
                <c:pt idx="17">
                  <c:v>miasto Kielce</c:v>
                </c:pt>
                <c:pt idx="18">
                  <c:v>miasto Koszalin</c:v>
                </c:pt>
                <c:pt idx="19">
                  <c:v>miasto Legnica</c:v>
                </c:pt>
                <c:pt idx="20">
                  <c:v>miasto Olsztyn</c:v>
                </c:pt>
                <c:pt idx="21">
                  <c:v>miasto Opole</c:v>
                </c:pt>
                <c:pt idx="22">
                  <c:v>miasto Płock</c:v>
                </c:pt>
                <c:pt idx="23">
                  <c:v>miasto Radom</c:v>
                </c:pt>
                <c:pt idx="24">
                  <c:v>miasto Rzeszów</c:v>
                </c:pt>
                <c:pt idx="25">
                  <c:v>miasto Tarnów</c:v>
                </c:pt>
                <c:pt idx="26">
                  <c:v>miasto Toruń</c:v>
                </c:pt>
                <c:pt idx="27">
                  <c:v>miasto Wałbrzych</c:v>
                </c:pt>
                <c:pt idx="28">
                  <c:v>miasto Włocławek</c:v>
                </c:pt>
                <c:pt idx="29">
                  <c:v>miasto Zielona Góra</c:v>
                </c:pt>
              </c:strCache>
            </c:strRef>
          </c:cat>
          <c:val>
            <c:numRef>
              <c:f>'[sieć 2016_ost.16.06.2016.xlsx]Arkusz1'!$C$5:$C$34</c:f>
              <c:numCache>
                <c:formatCode>General</c:formatCode>
                <c:ptCount val="30"/>
                <c:pt idx="0">
                  <c:v>23.7</c:v>
                </c:pt>
                <c:pt idx="1">
                  <c:v>19.899999999999999</c:v>
                </c:pt>
                <c:pt idx="2">
                  <c:v>42.5</c:v>
                </c:pt>
                <c:pt idx="3">
                  <c:v>35.6</c:v>
                </c:pt>
                <c:pt idx="4">
                  <c:v>25.1</c:v>
                </c:pt>
                <c:pt idx="5">
                  <c:v>22.9</c:v>
                </c:pt>
                <c:pt idx="6">
                  <c:v>24.7</c:v>
                </c:pt>
                <c:pt idx="7">
                  <c:v>44.3</c:v>
                </c:pt>
                <c:pt idx="8">
                  <c:v>17.100000000000001</c:v>
                </c:pt>
                <c:pt idx="9">
                  <c:v>20</c:v>
                </c:pt>
                <c:pt idx="10">
                  <c:v>29.4</c:v>
                </c:pt>
                <c:pt idx="11">
                  <c:v>31.9</c:v>
                </c:pt>
                <c:pt idx="12">
                  <c:v>42.3</c:v>
                </c:pt>
                <c:pt idx="13">
                  <c:v>40.9</c:v>
                </c:pt>
                <c:pt idx="14">
                  <c:v>22.7</c:v>
                </c:pt>
                <c:pt idx="15">
                  <c:v>18.8</c:v>
                </c:pt>
                <c:pt idx="16">
                  <c:v>29</c:v>
                </c:pt>
                <c:pt idx="17">
                  <c:v>31.2</c:v>
                </c:pt>
                <c:pt idx="18">
                  <c:v>15.3</c:v>
                </c:pt>
                <c:pt idx="19">
                  <c:v>30.8</c:v>
                </c:pt>
                <c:pt idx="20">
                  <c:v>18.399999999999999</c:v>
                </c:pt>
                <c:pt idx="21">
                  <c:v>26.7</c:v>
                </c:pt>
                <c:pt idx="22">
                  <c:v>27.9</c:v>
                </c:pt>
                <c:pt idx="23">
                  <c:v>25.8</c:v>
                </c:pt>
                <c:pt idx="24">
                  <c:v>27.9</c:v>
                </c:pt>
                <c:pt idx="25">
                  <c:v>32.299999999999997</c:v>
                </c:pt>
                <c:pt idx="26">
                  <c:v>22.9</c:v>
                </c:pt>
                <c:pt idx="27">
                  <c:v>27.9</c:v>
                </c:pt>
                <c:pt idx="28">
                  <c:v>21.5</c:v>
                </c:pt>
                <c:pt idx="29">
                  <c:v>25.5</c:v>
                </c:pt>
              </c:numCache>
            </c:numRef>
          </c:val>
          <c:extLst xmlns:c16r2="http://schemas.microsoft.com/office/drawing/2015/06/chart">
            <c:ext xmlns:c16="http://schemas.microsoft.com/office/drawing/2014/chart" uri="{C3380CC4-5D6E-409C-BE32-E72D297353CC}">
              <c16:uniqueId val="{00000000-13AF-43B2-A562-50906747A494}"/>
            </c:ext>
          </c:extLst>
        </c:ser>
        <c:ser>
          <c:idx val="1"/>
          <c:order val="1"/>
          <c:tx>
            <c:strRef>
              <c:f>'[sieć 2016_ost.16.06.2016.xlsx]Arkusz1'!$D$3</c:f>
              <c:strCache>
                <c:ptCount val="1"/>
                <c:pt idx="0">
                  <c:v>2011</c:v>
                </c:pt>
              </c:strCache>
            </c:strRef>
          </c:tx>
          <c:spPr>
            <a:solidFill>
              <a:schemeClr val="tx2">
                <a:lumMod val="60000"/>
                <a:lumOff val="40000"/>
              </a:schemeClr>
            </a:solidFill>
            <a:ln>
              <a:noFill/>
            </a:ln>
            <a:effectLst/>
          </c:spPr>
          <c:invertIfNegative val="0"/>
          <c:val>
            <c:numRef>
              <c:f>'[sieć 2016_ost.16.06.2016.xlsx]Arkusz1'!$D$5:$D$34</c:f>
              <c:numCache>
                <c:formatCode>General</c:formatCode>
                <c:ptCount val="30"/>
                <c:pt idx="0">
                  <c:v>22.3</c:v>
                </c:pt>
                <c:pt idx="1">
                  <c:v>18.600000000000001</c:v>
                </c:pt>
                <c:pt idx="2">
                  <c:v>37.5</c:v>
                </c:pt>
                <c:pt idx="3">
                  <c:v>36.4</c:v>
                </c:pt>
                <c:pt idx="4">
                  <c:v>24.2</c:v>
                </c:pt>
                <c:pt idx="5">
                  <c:v>23.9</c:v>
                </c:pt>
                <c:pt idx="6">
                  <c:v>26.1</c:v>
                </c:pt>
                <c:pt idx="7">
                  <c:v>38.700000000000003</c:v>
                </c:pt>
                <c:pt idx="8">
                  <c:v>16.5</c:v>
                </c:pt>
                <c:pt idx="9">
                  <c:v>18.600000000000001</c:v>
                </c:pt>
                <c:pt idx="10">
                  <c:v>27.8</c:v>
                </c:pt>
                <c:pt idx="11">
                  <c:v>30.1</c:v>
                </c:pt>
                <c:pt idx="12">
                  <c:v>38.1</c:v>
                </c:pt>
                <c:pt idx="13">
                  <c:v>38.9</c:v>
                </c:pt>
                <c:pt idx="14">
                  <c:v>20.2</c:v>
                </c:pt>
                <c:pt idx="15">
                  <c:v>18.100000000000001</c:v>
                </c:pt>
                <c:pt idx="16">
                  <c:v>31.2</c:v>
                </c:pt>
                <c:pt idx="17">
                  <c:v>33.1</c:v>
                </c:pt>
                <c:pt idx="18">
                  <c:v>14</c:v>
                </c:pt>
                <c:pt idx="19">
                  <c:v>30.3</c:v>
                </c:pt>
                <c:pt idx="20">
                  <c:v>19.100000000000001</c:v>
                </c:pt>
                <c:pt idx="21">
                  <c:v>25.8</c:v>
                </c:pt>
                <c:pt idx="22">
                  <c:v>27.9</c:v>
                </c:pt>
                <c:pt idx="23">
                  <c:v>26</c:v>
                </c:pt>
                <c:pt idx="24">
                  <c:v>28.9</c:v>
                </c:pt>
                <c:pt idx="25">
                  <c:v>31.9</c:v>
                </c:pt>
                <c:pt idx="26">
                  <c:v>23.2</c:v>
                </c:pt>
                <c:pt idx="27">
                  <c:v>24.8</c:v>
                </c:pt>
                <c:pt idx="28">
                  <c:v>20.399999999999999</c:v>
                </c:pt>
                <c:pt idx="29">
                  <c:v>22.7</c:v>
                </c:pt>
              </c:numCache>
            </c:numRef>
          </c:val>
          <c:extLst xmlns:c16r2="http://schemas.microsoft.com/office/drawing/2015/06/chart">
            <c:ext xmlns:c16="http://schemas.microsoft.com/office/drawing/2014/chart" uri="{C3380CC4-5D6E-409C-BE32-E72D297353CC}">
              <c16:uniqueId val="{00000001-13AF-43B2-A562-50906747A494}"/>
            </c:ext>
          </c:extLst>
        </c:ser>
        <c:ser>
          <c:idx val="2"/>
          <c:order val="2"/>
          <c:tx>
            <c:strRef>
              <c:f>'[sieć 2016_ost.16.06.2016.xlsx]Arkusz1'!$E$3</c:f>
              <c:strCache>
                <c:ptCount val="1"/>
                <c:pt idx="0">
                  <c:v>2012</c:v>
                </c:pt>
              </c:strCache>
            </c:strRef>
          </c:tx>
          <c:spPr>
            <a:solidFill>
              <a:schemeClr val="tx2">
                <a:lumMod val="40000"/>
                <a:lumOff val="60000"/>
              </a:schemeClr>
            </a:solidFill>
            <a:ln>
              <a:noFill/>
            </a:ln>
            <a:effectLst/>
          </c:spPr>
          <c:invertIfNegative val="0"/>
          <c:val>
            <c:numRef>
              <c:f>'[sieć 2016_ost.16.06.2016.xlsx]Arkusz1'!$E$5:$E$34</c:f>
              <c:numCache>
                <c:formatCode>General</c:formatCode>
                <c:ptCount val="30"/>
                <c:pt idx="0">
                  <c:v>22.3</c:v>
                </c:pt>
                <c:pt idx="1">
                  <c:v>18.600000000000001</c:v>
                </c:pt>
                <c:pt idx="2">
                  <c:v>36.4</c:v>
                </c:pt>
                <c:pt idx="3">
                  <c:v>38.1</c:v>
                </c:pt>
                <c:pt idx="4">
                  <c:v>23.6</c:v>
                </c:pt>
                <c:pt idx="5">
                  <c:v>24.1</c:v>
                </c:pt>
                <c:pt idx="6">
                  <c:v>25.5</c:v>
                </c:pt>
                <c:pt idx="7">
                  <c:v>36.6</c:v>
                </c:pt>
                <c:pt idx="8">
                  <c:v>16</c:v>
                </c:pt>
                <c:pt idx="9">
                  <c:v>17.8</c:v>
                </c:pt>
                <c:pt idx="10">
                  <c:v>26.6</c:v>
                </c:pt>
                <c:pt idx="11">
                  <c:v>29</c:v>
                </c:pt>
                <c:pt idx="12">
                  <c:v>36.799999999999997</c:v>
                </c:pt>
                <c:pt idx="13">
                  <c:v>36</c:v>
                </c:pt>
                <c:pt idx="14">
                  <c:v>19.5</c:v>
                </c:pt>
                <c:pt idx="15">
                  <c:v>17.7</c:v>
                </c:pt>
                <c:pt idx="16">
                  <c:v>30.3</c:v>
                </c:pt>
                <c:pt idx="17">
                  <c:v>32</c:v>
                </c:pt>
                <c:pt idx="18">
                  <c:v>12.7</c:v>
                </c:pt>
                <c:pt idx="19">
                  <c:v>28.7</c:v>
                </c:pt>
                <c:pt idx="20">
                  <c:v>18.8</c:v>
                </c:pt>
                <c:pt idx="21">
                  <c:v>25.8</c:v>
                </c:pt>
                <c:pt idx="22">
                  <c:v>26.6</c:v>
                </c:pt>
                <c:pt idx="23">
                  <c:v>25.6</c:v>
                </c:pt>
                <c:pt idx="24">
                  <c:v>28.8</c:v>
                </c:pt>
                <c:pt idx="25">
                  <c:v>32.5</c:v>
                </c:pt>
                <c:pt idx="26">
                  <c:v>20.399999999999999</c:v>
                </c:pt>
                <c:pt idx="27">
                  <c:v>24</c:v>
                </c:pt>
                <c:pt idx="28">
                  <c:v>20.9</c:v>
                </c:pt>
                <c:pt idx="29">
                  <c:v>20.7</c:v>
                </c:pt>
              </c:numCache>
            </c:numRef>
          </c:val>
          <c:extLst xmlns:c16r2="http://schemas.microsoft.com/office/drawing/2015/06/chart">
            <c:ext xmlns:c16="http://schemas.microsoft.com/office/drawing/2014/chart" uri="{C3380CC4-5D6E-409C-BE32-E72D297353CC}">
              <c16:uniqueId val="{00000002-13AF-43B2-A562-50906747A494}"/>
            </c:ext>
          </c:extLst>
        </c:ser>
        <c:ser>
          <c:idx val="3"/>
          <c:order val="3"/>
          <c:tx>
            <c:strRef>
              <c:f>'[sieć 2016_ost.16.06.2016.xlsx]Arkusz1'!$F$3</c:f>
              <c:strCache>
                <c:ptCount val="1"/>
                <c:pt idx="0">
                  <c:v>2013</c:v>
                </c:pt>
              </c:strCache>
            </c:strRef>
          </c:tx>
          <c:spPr>
            <a:solidFill>
              <a:srgbClr val="009900"/>
            </a:solidFill>
            <a:ln>
              <a:solidFill>
                <a:srgbClr val="009900"/>
              </a:solidFill>
            </a:ln>
            <a:effectLst/>
          </c:spPr>
          <c:invertIfNegative val="0"/>
          <c:val>
            <c:numRef>
              <c:f>'[sieć 2016_ost.16.06.2016.xlsx]Arkusz1'!$F$5:$F$34</c:f>
              <c:numCache>
                <c:formatCode>General</c:formatCode>
                <c:ptCount val="30"/>
                <c:pt idx="0">
                  <c:v>21</c:v>
                </c:pt>
                <c:pt idx="1">
                  <c:v>18</c:v>
                </c:pt>
                <c:pt idx="2">
                  <c:v>34</c:v>
                </c:pt>
                <c:pt idx="3">
                  <c:v>37</c:v>
                </c:pt>
                <c:pt idx="4">
                  <c:v>22</c:v>
                </c:pt>
                <c:pt idx="5">
                  <c:v>24</c:v>
                </c:pt>
                <c:pt idx="6">
                  <c:v>25</c:v>
                </c:pt>
                <c:pt idx="7">
                  <c:v>32</c:v>
                </c:pt>
                <c:pt idx="8">
                  <c:v>15</c:v>
                </c:pt>
                <c:pt idx="9">
                  <c:v>16</c:v>
                </c:pt>
                <c:pt idx="10">
                  <c:v>25</c:v>
                </c:pt>
                <c:pt idx="11">
                  <c:v>28</c:v>
                </c:pt>
                <c:pt idx="12">
                  <c:v>34</c:v>
                </c:pt>
                <c:pt idx="13">
                  <c:v>32</c:v>
                </c:pt>
                <c:pt idx="14">
                  <c:v>18</c:v>
                </c:pt>
                <c:pt idx="15">
                  <c:v>17</c:v>
                </c:pt>
                <c:pt idx="16">
                  <c:v>30</c:v>
                </c:pt>
                <c:pt idx="17">
                  <c:v>31</c:v>
                </c:pt>
                <c:pt idx="18">
                  <c:v>11</c:v>
                </c:pt>
                <c:pt idx="19">
                  <c:v>27</c:v>
                </c:pt>
                <c:pt idx="20">
                  <c:v>18</c:v>
                </c:pt>
                <c:pt idx="21">
                  <c:v>25</c:v>
                </c:pt>
                <c:pt idx="22">
                  <c:v>25</c:v>
                </c:pt>
                <c:pt idx="23">
                  <c:v>25</c:v>
                </c:pt>
                <c:pt idx="24">
                  <c:v>28</c:v>
                </c:pt>
                <c:pt idx="25">
                  <c:v>31</c:v>
                </c:pt>
                <c:pt idx="26">
                  <c:v>19</c:v>
                </c:pt>
                <c:pt idx="27">
                  <c:v>23</c:v>
                </c:pt>
                <c:pt idx="28">
                  <c:v>20</c:v>
                </c:pt>
                <c:pt idx="29">
                  <c:v>19</c:v>
                </c:pt>
              </c:numCache>
            </c:numRef>
          </c:val>
          <c:extLst xmlns:c16r2="http://schemas.microsoft.com/office/drawing/2015/06/chart">
            <c:ext xmlns:c16="http://schemas.microsoft.com/office/drawing/2014/chart" uri="{C3380CC4-5D6E-409C-BE32-E72D297353CC}">
              <c16:uniqueId val="{00000003-13AF-43B2-A562-50906747A494}"/>
            </c:ext>
          </c:extLst>
        </c:ser>
        <c:ser>
          <c:idx val="4"/>
          <c:order val="4"/>
          <c:tx>
            <c:strRef>
              <c:f>'[sieć 2016_ost.16.06.2016.xlsx]Arkusz1'!$G$3</c:f>
              <c:strCache>
                <c:ptCount val="1"/>
                <c:pt idx="0">
                  <c:v>2014</c:v>
                </c:pt>
              </c:strCache>
            </c:strRef>
          </c:tx>
          <c:spPr>
            <a:solidFill>
              <a:srgbClr val="92D050"/>
            </a:solidFill>
            <a:ln>
              <a:solidFill>
                <a:srgbClr val="92D050"/>
              </a:solidFill>
            </a:ln>
            <a:effectLst/>
          </c:spPr>
          <c:invertIfNegative val="0"/>
          <c:val>
            <c:numRef>
              <c:f>'[sieć 2016_ost.16.06.2016.xlsx]Arkusz1'!$G$5:$G$34</c:f>
              <c:numCache>
                <c:formatCode>General</c:formatCode>
                <c:ptCount val="30"/>
                <c:pt idx="0">
                  <c:v>21</c:v>
                </c:pt>
                <c:pt idx="1">
                  <c:v>19</c:v>
                </c:pt>
                <c:pt idx="2">
                  <c:v>34</c:v>
                </c:pt>
                <c:pt idx="3">
                  <c:v>36</c:v>
                </c:pt>
                <c:pt idx="4">
                  <c:v>22</c:v>
                </c:pt>
                <c:pt idx="5">
                  <c:v>24</c:v>
                </c:pt>
                <c:pt idx="6">
                  <c:v>25</c:v>
                </c:pt>
                <c:pt idx="7">
                  <c:v>31</c:v>
                </c:pt>
                <c:pt idx="8">
                  <c:v>16</c:v>
                </c:pt>
                <c:pt idx="9">
                  <c:v>16</c:v>
                </c:pt>
                <c:pt idx="10">
                  <c:v>24</c:v>
                </c:pt>
                <c:pt idx="11">
                  <c:v>26</c:v>
                </c:pt>
                <c:pt idx="12">
                  <c:v>32</c:v>
                </c:pt>
                <c:pt idx="13">
                  <c:v>30</c:v>
                </c:pt>
                <c:pt idx="14">
                  <c:v>17</c:v>
                </c:pt>
                <c:pt idx="15">
                  <c:v>16</c:v>
                </c:pt>
                <c:pt idx="16">
                  <c:v>28</c:v>
                </c:pt>
                <c:pt idx="17">
                  <c:v>29</c:v>
                </c:pt>
                <c:pt idx="18">
                  <c:v>13</c:v>
                </c:pt>
                <c:pt idx="19">
                  <c:v>26</c:v>
                </c:pt>
                <c:pt idx="20">
                  <c:v>17</c:v>
                </c:pt>
                <c:pt idx="21">
                  <c:v>24</c:v>
                </c:pt>
                <c:pt idx="22">
                  <c:v>23</c:v>
                </c:pt>
                <c:pt idx="23">
                  <c:v>25</c:v>
                </c:pt>
                <c:pt idx="24">
                  <c:v>26</c:v>
                </c:pt>
                <c:pt idx="25">
                  <c:v>29</c:v>
                </c:pt>
                <c:pt idx="26">
                  <c:v>17</c:v>
                </c:pt>
                <c:pt idx="27">
                  <c:v>24</c:v>
                </c:pt>
                <c:pt idx="28">
                  <c:v>21</c:v>
                </c:pt>
                <c:pt idx="29">
                  <c:v>20</c:v>
                </c:pt>
              </c:numCache>
            </c:numRef>
          </c:val>
          <c:extLst xmlns:c16r2="http://schemas.microsoft.com/office/drawing/2015/06/chart">
            <c:ext xmlns:c16="http://schemas.microsoft.com/office/drawing/2014/chart" uri="{C3380CC4-5D6E-409C-BE32-E72D297353CC}">
              <c16:uniqueId val="{00000004-13AF-43B2-A562-50906747A494}"/>
            </c:ext>
          </c:extLst>
        </c:ser>
        <c:dLbls>
          <c:showLegendKey val="0"/>
          <c:showVal val="0"/>
          <c:showCatName val="0"/>
          <c:showSerName val="0"/>
          <c:showPercent val="0"/>
          <c:showBubbleSize val="0"/>
        </c:dLbls>
        <c:gapWidth val="300"/>
        <c:axId val="147355496"/>
        <c:axId val="147355888"/>
      </c:barChart>
      <c:catAx>
        <c:axId val="147355496"/>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cap="none" spc="0" normalizeH="0" baseline="0">
                <a:solidFill>
                  <a:schemeClr val="tx1"/>
                </a:solidFill>
                <a:latin typeface="+mn-lt"/>
                <a:ea typeface="+mn-ea"/>
                <a:cs typeface="+mn-cs"/>
              </a:defRPr>
            </a:pPr>
            <a:endParaRPr lang="pl-PL"/>
          </a:p>
        </c:txPr>
        <c:crossAx val="147355888"/>
        <c:crosses val="autoZero"/>
        <c:auto val="1"/>
        <c:lblAlgn val="ctr"/>
        <c:lblOffset val="100"/>
        <c:noMultiLvlLbl val="0"/>
      </c:catAx>
      <c:valAx>
        <c:axId val="147355888"/>
        <c:scaling>
          <c:orientation val="minMax"/>
          <c:max val="45"/>
        </c:scaling>
        <c:delete val="0"/>
        <c:axPos val="b"/>
        <c:majorGridlines>
          <c:spPr>
            <a:ln w="9525" cap="flat" cmpd="sng" algn="ctr">
              <a:solidFill>
                <a:sysClr val="windowText" lastClr="000000"/>
              </a:solidFill>
              <a:round/>
            </a:ln>
            <a:effectLst/>
          </c:spPr>
        </c:majorGridlines>
        <c:minorGridlines>
          <c:spPr>
            <a:ln w="9525" cap="flat" cmpd="sng" algn="ctr">
              <a:noFill/>
              <a:round/>
            </a:ln>
            <a:effectLst/>
          </c:spPr>
        </c:minorGridlines>
        <c:title>
          <c:tx>
            <c:rich>
              <a:bodyPr rot="0" spcFirstLastPara="1" vertOverflow="ellipsis" vert="horz" wrap="square" anchor="ctr" anchorCtr="1"/>
              <a:lstStyle/>
              <a:p>
                <a:pPr>
                  <a:defRPr sz="1100" b="0" i="0" u="none" strike="noStrike" kern="1200" cap="all" baseline="0">
                    <a:solidFill>
                      <a:schemeClr val="tx1"/>
                    </a:solidFill>
                    <a:latin typeface="+mn-lt"/>
                    <a:ea typeface="+mn-ea"/>
                    <a:cs typeface="+mn-cs"/>
                  </a:defRPr>
                </a:pPr>
                <a:r>
                  <a:rPr lang="pl-PL" sz="1100" b="0">
                    <a:solidFill>
                      <a:schemeClr val="tx1"/>
                    </a:solidFill>
                    <a:latin typeface="+mn-lt"/>
                  </a:rPr>
                  <a:t>W</a:t>
                </a:r>
                <a:r>
                  <a:rPr lang="pl-PL" sz="1100" b="0" cap="none" baseline="0">
                    <a:solidFill>
                      <a:schemeClr val="tx1"/>
                    </a:solidFill>
                    <a:latin typeface="+mn-lt"/>
                  </a:rPr>
                  <a:t>skaźniki średniego narażenia na pył PM2,5, µg/m</a:t>
                </a:r>
                <a:r>
                  <a:rPr lang="pl-PL" sz="1100" b="0" cap="none" baseline="30000">
                    <a:solidFill>
                      <a:schemeClr val="tx1"/>
                    </a:solidFill>
                    <a:latin typeface="+mn-lt"/>
                  </a:rPr>
                  <a:t>3</a:t>
                </a:r>
                <a:endParaRPr lang="pl-PL" sz="1100" b="0" baseline="30000">
                  <a:solidFill>
                    <a:schemeClr val="tx1"/>
                  </a:solidFill>
                  <a:latin typeface="+mn-lt"/>
                </a:endParaRP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473554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8100" cap="rnd">
              <a:solidFill>
                <a:schemeClr val="accent1">
                  <a:lumMod val="75000"/>
                </a:schemeClr>
              </a:solidFill>
              <a:round/>
            </a:ln>
            <a:effectLst/>
          </c:spPr>
          <c:marker>
            <c:symbol val="none"/>
          </c:marker>
          <c:dPt>
            <c:idx val="26"/>
            <c:bubble3D val="0"/>
            <c:spPr>
              <a:ln w="38100" cap="rnd">
                <a:solidFill>
                  <a:schemeClr val="accent1">
                    <a:lumMod val="75000"/>
                  </a:schemeClr>
                </a:solidFill>
                <a:prstDash val="solid"/>
                <a:round/>
              </a:ln>
              <a:effectLst/>
            </c:spPr>
            <c:extLst xmlns:c16r2="http://schemas.microsoft.com/office/drawing/2015/06/chart">
              <c:ext xmlns:c16="http://schemas.microsoft.com/office/drawing/2014/chart" uri="{C3380CC4-5D6E-409C-BE32-E72D297353CC}">
                <c16:uniqueId val="{00000001-42C2-41C4-9CF4-C681ED0E2790}"/>
              </c:ext>
            </c:extLst>
          </c:dPt>
          <c:dPt>
            <c:idx val="27"/>
            <c:bubble3D val="0"/>
            <c:spPr>
              <a:ln w="38100" cap="rnd">
                <a:solidFill>
                  <a:schemeClr val="accent1">
                    <a:lumMod val="75000"/>
                  </a:schemeClr>
                </a:solidFill>
                <a:prstDash val="solid"/>
                <a:round/>
              </a:ln>
              <a:effectLst/>
            </c:spPr>
            <c:extLst xmlns:c16r2="http://schemas.microsoft.com/office/drawing/2015/06/chart">
              <c:ext xmlns:c16="http://schemas.microsoft.com/office/drawing/2014/chart" uri="{C3380CC4-5D6E-409C-BE32-E72D297353CC}">
                <c16:uniqueId val="{00000003-42C2-41C4-9CF4-C681ED0E2790}"/>
              </c:ext>
            </c:extLst>
          </c:dPt>
          <c:cat>
            <c:strRef>
              <c:f>'emisje 1988-2030 BR2'!$B$5:$AC$5</c:f>
              <c:strCach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strCache>
            </c:strRef>
          </c:cat>
          <c:val>
            <c:numRef>
              <c:f>'emisje 1988-2030 BR2'!$B$65:$AC$65</c:f>
              <c:numCache>
                <c:formatCode>#,##0.00</c:formatCode>
                <c:ptCount val="28"/>
                <c:pt idx="0">
                  <c:v>570370.87501047563</c:v>
                </c:pt>
                <c:pt idx="1">
                  <c:v>551630.76788560615</c:v>
                </c:pt>
                <c:pt idx="2">
                  <c:v>467881.08502919046</c:v>
                </c:pt>
                <c:pt idx="3">
                  <c:v>456073.15619766945</c:v>
                </c:pt>
                <c:pt idx="4">
                  <c:v>443082.97448414628</c:v>
                </c:pt>
                <c:pt idx="5">
                  <c:v>443017.47803549952</c:v>
                </c:pt>
                <c:pt idx="6">
                  <c:v>437507.1730991826</c:v>
                </c:pt>
                <c:pt idx="7">
                  <c:v>438941.37075237994</c:v>
                </c:pt>
                <c:pt idx="8">
                  <c:v>452573.11664296105</c:v>
                </c:pt>
                <c:pt idx="9">
                  <c:v>443759.77152317518</c:v>
                </c:pt>
                <c:pt idx="10">
                  <c:v>412612.70405481698</c:v>
                </c:pt>
                <c:pt idx="11">
                  <c:v>401487.58097633213</c:v>
                </c:pt>
                <c:pt idx="12">
                  <c:v>390597.49208167364</c:v>
                </c:pt>
                <c:pt idx="13">
                  <c:v>389605.23838847794</c:v>
                </c:pt>
                <c:pt idx="14">
                  <c:v>379668.67589683755</c:v>
                </c:pt>
                <c:pt idx="15">
                  <c:v>393474.53486296092</c:v>
                </c:pt>
                <c:pt idx="16">
                  <c:v>398365.54041898239</c:v>
                </c:pt>
                <c:pt idx="17">
                  <c:v>398942.56055018597</c:v>
                </c:pt>
                <c:pt idx="18">
                  <c:v>413288.50350860431</c:v>
                </c:pt>
                <c:pt idx="19">
                  <c:v>413760.27403410512</c:v>
                </c:pt>
                <c:pt idx="20">
                  <c:v>406351.5981493647</c:v>
                </c:pt>
                <c:pt idx="21">
                  <c:v>388565.35035013891</c:v>
                </c:pt>
                <c:pt idx="22">
                  <c:v>406973.15610387211</c:v>
                </c:pt>
                <c:pt idx="23">
                  <c:v>406419.78309961874</c:v>
                </c:pt>
                <c:pt idx="24">
                  <c:v>399071.85261323728</c:v>
                </c:pt>
                <c:pt idx="25">
                  <c:v>395532.33947317931</c:v>
                </c:pt>
                <c:pt idx="26">
                  <c:v>382969.29509856604</c:v>
                </c:pt>
                <c:pt idx="27">
                  <c:v>385842.88894317602</c:v>
                </c:pt>
              </c:numCache>
            </c:numRef>
          </c:val>
          <c:smooth val="0"/>
          <c:extLst xmlns:c16r2="http://schemas.microsoft.com/office/drawing/2015/06/chart">
            <c:ext xmlns:c16="http://schemas.microsoft.com/office/drawing/2014/chart" uri="{C3380CC4-5D6E-409C-BE32-E72D297353CC}">
              <c16:uniqueId val="{00000022-42C2-41C4-9CF4-C681ED0E2790}"/>
            </c:ext>
          </c:extLst>
        </c:ser>
        <c:ser>
          <c:idx val="1"/>
          <c:order val="1"/>
          <c:spPr>
            <a:ln w="38100" cap="rnd">
              <a:solidFill>
                <a:schemeClr val="accent2"/>
              </a:solidFill>
              <a:round/>
            </a:ln>
            <a:effectLst/>
          </c:spPr>
          <c:marker>
            <c:symbol val="none"/>
          </c:marker>
          <c:cat>
            <c:strRef>
              <c:f>'emisje 1988-2030 BR2'!$B$5:$AC$5</c:f>
              <c:strCache>
                <c:ptCount val="28"/>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strCache>
            </c:strRef>
          </c:cat>
          <c:val>
            <c:numRef>
              <c:f>'emisje 1988-2030 BR2'!$B$71:$AC$71</c:f>
              <c:numCache>
                <c:formatCode>General</c:formatCode>
                <c:ptCount val="28"/>
                <c:pt idx="20">
                  <c:v>529636.20760000008</c:v>
                </c:pt>
                <c:pt idx="21">
                  <c:v>529636.20760000008</c:v>
                </c:pt>
                <c:pt idx="22">
                  <c:v>529636.20760000008</c:v>
                </c:pt>
                <c:pt idx="23">
                  <c:v>529636.20760000008</c:v>
                </c:pt>
                <c:pt idx="24">
                  <c:v>529636.20760000008</c:v>
                </c:pt>
                <c:pt idx="27" formatCode="0">
                  <c:v>-32.35228062160617</c:v>
                </c:pt>
              </c:numCache>
            </c:numRef>
          </c:val>
          <c:smooth val="0"/>
          <c:extLst xmlns:c16r2="http://schemas.microsoft.com/office/drawing/2015/06/chart">
            <c:ext xmlns:c16="http://schemas.microsoft.com/office/drawing/2014/chart" uri="{C3380CC4-5D6E-409C-BE32-E72D297353CC}">
              <c16:uniqueId val="{00000023-42C2-41C4-9CF4-C681ED0E2790}"/>
            </c:ext>
          </c:extLst>
        </c:ser>
        <c:dLbls>
          <c:showLegendKey val="0"/>
          <c:showVal val="0"/>
          <c:showCatName val="0"/>
          <c:showSerName val="0"/>
          <c:showPercent val="0"/>
          <c:showBubbleSize val="0"/>
        </c:dLbls>
        <c:smooth val="0"/>
        <c:axId val="147355104"/>
        <c:axId val="147356280"/>
      </c:lineChart>
      <c:catAx>
        <c:axId val="147355104"/>
        <c:scaling>
          <c:orientation val="minMax"/>
        </c:scaling>
        <c:delete val="0"/>
        <c:axPos val="b"/>
        <c:numFmt formatCode="General" sourceLinked="1"/>
        <c:majorTickMark val="none"/>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356280"/>
        <c:crosses val="autoZero"/>
        <c:auto val="1"/>
        <c:lblAlgn val="ctr"/>
        <c:lblOffset val="100"/>
        <c:noMultiLvlLbl val="0"/>
      </c:catAx>
      <c:valAx>
        <c:axId val="147356280"/>
        <c:scaling>
          <c:orientation val="minMax"/>
          <c:max val="600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355104"/>
        <c:crosses val="autoZero"/>
        <c:crossBetween val="between"/>
        <c:majorUnit val="10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1-DBC1-485D-B7F5-E5160E5F0F49}"/>
              </c:ext>
            </c:extLst>
          </c:dPt>
          <c:dPt>
            <c:idx val="1"/>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2-DBC1-485D-B7F5-E5160E5F0F49}"/>
              </c:ext>
            </c:extLst>
          </c:dPt>
          <c:dPt>
            <c:idx val="2"/>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3-DBC1-485D-B7F5-E5160E5F0F49}"/>
              </c:ext>
            </c:extLst>
          </c:dPt>
          <c:dPt>
            <c:idx val="3"/>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4-DBC1-485D-B7F5-E5160E5F0F49}"/>
              </c:ext>
            </c:extLst>
          </c:dPt>
          <c:dPt>
            <c:idx val="4"/>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5-DBC1-485D-B7F5-E5160E5F0F49}"/>
              </c:ext>
            </c:extLst>
          </c:dPt>
          <c:dPt>
            <c:idx val="5"/>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6-DBC1-485D-B7F5-E5160E5F0F49}"/>
              </c:ext>
            </c:extLst>
          </c:dPt>
          <c:dPt>
            <c:idx val="6"/>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7-DBC1-485D-B7F5-E5160E5F0F49}"/>
              </c:ext>
            </c:extLst>
          </c:dPt>
          <c:dPt>
            <c:idx val="7"/>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8-DBC1-485D-B7F5-E5160E5F0F49}"/>
              </c:ext>
            </c:extLst>
          </c:dPt>
          <c:cat>
            <c:numRef>
              <c:f>Arkusz1!$B$17:$I$17</c:f>
              <c:numCache>
                <c:formatCode>General</c:formatCode>
                <c:ptCount val="8"/>
                <c:pt idx="0">
                  <c:v>2013</c:v>
                </c:pt>
                <c:pt idx="1">
                  <c:v>2014</c:v>
                </c:pt>
                <c:pt idx="2">
                  <c:v>2015</c:v>
                </c:pt>
                <c:pt idx="3">
                  <c:v>2016</c:v>
                </c:pt>
                <c:pt idx="4">
                  <c:v>2017</c:v>
                </c:pt>
                <c:pt idx="5">
                  <c:v>2018</c:v>
                </c:pt>
                <c:pt idx="6">
                  <c:v>2019</c:v>
                </c:pt>
                <c:pt idx="7">
                  <c:v>2020</c:v>
                </c:pt>
              </c:numCache>
            </c:numRef>
          </c:cat>
          <c:val>
            <c:numRef>
              <c:f>Arkusz1!$B$18:$I$18</c:f>
              <c:numCache>
                <c:formatCode>#,##0</c:formatCode>
                <c:ptCount val="8"/>
                <c:pt idx="0">
                  <c:v>-7547.7730000000001</c:v>
                </c:pt>
                <c:pt idx="1">
                  <c:v>-13342.522999999999</c:v>
                </c:pt>
                <c:pt idx="2">
                  <c:v>-9355.8449999999993</c:v>
                </c:pt>
                <c:pt idx="3">
                  <c:v>-8438.2369999999992</c:v>
                </c:pt>
                <c:pt idx="4">
                  <c:v>-10753.76</c:v>
                </c:pt>
                <c:pt idx="5">
                  <c:v>-12201.383</c:v>
                </c:pt>
                <c:pt idx="6">
                  <c:v>-13649.004999999999</c:v>
                </c:pt>
                <c:pt idx="7">
                  <c:v>-15096.628000000001</c:v>
                </c:pt>
              </c:numCache>
            </c:numRef>
          </c:val>
          <c:extLst xmlns:c16r2="http://schemas.microsoft.com/office/drawing/2015/06/chart">
            <c:ext xmlns:c16="http://schemas.microsoft.com/office/drawing/2014/chart" uri="{C3380CC4-5D6E-409C-BE32-E72D297353CC}">
              <c16:uniqueId val="{00000000-DBC1-485D-B7F5-E5160E5F0F49}"/>
            </c:ext>
          </c:extLst>
        </c:ser>
        <c:dLbls>
          <c:showLegendKey val="0"/>
          <c:showVal val="0"/>
          <c:showCatName val="0"/>
          <c:showSerName val="0"/>
          <c:showPercent val="0"/>
          <c:showBubbleSize val="0"/>
        </c:dLbls>
        <c:gapWidth val="219"/>
        <c:overlap val="-27"/>
        <c:axId val="271255264"/>
        <c:axId val="271255656"/>
      </c:barChart>
      <c:catAx>
        <c:axId val="27125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271255656"/>
        <c:crosses val="autoZero"/>
        <c:auto val="1"/>
        <c:lblAlgn val="ctr"/>
        <c:lblOffset val="100"/>
        <c:noMultiLvlLbl val="0"/>
      </c:catAx>
      <c:valAx>
        <c:axId val="271255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255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990932125144725E-2"/>
          <c:y val="2.004696551663869E-2"/>
          <c:w val="0.93872281784153766"/>
          <c:h val="0.91408290005067216"/>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'[Kopia Straty_ogólemuzupelnione_IBS2208.xlsx]Arkusz1'!$B$4:$B$19</c:f>
              <c:numCache>
                <c:formatCode>General</c:formatCode>
                <c:ptCount val="16"/>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numCache>
            </c:numRef>
          </c:cat>
          <c:val>
            <c:numRef>
              <c:f>'[Kopia Straty_ogólemuzupelnione_IBS2208.xlsx]Arkusz1'!$H$4:$H$19</c:f>
              <c:numCache>
                <c:formatCode>_(* #,##0.00_);_(* \(#,##0.00\);_(* "-"??_);_(@_)</c:formatCode>
                <c:ptCount val="16"/>
                <c:pt idx="0">
                  <c:v>7.5969470369873155</c:v>
                </c:pt>
                <c:pt idx="1">
                  <c:v>1.7013919720895991</c:v>
                </c:pt>
                <c:pt idx="2">
                  <c:v>3.5873380416214498</c:v>
                </c:pt>
                <c:pt idx="3">
                  <c:v>1.6546946201146688</c:v>
                </c:pt>
                <c:pt idx="4">
                  <c:v>3.6475848693068778</c:v>
                </c:pt>
                <c:pt idx="5">
                  <c:v>8.698887838334322</c:v>
                </c:pt>
                <c:pt idx="6">
                  <c:v>4.8871458291433445</c:v>
                </c:pt>
                <c:pt idx="7">
                  <c:v>5.2946378139783459</c:v>
                </c:pt>
                <c:pt idx="8">
                  <c:v>3.5942995217625442</c:v>
                </c:pt>
                <c:pt idx="9">
                  <c:v>14.7495991174148</c:v>
                </c:pt>
                <c:pt idx="10">
                  <c:v>2.6888365754219916</c:v>
                </c:pt>
                <c:pt idx="11">
                  <c:v>2.7092172727341191</c:v>
                </c:pt>
                <c:pt idx="12">
                  <c:v>3.7010380157494551</c:v>
                </c:pt>
                <c:pt idx="13">
                  <c:v>2.356089401288235</c:v>
                </c:pt>
                <c:pt idx="14">
                  <c:v>8.8306136249300025</c:v>
                </c:pt>
                <c:pt idx="15">
                  <c:v>2.7506632895420657</c:v>
                </c:pt>
              </c:numCache>
            </c:numRef>
          </c:val>
          <c:extLst xmlns:c16r2="http://schemas.microsoft.com/office/drawing/2015/06/chart">
            <c:ext xmlns:c16="http://schemas.microsoft.com/office/drawing/2014/chart" uri="{C3380CC4-5D6E-409C-BE32-E72D297353CC}">
              <c16:uniqueId val="{00000000-0BE6-4FB8-B6DC-D08CDDC1366F}"/>
            </c:ext>
          </c:extLst>
        </c:ser>
        <c:dLbls>
          <c:showLegendKey val="0"/>
          <c:showVal val="0"/>
          <c:showCatName val="0"/>
          <c:showSerName val="0"/>
          <c:showPercent val="0"/>
          <c:showBubbleSize val="0"/>
        </c:dLbls>
        <c:gapWidth val="150"/>
        <c:axId val="271256048"/>
        <c:axId val="271256440"/>
      </c:barChart>
      <c:catAx>
        <c:axId val="271256048"/>
        <c:scaling>
          <c:orientation val="minMax"/>
        </c:scaling>
        <c:delete val="0"/>
        <c:axPos val="b"/>
        <c:numFmt formatCode="General" sourceLinked="1"/>
        <c:majorTickMark val="out"/>
        <c:minorTickMark val="none"/>
        <c:tickLblPos val="nextTo"/>
        <c:crossAx val="271256440"/>
        <c:crosses val="autoZero"/>
        <c:auto val="1"/>
        <c:lblAlgn val="ctr"/>
        <c:lblOffset val="100"/>
        <c:noMultiLvlLbl val="0"/>
      </c:catAx>
      <c:valAx>
        <c:axId val="271256440"/>
        <c:scaling>
          <c:orientation val="minMax"/>
        </c:scaling>
        <c:delete val="0"/>
        <c:axPos val="l"/>
        <c:numFmt formatCode="_(* #,##0.00_);_(* \(#,##0.00\);_(* &quot;-&quot;??_);_(@_)" sourceLinked="1"/>
        <c:majorTickMark val="out"/>
        <c:minorTickMark val="none"/>
        <c:tickLblPos val="nextTo"/>
        <c:crossAx val="271256048"/>
        <c:crosses val="autoZero"/>
        <c:crossBetween val="between"/>
      </c:valAx>
    </c:plotArea>
    <c:plotVisOnly val="1"/>
    <c:dispBlanksAs val="gap"/>
    <c:showDLblsOverMax val="0"/>
  </c:chart>
  <c:spPr>
    <a:ln>
      <a:noFill/>
    </a:ln>
  </c:sp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'[Straty Polska.xlsx]Arkusz6'!$B$18</c:f>
              <c:strCache>
                <c:ptCount val="1"/>
                <c:pt idx="0">
                  <c:v>infrastruktura </c:v>
                </c:pt>
              </c:strCache>
            </c:strRef>
          </c:tx>
          <c:invertIfNegative val="0"/>
          <c:cat>
            <c:numRef>
              <c:f>'[Straty Polska.xlsx]Arkusz6'!$A$19:$A$23</c:f>
              <c:numCache>
                <c:formatCode>General</c:formatCode>
                <c:ptCount val="5"/>
                <c:pt idx="0">
                  <c:v>2012</c:v>
                </c:pt>
                <c:pt idx="1">
                  <c:v>2013</c:v>
                </c:pt>
                <c:pt idx="2">
                  <c:v>2014</c:v>
                </c:pt>
                <c:pt idx="3">
                  <c:v>2015</c:v>
                </c:pt>
                <c:pt idx="4">
                  <c:v>2016</c:v>
                </c:pt>
              </c:numCache>
            </c:numRef>
          </c:cat>
          <c:val>
            <c:numRef>
              <c:f>'[Straty Polska.xlsx]Arkusz6'!$B$19:$B$23</c:f>
              <c:numCache>
                <c:formatCode>_(* #,##0.00_);_(* \(#,##0.00\);_(* "-"??_);_(@_)</c:formatCode>
                <c:ptCount val="5"/>
                <c:pt idx="0">
                  <c:v>0.82772798397108904</c:v>
                </c:pt>
                <c:pt idx="1">
                  <c:v>1.2574215107618998</c:v>
                </c:pt>
                <c:pt idx="2">
                  <c:v>0.63781815805433795</c:v>
                </c:pt>
                <c:pt idx="3">
                  <c:v>0.41045371600000002</c:v>
                </c:pt>
                <c:pt idx="4">
                  <c:v>0.33976599349115039</c:v>
                </c:pt>
              </c:numCache>
            </c:numRef>
          </c:val>
          <c:extLst xmlns:c16r2="http://schemas.microsoft.com/office/drawing/2015/06/chart">
            <c:ext xmlns:c16="http://schemas.microsoft.com/office/drawing/2014/chart" uri="{C3380CC4-5D6E-409C-BE32-E72D297353CC}">
              <c16:uniqueId val="{00000000-9BE9-4212-A115-CDDD1F9C27B3}"/>
            </c:ext>
          </c:extLst>
        </c:ser>
        <c:ser>
          <c:idx val="2"/>
          <c:order val="1"/>
          <c:tx>
            <c:strRef>
              <c:f>'[Straty Polska.xlsx]Arkusz6'!$C$18</c:f>
              <c:strCache>
                <c:ptCount val="1"/>
                <c:pt idx="0">
                  <c:v>rolnictwo </c:v>
                </c:pt>
              </c:strCache>
            </c:strRef>
          </c:tx>
          <c:invertIfNegative val="0"/>
          <c:cat>
            <c:numRef>
              <c:f>'[Straty Polska.xlsx]Arkusz6'!$A$19:$A$23</c:f>
              <c:numCache>
                <c:formatCode>General</c:formatCode>
                <c:ptCount val="5"/>
                <c:pt idx="0">
                  <c:v>2012</c:v>
                </c:pt>
                <c:pt idx="1">
                  <c:v>2013</c:v>
                </c:pt>
                <c:pt idx="2">
                  <c:v>2014</c:v>
                </c:pt>
                <c:pt idx="3">
                  <c:v>2015</c:v>
                </c:pt>
                <c:pt idx="4">
                  <c:v>2016</c:v>
                </c:pt>
              </c:numCache>
            </c:numRef>
          </c:cat>
          <c:val>
            <c:numRef>
              <c:f>'[Straty Polska.xlsx]Arkusz6'!$C$19:$C$23</c:f>
              <c:numCache>
                <c:formatCode>_(* #,##0.00_);_(* \(#,##0.00\);_(* "-"??_);_(@_)</c:formatCode>
                <c:ptCount val="5"/>
                <c:pt idx="0">
                  <c:v>1.5990624712395001</c:v>
                </c:pt>
                <c:pt idx="1">
                  <c:v>1.5875749914724198</c:v>
                </c:pt>
                <c:pt idx="2">
                  <c:v>1.3957016101981981</c:v>
                </c:pt>
                <c:pt idx="3">
                  <c:v>7.1163961799999935</c:v>
                </c:pt>
                <c:pt idx="4">
                  <c:v>1.15360589429204</c:v>
                </c:pt>
              </c:numCache>
            </c:numRef>
          </c:val>
          <c:extLst xmlns:c16r2="http://schemas.microsoft.com/office/drawing/2015/06/chart">
            <c:ext xmlns:c16="http://schemas.microsoft.com/office/drawing/2014/chart" uri="{C3380CC4-5D6E-409C-BE32-E72D297353CC}">
              <c16:uniqueId val="{00000001-9BE9-4212-A115-CDDD1F9C27B3}"/>
            </c:ext>
          </c:extLst>
        </c:ser>
        <c:ser>
          <c:idx val="3"/>
          <c:order val="2"/>
          <c:tx>
            <c:strRef>
              <c:f>'[Straty Polska.xlsx]Arkusz6'!$D$18</c:f>
              <c:strCache>
                <c:ptCount val="1"/>
                <c:pt idx="0">
                  <c:v>gospodarka wodna</c:v>
                </c:pt>
              </c:strCache>
            </c:strRef>
          </c:tx>
          <c:invertIfNegative val="0"/>
          <c:cat>
            <c:numRef>
              <c:f>'[Straty Polska.xlsx]Arkusz6'!$A$19:$A$23</c:f>
              <c:numCache>
                <c:formatCode>General</c:formatCode>
                <c:ptCount val="5"/>
                <c:pt idx="0">
                  <c:v>2012</c:v>
                </c:pt>
                <c:pt idx="1">
                  <c:v>2013</c:v>
                </c:pt>
                <c:pt idx="2">
                  <c:v>2014</c:v>
                </c:pt>
                <c:pt idx="3">
                  <c:v>2015</c:v>
                </c:pt>
                <c:pt idx="4">
                  <c:v>2016</c:v>
                </c:pt>
              </c:numCache>
            </c:numRef>
          </c:cat>
          <c:val>
            <c:numRef>
              <c:f>'[Straty Polska.xlsx]Arkusz6'!$D$19:$D$23</c:f>
              <c:numCache>
                <c:formatCode>_(* #,##0.00_);_(* \(#,##0.00\);_(* "-"??_);_(@_)</c:formatCode>
                <c:ptCount val="5"/>
                <c:pt idx="0">
                  <c:v>0.26894660388954178</c:v>
                </c:pt>
                <c:pt idx="1">
                  <c:v>0.24909873922355</c:v>
                </c:pt>
                <c:pt idx="2">
                  <c:v>0.26013077637195398</c:v>
                </c:pt>
                <c:pt idx="3">
                  <c:v>0.75462319893000063</c:v>
                </c:pt>
                <c:pt idx="4">
                  <c:v>0.54207094228933661</c:v>
                </c:pt>
              </c:numCache>
            </c:numRef>
          </c:val>
          <c:extLst xmlns:c16r2="http://schemas.microsoft.com/office/drawing/2015/06/chart">
            <c:ext xmlns:c16="http://schemas.microsoft.com/office/drawing/2014/chart" uri="{C3380CC4-5D6E-409C-BE32-E72D297353CC}">
              <c16:uniqueId val="{00000002-9BE9-4212-A115-CDDD1F9C27B3}"/>
            </c:ext>
          </c:extLst>
        </c:ser>
        <c:ser>
          <c:idx val="4"/>
          <c:order val="3"/>
          <c:tx>
            <c:strRef>
              <c:f>'[Straty Polska.xlsx]Arkusz6'!$E$18</c:f>
              <c:strCache>
                <c:ptCount val="1"/>
                <c:pt idx="0">
                  <c:v>leśnictwo</c:v>
                </c:pt>
              </c:strCache>
            </c:strRef>
          </c:tx>
          <c:invertIfNegative val="0"/>
          <c:cat>
            <c:numRef>
              <c:f>'[Straty Polska.xlsx]Arkusz6'!$A$19:$A$23</c:f>
              <c:numCache>
                <c:formatCode>General</c:formatCode>
                <c:ptCount val="5"/>
                <c:pt idx="0">
                  <c:v>2012</c:v>
                </c:pt>
                <c:pt idx="1">
                  <c:v>2013</c:v>
                </c:pt>
                <c:pt idx="2">
                  <c:v>2014</c:v>
                </c:pt>
                <c:pt idx="3">
                  <c:v>2015</c:v>
                </c:pt>
                <c:pt idx="4">
                  <c:v>2016</c:v>
                </c:pt>
              </c:numCache>
            </c:numRef>
          </c:cat>
          <c:val>
            <c:numRef>
              <c:f>'[Straty Polska.xlsx]Arkusz6'!$E$19:$E$23</c:f>
              <c:numCache>
                <c:formatCode>_(* #,##0.00_);_(* \(#,##0.00\);_(* "-"??_);_(@_)</c:formatCode>
                <c:ptCount val="5"/>
                <c:pt idx="0">
                  <c:v>0.111346212032313</c:v>
                </c:pt>
                <c:pt idx="1">
                  <c:v>0.67215930320346406</c:v>
                </c:pt>
                <c:pt idx="2">
                  <c:v>7.4893954820333189E-2</c:v>
                </c:pt>
                <c:pt idx="3">
                  <c:v>0.54914052999999996</c:v>
                </c:pt>
                <c:pt idx="4">
                  <c:v>0.70310300004424797</c:v>
                </c:pt>
              </c:numCache>
            </c:numRef>
          </c:val>
          <c:extLst xmlns:c16r2="http://schemas.microsoft.com/office/drawing/2015/06/chart">
            <c:ext xmlns:c16="http://schemas.microsoft.com/office/drawing/2014/chart" uri="{C3380CC4-5D6E-409C-BE32-E72D297353CC}">
              <c16:uniqueId val="{00000003-9BE9-4212-A115-CDDD1F9C27B3}"/>
            </c:ext>
          </c:extLst>
        </c:ser>
        <c:dLbls>
          <c:showLegendKey val="0"/>
          <c:showVal val="0"/>
          <c:showCatName val="0"/>
          <c:showSerName val="0"/>
          <c:showPercent val="0"/>
          <c:showBubbleSize val="0"/>
        </c:dLbls>
        <c:gapWidth val="150"/>
        <c:shape val="box"/>
        <c:axId val="271257616"/>
        <c:axId val="271258008"/>
        <c:axId val="0"/>
      </c:bar3DChart>
      <c:catAx>
        <c:axId val="271257616"/>
        <c:scaling>
          <c:orientation val="minMax"/>
        </c:scaling>
        <c:delete val="0"/>
        <c:axPos val="b"/>
        <c:numFmt formatCode="General" sourceLinked="1"/>
        <c:majorTickMark val="out"/>
        <c:minorTickMark val="none"/>
        <c:tickLblPos val="nextTo"/>
        <c:crossAx val="271258008"/>
        <c:crosses val="autoZero"/>
        <c:auto val="1"/>
        <c:lblAlgn val="ctr"/>
        <c:lblOffset val="100"/>
        <c:noMultiLvlLbl val="0"/>
      </c:catAx>
      <c:valAx>
        <c:axId val="271258008"/>
        <c:scaling>
          <c:orientation val="minMax"/>
        </c:scaling>
        <c:delete val="0"/>
        <c:axPos val="l"/>
        <c:majorGridlines/>
        <c:numFmt formatCode="_(* #,##0.00_);_(* \(#,##0.00\);_(* &quot;-&quot;??_);_(@_)" sourceLinked="1"/>
        <c:majorTickMark val="out"/>
        <c:minorTickMark val="none"/>
        <c:tickLblPos val="nextTo"/>
        <c:crossAx val="27125761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Arkusz2!$A$3</c:f>
              <c:strCache>
                <c:ptCount val="1"/>
                <c:pt idx="0">
                  <c:v>centralne dzielnice lub osiedla miast o liczbie mieszkańców przekraczającej 50 tys.</c:v>
                </c:pt>
              </c:strCache>
            </c:strRef>
          </c:tx>
          <c:marker>
            <c:symbol val="none"/>
          </c:marker>
          <c:cat>
            <c:numRef>
              <c:f>Arkusz2!$B$2:$J$2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Arkusz2!$B$3:$J$3</c:f>
              <c:numCache>
                <c:formatCode>General</c:formatCode>
                <c:ptCount val="9"/>
                <c:pt idx="0">
                  <c:v>0.56000000000000005</c:v>
                </c:pt>
                <c:pt idx="1">
                  <c:v>0.5</c:v>
                </c:pt>
                <c:pt idx="2">
                  <c:v>0.42</c:v>
                </c:pt>
                <c:pt idx="3">
                  <c:v>0.41</c:v>
                </c:pt>
                <c:pt idx="4">
                  <c:v>0.41</c:v>
                </c:pt>
                <c:pt idx="5">
                  <c:v>0.42</c:v>
                </c:pt>
                <c:pt idx="6">
                  <c:v>0.53</c:v>
                </c:pt>
                <c:pt idx="7">
                  <c:v>0.49</c:v>
                </c:pt>
                <c:pt idx="8">
                  <c:v>0.52</c:v>
                </c:pt>
              </c:numCache>
            </c:numRef>
          </c:val>
          <c:smooth val="0"/>
        </c:ser>
        <c:ser>
          <c:idx val="1"/>
          <c:order val="1"/>
          <c:tx>
            <c:strRef>
              <c:f>Arkusz2!$A$4</c:f>
              <c:strCache>
                <c:ptCount val="1"/>
                <c:pt idx="0">
                  <c:v>pozostałe miasta</c:v>
                </c:pt>
              </c:strCache>
            </c:strRef>
          </c:tx>
          <c:marker>
            <c:symbol val="none"/>
          </c:marker>
          <c:cat>
            <c:numRef>
              <c:f>Arkusz2!$B$2:$J$2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Arkusz2!$B$4:$J$4</c:f>
              <c:numCache>
                <c:formatCode>General</c:formatCode>
                <c:ptCount val="9"/>
                <c:pt idx="0">
                  <c:v>0.36</c:v>
                </c:pt>
                <c:pt idx="1">
                  <c:v>0.37</c:v>
                </c:pt>
                <c:pt idx="2">
                  <c:v>0.33</c:v>
                </c:pt>
                <c:pt idx="3">
                  <c:v>0.28999999999999998</c:v>
                </c:pt>
                <c:pt idx="4">
                  <c:v>0.27</c:v>
                </c:pt>
                <c:pt idx="5">
                  <c:v>0.25</c:v>
                </c:pt>
                <c:pt idx="6">
                  <c:v>0.31</c:v>
                </c:pt>
                <c:pt idx="7">
                  <c:v>0.3</c:v>
                </c:pt>
                <c:pt idx="8">
                  <c:v>0.32</c:v>
                </c:pt>
              </c:numCache>
            </c:numRef>
          </c:val>
          <c:smooth val="0"/>
        </c:ser>
        <c:ser>
          <c:idx val="2"/>
          <c:order val="2"/>
          <c:tx>
            <c:strRef>
              <c:f>Arkusz2!$A$5</c:f>
              <c:strCache>
                <c:ptCount val="1"/>
                <c:pt idx="0">
                  <c:v>tereny wiejskie</c:v>
                </c:pt>
              </c:strCache>
            </c:strRef>
          </c:tx>
          <c:marker>
            <c:symbol val="none"/>
          </c:marker>
          <c:cat>
            <c:numRef>
              <c:f>Arkusz2!$B$2:$J$2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Arkusz2!$B$5:$J$5</c:f>
              <c:numCache>
                <c:formatCode>General</c:formatCode>
                <c:ptCount val="9"/>
                <c:pt idx="0">
                  <c:v>0.3</c:v>
                </c:pt>
                <c:pt idx="1">
                  <c:v>0.31</c:v>
                </c:pt>
                <c:pt idx="2">
                  <c:v>0.27</c:v>
                </c:pt>
                <c:pt idx="3">
                  <c:v>0.19</c:v>
                </c:pt>
                <c:pt idx="4">
                  <c:v>0.2</c:v>
                </c:pt>
                <c:pt idx="5">
                  <c:v>0.19</c:v>
                </c:pt>
                <c:pt idx="6">
                  <c:v>0.18</c:v>
                </c:pt>
                <c:pt idx="7">
                  <c:v>0.21</c:v>
                </c:pt>
                <c:pt idx="8">
                  <c:v>0.22</c:v>
                </c:pt>
              </c:numCache>
            </c:numRef>
          </c:val>
          <c:smooth val="0"/>
        </c:ser>
        <c:ser>
          <c:idx val="4"/>
          <c:order val="3"/>
          <c:tx>
            <c:strRef>
              <c:f>Arkusz2!$A$6</c:f>
              <c:strCache>
                <c:ptCount val="1"/>
                <c:pt idx="0">
                  <c:v>wartość dopuszczalna</c:v>
                </c:pt>
              </c:strCache>
            </c:strRef>
          </c:tx>
          <c:spPr>
            <a:ln>
              <a:prstDash val="sysDash"/>
            </a:ln>
          </c:spPr>
          <c:marker>
            <c:symbol val="none"/>
          </c:marker>
          <c:cat>
            <c:numRef>
              <c:f>Arkusz2!$B$2:$J$2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Arkusz2!$B$6:$J$6</c:f>
              <c:numCache>
                <c:formatCode>General</c:formatCode>
                <c:ptCount val="9"/>
                <c:pt idx="0">
                  <c:v>7</c:v>
                </c:pt>
                <c:pt idx="1">
                  <c:v>7</c:v>
                </c:pt>
                <c:pt idx="2">
                  <c:v>7</c:v>
                </c:pt>
                <c:pt idx="3">
                  <c:v>7</c:v>
                </c:pt>
                <c:pt idx="4">
                  <c:v>7</c:v>
                </c:pt>
                <c:pt idx="5">
                  <c:v>7</c:v>
                </c:pt>
                <c:pt idx="6">
                  <c:v>7</c:v>
                </c:pt>
                <c:pt idx="7">
                  <c:v>7</c:v>
                </c:pt>
                <c:pt idx="8">
                  <c:v>7</c:v>
                </c:pt>
              </c:numCache>
            </c:numRef>
          </c:val>
          <c:smooth val="0"/>
        </c:ser>
        <c:dLbls>
          <c:showLegendKey val="0"/>
          <c:showVal val="0"/>
          <c:showCatName val="0"/>
          <c:showSerName val="0"/>
          <c:showPercent val="0"/>
          <c:showBubbleSize val="0"/>
        </c:dLbls>
        <c:smooth val="0"/>
        <c:axId val="271258400"/>
        <c:axId val="271731664"/>
      </c:lineChart>
      <c:catAx>
        <c:axId val="271258400"/>
        <c:scaling>
          <c:orientation val="minMax"/>
        </c:scaling>
        <c:delete val="0"/>
        <c:axPos val="b"/>
        <c:numFmt formatCode="General" sourceLinked="1"/>
        <c:majorTickMark val="none"/>
        <c:minorTickMark val="none"/>
        <c:tickLblPos val="nextTo"/>
        <c:crossAx val="271731664"/>
        <c:crosses val="autoZero"/>
        <c:auto val="1"/>
        <c:lblAlgn val="ctr"/>
        <c:lblOffset val="100"/>
        <c:noMultiLvlLbl val="0"/>
      </c:catAx>
      <c:valAx>
        <c:axId val="271731664"/>
        <c:scaling>
          <c:orientation val="minMax"/>
          <c:max val="7.5"/>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wartość składowej elektrycznej V/m</a:t>
                </a:r>
              </a:p>
            </c:rich>
          </c:tx>
          <c:layout>
            <c:manualLayout>
              <c:xMode val="edge"/>
              <c:yMode val="edge"/>
              <c:x val="8.6579403745775715E-3"/>
              <c:y val="0.27482656080732293"/>
            </c:manualLayout>
          </c:layout>
          <c:overlay val="0"/>
        </c:title>
        <c:numFmt formatCode="#,##0.0" sourceLinked="0"/>
        <c:majorTickMark val="cross"/>
        <c:minorTickMark val="none"/>
        <c:tickLblPos val="nextTo"/>
        <c:crossAx val="271258400"/>
        <c:crosses val="autoZero"/>
        <c:crossBetween val="between"/>
        <c:majorUnit val="0.5"/>
      </c:valAx>
    </c:plotArea>
    <c:legend>
      <c:legendPos val="r"/>
      <c:layout>
        <c:manualLayout>
          <c:xMode val="edge"/>
          <c:yMode val="edge"/>
          <c:x val="0.67007492399475921"/>
          <c:y val="0.19248224165885081"/>
          <c:w val="0.26615309596801207"/>
          <c:h val="0.73964156142532045"/>
        </c:manualLayout>
      </c:layout>
      <c:overlay val="0"/>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Arkusz2!$A$16</c:f>
              <c:strCache>
                <c:ptCount val="1"/>
                <c:pt idx="0">
                  <c:v>Użytki rolne</c:v>
                </c:pt>
              </c:strCache>
            </c:strRef>
          </c:tx>
          <c:spPr>
            <a:solidFill>
              <a:srgbClr val="FFFF66"/>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Arkusz2!$B$16:$G$16</c:f>
              <c:numCache>
                <c:formatCode>0.0%</c:formatCode>
                <c:ptCount val="6"/>
                <c:pt idx="0">
                  <c:v>0.59771655180133365</c:v>
                </c:pt>
                <c:pt idx="1">
                  <c:v>0.59349185282312866</c:v>
                </c:pt>
                <c:pt idx="2">
                  <c:v>0.61237987111629921</c:v>
                </c:pt>
                <c:pt idx="3">
                  <c:v>0.60543358331867536</c:v>
                </c:pt>
                <c:pt idx="4">
                  <c:v>0.5985736444025137</c:v>
                </c:pt>
                <c:pt idx="5">
                  <c:v>0.59749588243759688</c:v>
                </c:pt>
              </c:numCache>
            </c:numRef>
          </c:val>
        </c:ser>
        <c:ser>
          <c:idx val="1"/>
          <c:order val="1"/>
          <c:tx>
            <c:strRef>
              <c:f>Arkusz2!$A$17</c:f>
              <c:strCache>
                <c:ptCount val="1"/>
                <c:pt idx="0">
                  <c:v>Grunty leśne oraz zadrzewione i zakrzewione</c:v>
                </c:pt>
              </c:strCache>
            </c:strRef>
          </c:tx>
          <c:spPr>
            <a:solidFill>
              <a:srgbClr val="339966"/>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Arkusz2!$B$17:$G$17</c:f>
              <c:numCache>
                <c:formatCode>0.0%</c:formatCode>
                <c:ptCount val="6"/>
                <c:pt idx="0">
                  <c:v>0.28580520331963483</c:v>
                </c:pt>
                <c:pt idx="1">
                  <c:v>0.29114284343668551</c:v>
                </c:pt>
                <c:pt idx="2">
                  <c:v>0.29865519612389463</c:v>
                </c:pt>
                <c:pt idx="3">
                  <c:v>0.3048115515614756</c:v>
                </c:pt>
                <c:pt idx="4">
                  <c:v>0.30888593952380189</c:v>
                </c:pt>
                <c:pt idx="5">
                  <c:v>0.30939443849241249</c:v>
                </c:pt>
              </c:numCache>
            </c:numRef>
          </c:val>
        </c:ser>
        <c:ser>
          <c:idx val="2"/>
          <c:order val="2"/>
          <c:tx>
            <c:strRef>
              <c:f>Arkusz2!$A$18</c:f>
              <c:strCache>
                <c:ptCount val="1"/>
                <c:pt idx="0">
                  <c:v>Grunty pod wodami</c:v>
                </c:pt>
              </c:strCache>
            </c:strRef>
          </c:tx>
          <c:spPr>
            <a:solidFill>
              <a:schemeClr val="accent1">
                <a:lumMod val="60000"/>
                <a:lumOff val="40000"/>
              </a:schemeClr>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Arkusz2!$B$18:$G$18</c:f>
              <c:numCache>
                <c:formatCode>0.0%</c:formatCode>
                <c:ptCount val="6"/>
                <c:pt idx="0">
                  <c:v>2.6534691462654109E-2</c:v>
                </c:pt>
                <c:pt idx="1">
                  <c:v>2.6653021411324494E-2</c:v>
                </c:pt>
                <c:pt idx="2">
                  <c:v>2.0346354957864944E-2</c:v>
                </c:pt>
                <c:pt idx="3">
                  <c:v>2.0461486799814507E-2</c:v>
                </c:pt>
                <c:pt idx="4">
                  <c:v>2.0742920191246784E-2</c:v>
                </c:pt>
                <c:pt idx="5">
                  <c:v>2.0621392135855572E-2</c:v>
                </c:pt>
              </c:numCache>
            </c:numRef>
          </c:val>
        </c:ser>
        <c:ser>
          <c:idx val="3"/>
          <c:order val="3"/>
          <c:tx>
            <c:strRef>
              <c:f>Arkusz2!$A$19</c:f>
              <c:strCache>
                <c:ptCount val="1"/>
                <c:pt idx="0">
                  <c:v>Grunty zabudowane i zurbanizowane</c:v>
                </c:pt>
              </c:strCache>
            </c:strRef>
          </c:tx>
          <c:spPr>
            <a:solidFill>
              <a:srgbClr val="333333"/>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Arkusz2!$B$19:$G$19</c:f>
              <c:numCache>
                <c:formatCode>0.0%</c:formatCode>
                <c:ptCount val="6"/>
                <c:pt idx="0">
                  <c:v>6.5065481235108816E-2</c:v>
                </c:pt>
                <c:pt idx="1">
                  <c:v>6.5526008602907082E-2</c:v>
                </c:pt>
                <c:pt idx="2">
                  <c:v>4.719765898588036E-2</c:v>
                </c:pt>
                <c:pt idx="3">
                  <c:v>4.9577050386171391E-2</c:v>
                </c:pt>
                <c:pt idx="4">
                  <c:v>5.2282648671986183E-2</c:v>
                </c:pt>
                <c:pt idx="5">
                  <c:v>5.2835921134688262E-2</c:v>
                </c:pt>
              </c:numCache>
            </c:numRef>
          </c:val>
        </c:ser>
        <c:ser>
          <c:idx val="4"/>
          <c:order val="4"/>
          <c:tx>
            <c:strRef>
              <c:f>Arkusz2!$A$20</c:f>
              <c:strCache>
                <c:ptCount val="1"/>
                <c:pt idx="0">
                  <c:v>Użytki ekologiczne</c:v>
                </c:pt>
              </c:strCache>
            </c:strRef>
          </c:tx>
          <c:spPr>
            <a:solidFill>
              <a:srgbClr val="00FF00"/>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Arkusz2!$B$20:$G$20</c:f>
              <c:numCache>
                <c:formatCode>0.0%</c:formatCode>
                <c:ptCount val="6"/>
                <c:pt idx="0">
                  <c:v>0</c:v>
                </c:pt>
                <c:pt idx="1">
                  <c:v>3.0382013847802099E-4</c:v>
                </c:pt>
                <c:pt idx="2">
                  <c:v>8.027247869261398E-4</c:v>
                </c:pt>
                <c:pt idx="3">
                  <c:v>1.1001487119625182E-3</c:v>
                </c:pt>
                <c:pt idx="4">
                  <c:v>1.1609127396581223E-3</c:v>
                </c:pt>
                <c:pt idx="5">
                  <c:v>1.1864975934246925E-3</c:v>
                </c:pt>
              </c:numCache>
            </c:numRef>
          </c:val>
        </c:ser>
        <c:ser>
          <c:idx val="5"/>
          <c:order val="5"/>
          <c:tx>
            <c:strRef>
              <c:f>Arkusz2!$A$21</c:f>
              <c:strCache>
                <c:ptCount val="1"/>
                <c:pt idx="0">
                  <c:v>Nieużytki</c:v>
                </c:pt>
              </c:strCache>
            </c:strRef>
          </c:tx>
          <c:spPr>
            <a:solidFill>
              <a:schemeClr val="bg2">
                <a:lumMod val="75000"/>
              </a:schemeClr>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Arkusz2!$B$21:$G$21</c:f>
              <c:numCache>
                <c:formatCode>0.0%</c:formatCode>
                <c:ptCount val="6"/>
                <c:pt idx="0">
                  <c:v>1.6160033260309896E-2</c:v>
                </c:pt>
                <c:pt idx="1">
                  <c:v>1.5984137390664725E-2</c:v>
                </c:pt>
                <c:pt idx="2">
                  <c:v>1.5923373362969121E-2</c:v>
                </c:pt>
                <c:pt idx="3">
                  <c:v>1.5405280074196075E-2</c:v>
                </c:pt>
                <c:pt idx="4">
                  <c:v>1.5187808817180229E-2</c:v>
                </c:pt>
                <c:pt idx="5">
                  <c:v>1.5104658042438877E-2</c:v>
                </c:pt>
              </c:numCache>
            </c:numRef>
          </c:val>
        </c:ser>
        <c:ser>
          <c:idx val="6"/>
          <c:order val="6"/>
          <c:tx>
            <c:strRef>
              <c:f>Arkusz2!$A$22</c:f>
              <c:strCache>
                <c:ptCount val="1"/>
                <c:pt idx="0">
                  <c:v>Tereny różne</c:v>
                </c:pt>
              </c:strCache>
            </c:strRef>
          </c:tx>
          <c:spPr>
            <a:solidFill>
              <a:srgbClr val="FF0000"/>
            </a:solidFill>
          </c:spPr>
          <c:invertIfNegative val="0"/>
          <c:cat>
            <c:numRef>
              <c:f>Arkusz2!$B$15:$G$15</c:f>
              <c:numCache>
                <c:formatCode>General</c:formatCode>
                <c:ptCount val="6"/>
                <c:pt idx="0">
                  <c:v>1995</c:v>
                </c:pt>
                <c:pt idx="1">
                  <c:v>2000</c:v>
                </c:pt>
                <c:pt idx="2">
                  <c:v>2005</c:v>
                </c:pt>
                <c:pt idx="3">
                  <c:v>2010</c:v>
                </c:pt>
                <c:pt idx="4">
                  <c:v>2014</c:v>
                </c:pt>
                <c:pt idx="5">
                  <c:v>2015</c:v>
                </c:pt>
              </c:numCache>
            </c:numRef>
          </c:cat>
          <c:val>
            <c:numRef>
              <c:f>Arkusz2!$B$22:$G$22</c:f>
              <c:numCache>
                <c:formatCode>0.0%</c:formatCode>
                <c:ptCount val="6"/>
                <c:pt idx="0">
                  <c:v>7.7074371971792696E-3</c:v>
                </c:pt>
                <c:pt idx="1">
                  <c:v>6.8983161968114871E-3</c:v>
                </c:pt>
                <c:pt idx="2">
                  <c:v>4.6948206661656302E-3</c:v>
                </c:pt>
                <c:pt idx="3">
                  <c:v>3.1917105073796313E-3</c:v>
                </c:pt>
                <c:pt idx="4">
                  <c:v>3.1469370132881334E-3</c:v>
                </c:pt>
                <c:pt idx="5">
                  <c:v>3.3452196299790524E-3</c:v>
                </c:pt>
              </c:numCache>
            </c:numRef>
          </c:val>
        </c:ser>
        <c:dLbls>
          <c:showLegendKey val="0"/>
          <c:showVal val="0"/>
          <c:showCatName val="0"/>
          <c:showSerName val="0"/>
          <c:showPercent val="0"/>
          <c:showBubbleSize val="0"/>
        </c:dLbls>
        <c:gapWidth val="55"/>
        <c:overlap val="100"/>
        <c:axId val="271732448"/>
        <c:axId val="271732840"/>
      </c:barChart>
      <c:catAx>
        <c:axId val="271732448"/>
        <c:scaling>
          <c:orientation val="minMax"/>
        </c:scaling>
        <c:delete val="0"/>
        <c:axPos val="b"/>
        <c:numFmt formatCode="General" sourceLinked="1"/>
        <c:majorTickMark val="none"/>
        <c:minorTickMark val="none"/>
        <c:tickLblPos val="nextTo"/>
        <c:crossAx val="271732840"/>
        <c:crosses val="autoZero"/>
        <c:auto val="1"/>
        <c:lblAlgn val="ctr"/>
        <c:lblOffset val="100"/>
        <c:noMultiLvlLbl val="0"/>
      </c:catAx>
      <c:valAx>
        <c:axId val="271732840"/>
        <c:scaling>
          <c:orientation val="minMax"/>
        </c:scaling>
        <c:delete val="0"/>
        <c:axPos val="l"/>
        <c:majorGridlines/>
        <c:numFmt formatCode="0%" sourceLinked="1"/>
        <c:majorTickMark val="none"/>
        <c:minorTickMark val="none"/>
        <c:tickLblPos val="nextTo"/>
        <c:crossAx val="271732448"/>
        <c:crosses val="autoZero"/>
        <c:crossBetween val="between"/>
      </c:valAx>
    </c:plotArea>
    <c:legend>
      <c:legendPos val="r"/>
      <c:overlay val="0"/>
      <c:spPr>
        <a:noFill/>
      </c:sp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spPr>
            <a:solidFill>
              <a:srgbClr val="7030A0"/>
            </a:solidFill>
          </c:spPr>
          <c:explosion val="2"/>
          <c:dPt>
            <c:idx val="0"/>
            <c:bubble3D val="0"/>
            <c:spPr>
              <a:solidFill>
                <a:schemeClr val="accent6"/>
              </a:solidFill>
            </c:spPr>
          </c:dPt>
          <c:dPt>
            <c:idx val="1"/>
            <c:bubble3D val="0"/>
            <c:spPr>
              <a:solidFill>
                <a:schemeClr val="accent4"/>
              </a:solidFill>
            </c:spPr>
          </c:dPt>
          <c:dPt>
            <c:idx val="2"/>
            <c:bubble3D val="0"/>
            <c:spPr>
              <a:solidFill>
                <a:srgbClr val="BC8FDD"/>
              </a:solidFill>
            </c:spPr>
          </c:dPt>
          <c:dLbls>
            <c:spPr>
              <a:noFill/>
              <a:ln>
                <a:noFill/>
              </a:ln>
              <a:effectLst/>
            </c:spPr>
            <c:txPr>
              <a:bodyPr/>
              <a:lstStyle/>
              <a:p>
                <a:pPr>
                  <a:defRPr sz="1200" b="1"/>
                </a:pPr>
                <a:endParaRPr lang="pl-PL"/>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'[05_Polityka ekologiczna pa+ästwa 2030_Powierzchnia ziemi_dane do wykresow.xlsx]sprzedaż środków ochr. roślin'!$A$9:$C$9</c:f>
              <c:strCache>
                <c:ptCount val="3"/>
                <c:pt idx="0">
                  <c:v>rudy metali</c:v>
                </c:pt>
                <c:pt idx="1">
                  <c:v>materiały niemetaliczne</c:v>
                </c:pt>
                <c:pt idx="2">
                  <c:v>paliwa kopalne</c:v>
                </c:pt>
              </c:strCache>
            </c:strRef>
          </c:cat>
          <c:val>
            <c:numRef>
              <c:f>'[05_Polityka ekologiczna pa+ästwa 2030_Powierzchnia ziemi_dane do wykresow.xlsx]sprzedaż środków ochr. roślin'!$A$10:$C$10</c:f>
              <c:numCache>
                <c:formatCode>0%</c:formatCode>
                <c:ptCount val="3"/>
                <c:pt idx="0">
                  <c:v>7.0000000000000007E-2</c:v>
                </c:pt>
                <c:pt idx="1">
                  <c:v>0.64</c:v>
                </c:pt>
                <c:pt idx="2">
                  <c:v>0.28999999999999998</c:v>
                </c:pt>
              </c:numCache>
            </c:numRef>
          </c:val>
        </c:ser>
        <c:dLbls>
          <c:showLegendKey val="0"/>
          <c:showVal val="0"/>
          <c:showCatName val="0"/>
          <c:showSerName val="0"/>
          <c:showPercent val="0"/>
          <c:showBubbleSize val="0"/>
          <c:showLeaderLines val="1"/>
        </c:dLbls>
        <c:firstSliceAng val="0"/>
        <c:holeSize val="50"/>
      </c:doughnutChart>
    </c:plotArea>
    <c:legend>
      <c:legendPos val="r"/>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70"/>
      <c:rAngAx val="0"/>
    </c:view3D>
    <c:floor>
      <c:thickness val="0"/>
    </c:floor>
    <c:sideWall>
      <c:thickness val="0"/>
    </c:sideWall>
    <c:backWall>
      <c:thickness val="0"/>
    </c:backWall>
    <c:plotArea>
      <c:layout>
        <c:manualLayout>
          <c:layoutTarget val="inner"/>
          <c:xMode val="edge"/>
          <c:yMode val="edge"/>
          <c:x val="7.8703703703703706E-2"/>
          <c:y val="0.23170853643294592"/>
          <c:w val="0.82407407407407407"/>
          <c:h val="0.60384483189601301"/>
        </c:manualLayout>
      </c:layout>
      <c:pie3DChart>
        <c:varyColors val="1"/>
        <c:ser>
          <c:idx val="0"/>
          <c:order val="0"/>
          <c:tx>
            <c:strRef>
              <c:f>Arkusz1!$B$1</c:f>
              <c:strCache>
                <c:ptCount val="1"/>
                <c:pt idx="0">
                  <c:v>WYKORZYSTANIE I OCHRONA ZASOBÓW POWIERZCHNI ZIEMI I GLEBY 2015</c:v>
                </c:pt>
              </c:strCache>
            </c:strRef>
          </c:tx>
          <c:dPt>
            <c:idx val="0"/>
            <c:bubble3D val="0"/>
            <c:spPr>
              <a:solidFill>
                <a:schemeClr val="accent4">
                  <a:lumMod val="60000"/>
                  <a:lumOff val="40000"/>
                </a:schemeClr>
              </a:solidFill>
            </c:spPr>
          </c:dPt>
          <c:dPt>
            <c:idx val="1"/>
            <c:bubble3D val="0"/>
            <c:spPr>
              <a:solidFill>
                <a:schemeClr val="accent6"/>
              </a:solidFill>
            </c:spPr>
          </c:dPt>
          <c:dPt>
            <c:idx val="2"/>
            <c:bubble3D val="0"/>
            <c:spPr>
              <a:solidFill>
                <a:schemeClr val="accent1">
                  <a:lumMod val="75000"/>
                </a:schemeClr>
              </a:solidFill>
            </c:spPr>
          </c:dPt>
          <c:dPt>
            <c:idx val="3"/>
            <c:bubble3D val="0"/>
            <c:spPr>
              <a:solidFill>
                <a:schemeClr val="accent2"/>
              </a:solidFill>
            </c:spPr>
          </c:dPt>
          <c:dPt>
            <c:idx val="4"/>
            <c:bubble3D val="0"/>
            <c:spPr>
              <a:solidFill>
                <a:schemeClr val="accent6">
                  <a:lumMod val="50000"/>
                </a:schemeClr>
              </a:solidFill>
            </c:spPr>
          </c:dPt>
          <c:dPt>
            <c:idx val="5"/>
            <c:bubble3D val="0"/>
            <c:spPr>
              <a:solidFill>
                <a:srgbClr val="C00000"/>
              </a:solidFill>
            </c:spPr>
          </c:dPt>
          <c:dLbls>
            <c:dLbl>
              <c:idx val="2"/>
              <c:layout>
                <c:manualLayout>
                  <c:x val="0.12647182123067949"/>
                  <c:y val="-5.4507874015748033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1.5014581510644503E-2"/>
                  <c:y val="4.994063242094738E-2"/>
                </c:manualLayout>
              </c:layout>
              <c:tx>
                <c:rich>
                  <a:bodyPr/>
                  <a:lstStyle/>
                  <a:p>
                    <a:r>
                      <a:rPr lang="en-US" sz="800"/>
                      <a:t>Użytki ekologiczne</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6"/>
              <c:layout/>
              <c:tx>
                <c:rich>
                  <a:bodyPr/>
                  <a:lstStyle/>
                  <a:p>
                    <a:r>
                      <a:rPr lang="en-US" sz="800"/>
                      <a:t>Tereny różne</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800"/>
                </a:pPr>
                <a:endParaRPr lang="pl-PL"/>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Arkusz1!$A$2:$A$8</c:f>
              <c:strCache>
                <c:ptCount val="7"/>
                <c:pt idx="0">
                  <c:v>Użytki rolne</c:v>
                </c:pt>
                <c:pt idx="1">
                  <c:v>Grunty leśne oraz zadrzewione i zakrzewione</c:v>
                </c:pt>
                <c:pt idx="2">
                  <c:v>Grunty pod wodami</c:v>
                </c:pt>
                <c:pt idx="3">
                  <c:v>Grunty zabudowane i zurbanizowane</c:v>
                </c:pt>
                <c:pt idx="4">
                  <c:v>Użytki ekologiczne</c:v>
                </c:pt>
                <c:pt idx="5">
                  <c:v>Nieużytki</c:v>
                </c:pt>
                <c:pt idx="6">
                  <c:v>Tereny różne</c:v>
                </c:pt>
              </c:strCache>
            </c:strRef>
          </c:cat>
          <c:val>
            <c:numRef>
              <c:f>Arkusz1!$B$2:$B$8</c:f>
              <c:numCache>
                <c:formatCode>General</c:formatCode>
                <c:ptCount val="7"/>
                <c:pt idx="0">
                  <c:v>18682.8</c:v>
                </c:pt>
                <c:pt idx="1">
                  <c:v>9674.2999999999993</c:v>
                </c:pt>
                <c:pt idx="2">
                  <c:v>644.79999999999995</c:v>
                </c:pt>
                <c:pt idx="3">
                  <c:v>1652.1</c:v>
                </c:pt>
                <c:pt idx="4">
                  <c:v>37.1</c:v>
                </c:pt>
                <c:pt idx="5">
                  <c:v>472.3</c:v>
                </c:pt>
                <c:pt idx="6">
                  <c:v>104.6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13774104683196"/>
          <c:y val="0.16901792639992941"/>
          <c:w val="0.84084440684584094"/>
          <c:h val="0.46190937212792299"/>
        </c:manualLayout>
      </c:layout>
      <c:barChart>
        <c:barDir val="col"/>
        <c:grouping val="clustered"/>
        <c:varyColors val="0"/>
        <c:ser>
          <c:idx val="0"/>
          <c:order val="0"/>
          <c:tx>
            <c:strRef>
              <c:f>'4.1.3'!$D$33</c:f>
              <c:strCache>
                <c:ptCount val="1"/>
                <c:pt idx="0">
                  <c:v>FV właściwy stan ochrony</c:v>
                </c:pt>
              </c:strCache>
            </c:strRef>
          </c:tx>
          <c:spPr>
            <a:solidFill>
              <a:srgbClr val="008000"/>
            </a:solidFill>
            <a:ln w="12700">
              <a:solidFill>
                <a:srgbClr val="000000"/>
              </a:solidFill>
              <a:prstDash val="solid"/>
            </a:ln>
          </c:spPr>
          <c:invertIfNegative val="0"/>
          <c:cat>
            <c:strRef>
              <c:f>'F:\RAPORT 2014\zaakceptowane poprawki GRID 01.2014\[stan ochrony styczeń 2014.xlsx]4.1.3'!$E$32:$T$32</c:f>
              <c:strCache>
                <c:ptCount val="16"/>
                <c:pt idx="0">
                  <c:v>Siedliska przyrodnicze</c:v>
                </c:pt>
                <c:pt idx="2">
                  <c:v>Rośliny</c:v>
                </c:pt>
                <c:pt idx="4">
                  <c:v>Zwierzęta</c:v>
                </c:pt>
                <c:pt idx="6">
                  <c:v>Siedliska przyrodnicze</c:v>
                </c:pt>
                <c:pt idx="8">
                  <c:v>Rośliny</c:v>
                </c:pt>
                <c:pt idx="10">
                  <c:v>Zwierzęta</c:v>
                </c:pt>
                <c:pt idx="12">
                  <c:v>Siedliska przyrodnicze</c:v>
                </c:pt>
                <c:pt idx="14">
                  <c:v>Zwierzęta</c:v>
                </c:pt>
              </c:strCache>
            </c:strRef>
          </c:cat>
          <c:val>
            <c:numRef>
              <c:f>'F:\RAPORT 2014\zaakceptowane poprawki GRID 01.2014\[stan ochrony styczeń 2014.xlsx]4.1.3'!$E$33:$T$33</c:f>
              <c:numCache>
                <c:formatCode>General</c:formatCode>
                <c:ptCount val="16"/>
                <c:pt idx="0">
                  <c:v>0.1</c:v>
                </c:pt>
                <c:pt idx="2">
                  <c:v>0.22000000000000072</c:v>
                </c:pt>
                <c:pt idx="4">
                  <c:v>0.30000000000000032</c:v>
                </c:pt>
                <c:pt idx="6">
                  <c:v>0.39000000000000185</c:v>
                </c:pt>
                <c:pt idx="8">
                  <c:v>0.60000000000000064</c:v>
                </c:pt>
                <c:pt idx="10">
                  <c:v>0.32000000000000184</c:v>
                </c:pt>
                <c:pt idx="12">
                  <c:v>0</c:v>
                </c:pt>
                <c:pt idx="14">
                  <c:v>0</c:v>
                </c:pt>
              </c:numCache>
            </c:numRef>
          </c:val>
          <c:extLst xmlns:c16r2="http://schemas.microsoft.com/office/drawing/2015/06/chart">
            <c:ext xmlns:c16="http://schemas.microsoft.com/office/drawing/2014/chart" uri="{C3380CC4-5D6E-409C-BE32-E72D297353CC}">
              <c16:uniqueId val="{00000000-2414-4F9A-A318-55D3D7811A4A}"/>
            </c:ext>
          </c:extLst>
        </c:ser>
        <c:ser>
          <c:idx val="1"/>
          <c:order val="1"/>
          <c:tx>
            <c:strRef>
              <c:f>'F:\RAPORT 2014\zaakceptowane poprawki GRID 01.2014\[stan ochrony styczeń 2014.xlsx]4.1.3'!$D$34</c:f>
              <c:strCache>
                <c:ptCount val="1"/>
                <c:pt idx="0">
                  <c:v>U1 niezadowalający stan ochrony</c:v>
                </c:pt>
              </c:strCache>
            </c:strRef>
          </c:tx>
          <c:spPr>
            <a:solidFill>
              <a:srgbClr val="FFCC00"/>
            </a:solidFill>
            <a:ln w="12700">
              <a:solidFill>
                <a:srgbClr val="000000"/>
              </a:solidFill>
              <a:prstDash val="solid"/>
            </a:ln>
          </c:spPr>
          <c:invertIfNegative val="0"/>
          <c:cat>
            <c:strRef>
              <c:f>'F:\RAPORT 2014\zaakceptowane poprawki GRID 01.2014\[stan ochrony styczeń 2014.xlsx]4.1.3'!$E$32:$T$32</c:f>
              <c:strCache>
                <c:ptCount val="16"/>
                <c:pt idx="0">
                  <c:v>Siedliska przyrodnicze</c:v>
                </c:pt>
                <c:pt idx="2">
                  <c:v>Rośliny</c:v>
                </c:pt>
                <c:pt idx="4">
                  <c:v>Zwierzęta</c:v>
                </c:pt>
                <c:pt idx="6">
                  <c:v>Siedliska przyrodnicze</c:v>
                </c:pt>
                <c:pt idx="8">
                  <c:v>Rośliny</c:v>
                </c:pt>
                <c:pt idx="10">
                  <c:v>Zwierzęta</c:v>
                </c:pt>
                <c:pt idx="12">
                  <c:v>Siedliska przyrodnicze</c:v>
                </c:pt>
                <c:pt idx="14">
                  <c:v>Zwierzęta</c:v>
                </c:pt>
              </c:strCache>
            </c:strRef>
          </c:cat>
          <c:val>
            <c:numRef>
              <c:f>'F:\RAPORT 2014\zaakceptowane poprawki GRID 01.2014\[stan ochrony styczeń 2014.xlsx]4.1.3'!$E$34:$T$34</c:f>
              <c:numCache>
                <c:formatCode>General</c:formatCode>
                <c:ptCount val="16"/>
                <c:pt idx="0">
                  <c:v>0.54</c:v>
                </c:pt>
                <c:pt idx="2">
                  <c:v>0.53</c:v>
                </c:pt>
                <c:pt idx="4">
                  <c:v>0.41000000000000031</c:v>
                </c:pt>
                <c:pt idx="6">
                  <c:v>0.49000000000000032</c:v>
                </c:pt>
                <c:pt idx="8">
                  <c:v>0.35000000000000031</c:v>
                </c:pt>
                <c:pt idx="10">
                  <c:v>0.21000000000000021</c:v>
                </c:pt>
                <c:pt idx="12">
                  <c:v>0</c:v>
                </c:pt>
                <c:pt idx="14">
                  <c:v>0.14000000000000001</c:v>
                </c:pt>
              </c:numCache>
            </c:numRef>
          </c:val>
          <c:extLst xmlns:c16r2="http://schemas.microsoft.com/office/drawing/2015/06/chart">
            <c:ext xmlns:c16="http://schemas.microsoft.com/office/drawing/2014/chart" uri="{C3380CC4-5D6E-409C-BE32-E72D297353CC}">
              <c16:uniqueId val="{00000001-2414-4F9A-A318-55D3D7811A4A}"/>
            </c:ext>
          </c:extLst>
        </c:ser>
        <c:ser>
          <c:idx val="2"/>
          <c:order val="2"/>
          <c:tx>
            <c:strRef>
              <c:f>'F:\RAPORT 2014\zaakceptowane poprawki GRID 01.2014\[stan ochrony styczeń 2014.xlsx]4.1.3'!$D$35</c:f>
              <c:strCache>
                <c:ptCount val="1"/>
                <c:pt idx="0">
                  <c:v>U2 zły stan ochrony</c:v>
                </c:pt>
              </c:strCache>
            </c:strRef>
          </c:tx>
          <c:spPr>
            <a:solidFill>
              <a:srgbClr val="FF0000"/>
            </a:solidFill>
            <a:ln w="12700">
              <a:solidFill>
                <a:srgbClr val="000000"/>
              </a:solidFill>
              <a:prstDash val="solid"/>
            </a:ln>
          </c:spPr>
          <c:invertIfNegative val="0"/>
          <c:cat>
            <c:strRef>
              <c:f>'F:\RAPORT 2014\zaakceptowane poprawki GRID 01.2014\[stan ochrony styczeń 2014.xlsx]4.1.3'!$E$32:$T$32</c:f>
              <c:strCache>
                <c:ptCount val="16"/>
                <c:pt idx="0">
                  <c:v>Siedliska przyrodnicze</c:v>
                </c:pt>
                <c:pt idx="2">
                  <c:v>Rośliny</c:v>
                </c:pt>
                <c:pt idx="4">
                  <c:v>Zwierzęta</c:v>
                </c:pt>
                <c:pt idx="6">
                  <c:v>Siedliska przyrodnicze</c:v>
                </c:pt>
                <c:pt idx="8">
                  <c:v>Rośliny</c:v>
                </c:pt>
                <c:pt idx="10">
                  <c:v>Zwierzęta</c:v>
                </c:pt>
                <c:pt idx="12">
                  <c:v>Siedliska przyrodnicze</c:v>
                </c:pt>
                <c:pt idx="14">
                  <c:v>Zwierzęta</c:v>
                </c:pt>
              </c:strCache>
            </c:strRef>
          </c:cat>
          <c:val>
            <c:numRef>
              <c:f>'F:\RAPORT 2014\zaakceptowane poprawki GRID 01.2014\[stan ochrony styczeń 2014.xlsx]4.1.3'!$E$35:$T$35</c:f>
              <c:numCache>
                <c:formatCode>General</c:formatCode>
                <c:ptCount val="16"/>
                <c:pt idx="0">
                  <c:v>0.28000000000000008</c:v>
                </c:pt>
                <c:pt idx="2">
                  <c:v>0.25</c:v>
                </c:pt>
                <c:pt idx="4">
                  <c:v>0.12000000000000002</c:v>
                </c:pt>
                <c:pt idx="6">
                  <c:v>0.1</c:v>
                </c:pt>
                <c:pt idx="8">
                  <c:v>5.0000000000000114E-2</c:v>
                </c:pt>
                <c:pt idx="10">
                  <c:v>9.0000000000000066E-2</c:v>
                </c:pt>
                <c:pt idx="12">
                  <c:v>0</c:v>
                </c:pt>
                <c:pt idx="14">
                  <c:v>0.86000000000000065</c:v>
                </c:pt>
              </c:numCache>
            </c:numRef>
          </c:val>
          <c:extLst xmlns:c16r2="http://schemas.microsoft.com/office/drawing/2015/06/chart">
            <c:ext xmlns:c16="http://schemas.microsoft.com/office/drawing/2014/chart" uri="{C3380CC4-5D6E-409C-BE32-E72D297353CC}">
              <c16:uniqueId val="{00000002-2414-4F9A-A318-55D3D7811A4A}"/>
            </c:ext>
          </c:extLst>
        </c:ser>
        <c:ser>
          <c:idx val="3"/>
          <c:order val="3"/>
          <c:tx>
            <c:strRef>
              <c:f>'F:\RAPORT 2014\zaakceptowane poprawki GRID 01.2014\[stan ochrony styczeń 2014.xlsx]4.1.3'!$D$36</c:f>
              <c:strCache>
                <c:ptCount val="1"/>
                <c:pt idx="0">
                  <c:v>XX  nieznany stan ochrony</c:v>
                </c:pt>
              </c:strCache>
            </c:strRef>
          </c:tx>
          <c:spPr>
            <a:solidFill>
              <a:schemeClr val="bg1">
                <a:lumMod val="50000"/>
              </a:schemeClr>
            </a:solidFill>
            <a:ln w="12700">
              <a:solidFill>
                <a:srgbClr val="000000"/>
              </a:solidFill>
              <a:prstDash val="solid"/>
            </a:ln>
          </c:spPr>
          <c:invertIfNegative val="0"/>
          <c:dPt>
            <c:idx val="0"/>
            <c:invertIfNegative val="0"/>
            <c:bubble3D val="0"/>
            <c:extLst xmlns:c16r2="http://schemas.microsoft.com/office/drawing/2015/06/chart">
              <c:ext xmlns:c16="http://schemas.microsoft.com/office/drawing/2014/chart" uri="{C3380CC4-5D6E-409C-BE32-E72D297353CC}">
                <c16:uniqueId val="{00000004-2414-4F9A-A318-55D3D7811A4A}"/>
              </c:ext>
            </c:extLst>
          </c:dPt>
          <c:dPt>
            <c:idx val="4"/>
            <c:invertIfNegative val="0"/>
            <c:bubble3D val="0"/>
            <c:extLst xmlns:c16r2="http://schemas.microsoft.com/office/drawing/2015/06/chart">
              <c:ext xmlns:c16="http://schemas.microsoft.com/office/drawing/2014/chart" uri="{C3380CC4-5D6E-409C-BE32-E72D297353CC}">
                <c16:uniqueId val="{00000006-2414-4F9A-A318-55D3D7811A4A}"/>
              </c:ext>
            </c:extLst>
          </c:dPt>
          <c:dPt>
            <c:idx val="6"/>
            <c:invertIfNegative val="0"/>
            <c:bubble3D val="0"/>
            <c:extLst xmlns:c16r2="http://schemas.microsoft.com/office/drawing/2015/06/chart">
              <c:ext xmlns:c16="http://schemas.microsoft.com/office/drawing/2014/chart" uri="{C3380CC4-5D6E-409C-BE32-E72D297353CC}">
                <c16:uniqueId val="{00000008-2414-4F9A-A318-55D3D7811A4A}"/>
              </c:ext>
            </c:extLst>
          </c:dPt>
          <c:dPt>
            <c:idx val="10"/>
            <c:invertIfNegative val="0"/>
            <c:bubble3D val="0"/>
            <c:extLst xmlns:c16r2="http://schemas.microsoft.com/office/drawing/2015/06/chart">
              <c:ext xmlns:c16="http://schemas.microsoft.com/office/drawing/2014/chart" uri="{C3380CC4-5D6E-409C-BE32-E72D297353CC}">
                <c16:uniqueId val="{0000000A-2414-4F9A-A318-55D3D7811A4A}"/>
              </c:ext>
            </c:extLst>
          </c:dPt>
          <c:dPt>
            <c:idx val="12"/>
            <c:invertIfNegative val="0"/>
            <c:bubble3D val="0"/>
            <c:extLst xmlns:c16r2="http://schemas.microsoft.com/office/drawing/2015/06/chart">
              <c:ext xmlns:c16="http://schemas.microsoft.com/office/drawing/2014/chart" uri="{C3380CC4-5D6E-409C-BE32-E72D297353CC}">
                <c16:uniqueId val="{0000000C-2414-4F9A-A318-55D3D7811A4A}"/>
              </c:ext>
            </c:extLst>
          </c:dPt>
          <c:cat>
            <c:strRef>
              <c:f>'F:\RAPORT 2014\zaakceptowane poprawki GRID 01.2014\[stan ochrony styczeń 2014.xlsx]4.1.3'!$E$32:$T$32</c:f>
              <c:strCache>
                <c:ptCount val="16"/>
                <c:pt idx="0">
                  <c:v>Siedliska przyrodnicze</c:v>
                </c:pt>
                <c:pt idx="2">
                  <c:v>Rośliny</c:v>
                </c:pt>
                <c:pt idx="4">
                  <c:v>Zwierzęta</c:v>
                </c:pt>
                <c:pt idx="6">
                  <c:v>Siedliska przyrodnicze</c:v>
                </c:pt>
                <c:pt idx="8">
                  <c:v>Rośliny</c:v>
                </c:pt>
                <c:pt idx="10">
                  <c:v>Zwierzęta</c:v>
                </c:pt>
                <c:pt idx="12">
                  <c:v>Siedliska przyrodnicze</c:v>
                </c:pt>
                <c:pt idx="14">
                  <c:v>Zwierzęta</c:v>
                </c:pt>
              </c:strCache>
            </c:strRef>
          </c:cat>
          <c:val>
            <c:numRef>
              <c:f>'F:\RAPORT 2014\zaakceptowane poprawki GRID 01.2014\[stan ochrony styczeń 2014.xlsx]4.1.3'!$E$36:$T$36</c:f>
              <c:numCache>
                <c:formatCode>General</c:formatCode>
                <c:ptCount val="16"/>
                <c:pt idx="0">
                  <c:v>8.0000000000000224E-2</c:v>
                </c:pt>
                <c:pt idx="2">
                  <c:v>0</c:v>
                </c:pt>
                <c:pt idx="4">
                  <c:v>0.17</c:v>
                </c:pt>
                <c:pt idx="6">
                  <c:v>2.0000000000000052E-2</c:v>
                </c:pt>
                <c:pt idx="8">
                  <c:v>0</c:v>
                </c:pt>
                <c:pt idx="10">
                  <c:v>0.38000000000000184</c:v>
                </c:pt>
                <c:pt idx="12">
                  <c:v>1</c:v>
                </c:pt>
                <c:pt idx="14">
                  <c:v>0</c:v>
                </c:pt>
              </c:numCache>
            </c:numRef>
          </c:val>
          <c:extLst xmlns:c16r2="http://schemas.microsoft.com/office/drawing/2015/06/chart">
            <c:ext xmlns:c16="http://schemas.microsoft.com/office/drawing/2014/chart" uri="{C3380CC4-5D6E-409C-BE32-E72D297353CC}">
              <c16:uniqueId val="{0000000D-2414-4F9A-A318-55D3D7811A4A}"/>
            </c:ext>
          </c:extLst>
        </c:ser>
        <c:dLbls>
          <c:showLegendKey val="0"/>
          <c:showVal val="0"/>
          <c:showCatName val="0"/>
          <c:showSerName val="0"/>
          <c:showPercent val="0"/>
          <c:showBubbleSize val="0"/>
        </c:dLbls>
        <c:gapWidth val="10"/>
        <c:axId val="271734408"/>
        <c:axId val="271734800"/>
      </c:barChart>
      <c:catAx>
        <c:axId val="271734408"/>
        <c:scaling>
          <c:orientation val="minMax"/>
        </c:scaling>
        <c:delete val="1"/>
        <c:axPos val="b"/>
        <c:numFmt formatCode="General" sourceLinked="0"/>
        <c:majorTickMark val="out"/>
        <c:minorTickMark val="none"/>
        <c:tickLblPos val="none"/>
        <c:crossAx val="271734800"/>
        <c:crosses val="autoZero"/>
        <c:auto val="1"/>
        <c:lblAlgn val="ctr"/>
        <c:lblOffset val="100"/>
        <c:noMultiLvlLbl val="0"/>
      </c:catAx>
      <c:valAx>
        <c:axId val="271734800"/>
        <c:scaling>
          <c:orientation val="minMax"/>
          <c:max val="1"/>
        </c:scaling>
        <c:delete val="0"/>
        <c:axPos val="l"/>
        <c:majorGridlines>
          <c:spPr>
            <a:ln w="3175">
              <a:solidFill>
                <a:srgbClr val="000000"/>
              </a:solidFill>
              <a:prstDash val="sysDash"/>
            </a:ln>
          </c:spPr>
        </c:majorGridlines>
        <c:title>
          <c:tx>
            <c:rich>
              <a:bodyPr/>
              <a:lstStyle/>
              <a:p>
                <a:pPr>
                  <a:defRPr sz="1000" b="0" i="0" u="none" strike="noStrike" baseline="0">
                    <a:solidFill>
                      <a:srgbClr val="000000"/>
                    </a:solidFill>
                    <a:latin typeface="Arial Narrow"/>
                    <a:ea typeface="Arial Narrow"/>
                    <a:cs typeface="Arial Narrow"/>
                  </a:defRPr>
                </a:pPr>
                <a:r>
                  <a:rPr lang="pl-PL"/>
                  <a:t>udział procentowy w odniesieniu do liczby siedlisk przyrodniczych, gatunków roślin i zwierząt wymienionych w Dyrektywie Siedliskowej</a:t>
                </a:r>
              </a:p>
            </c:rich>
          </c:tx>
          <c:layout>
            <c:manualLayout>
              <c:xMode val="edge"/>
              <c:yMode val="edge"/>
              <c:x val="8.1120943952803781E-3"/>
              <c:y val="4.1362530413625996E-2"/>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Narrow"/>
                <a:ea typeface="Arial Narrow"/>
                <a:cs typeface="Arial Narrow"/>
              </a:defRPr>
            </a:pPr>
            <a:endParaRPr lang="pl-PL"/>
          </a:p>
        </c:txPr>
        <c:crossAx val="271734408"/>
        <c:crosses val="autoZero"/>
        <c:crossBetween val="between"/>
        <c:majorUnit val="0.1"/>
      </c:valAx>
      <c:spPr>
        <a:noFill/>
        <a:ln w="12700">
          <a:solidFill>
            <a:srgbClr val="808080"/>
          </a:solidFill>
          <a:prstDash val="solid"/>
        </a:ln>
      </c:spPr>
    </c:plotArea>
    <c:legend>
      <c:legendPos val="t"/>
      <c:layout>
        <c:manualLayout>
          <c:xMode val="edge"/>
          <c:yMode val="edge"/>
          <c:x val="0.10082766100518427"/>
          <c:y val="1.9464720194647435E-2"/>
          <c:w val="0.88442315784907266"/>
          <c:h val="0.12734544928736771"/>
        </c:manualLayout>
      </c:layout>
      <c:overlay val="0"/>
      <c:spPr>
        <a:solidFill>
          <a:srgbClr val="FFFFFF"/>
        </a:solidFill>
        <a:ln w="25400">
          <a:noFill/>
        </a:ln>
      </c:spPr>
      <c:txPr>
        <a:bodyPr/>
        <a:lstStyle/>
        <a:p>
          <a:pPr>
            <a:defRPr sz="1010" b="0" i="0" u="none" strike="noStrike" baseline="0">
              <a:solidFill>
                <a:srgbClr val="000000"/>
              </a:solidFill>
              <a:latin typeface="Arial Narrow"/>
              <a:ea typeface="Arial Narrow"/>
              <a:cs typeface="Arial Narrow"/>
            </a:defRPr>
          </a:pPr>
          <a:endParaRPr lang="pl-PL"/>
        </a:p>
      </c:txPr>
    </c:legend>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Arial Narrow"/>
          <a:ea typeface="Arial Narrow"/>
          <a:cs typeface="Arial Narrow"/>
        </a:defRPr>
      </a:pPr>
      <a:endParaRPr lang="pl-PL"/>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en-US" sz="1200" b="0"/>
              <a:t>Stan jcw</a:t>
            </a:r>
          </a:p>
        </c:rich>
      </c:tx>
      <c:layout>
        <c:manualLayout>
          <c:xMode val="edge"/>
          <c:yMode val="edge"/>
          <c:x val="3.3358060130246427E-2"/>
          <c:y val="2.2496829187067392E-2"/>
        </c:manualLayout>
      </c:layout>
      <c:overlay val="0"/>
    </c:title>
    <c:autoTitleDeleted val="0"/>
    <c:plotArea>
      <c:layout>
        <c:manualLayout>
          <c:layoutTarget val="inner"/>
          <c:xMode val="edge"/>
          <c:yMode val="edge"/>
          <c:x val="0"/>
          <c:y val="0.15177211243454664"/>
          <c:w val="0.95203001398850506"/>
          <c:h val="0.80251622015479707"/>
        </c:manualLayout>
      </c:layout>
      <c:pieChart>
        <c:varyColors val="1"/>
        <c:ser>
          <c:idx val="0"/>
          <c:order val="0"/>
          <c:tx>
            <c:strRef>
              <c:f>Arkusz1!$S$65</c:f>
              <c:strCache>
                <c:ptCount val="1"/>
                <c:pt idx="0">
                  <c:v>Stan jcw</c:v>
                </c:pt>
              </c:strCache>
            </c:strRef>
          </c:tx>
          <c:dPt>
            <c:idx val="0"/>
            <c:bubble3D val="0"/>
            <c:spPr>
              <a:solidFill>
                <a:srgbClr val="00B050"/>
              </a:solidFill>
            </c:spPr>
            <c:extLst xmlns:c16r2="http://schemas.microsoft.com/office/drawing/2015/06/chart">
              <c:ext xmlns:c16="http://schemas.microsoft.com/office/drawing/2014/chart" uri="{C3380CC4-5D6E-409C-BE32-E72D297353CC}">
                <c16:uniqueId val="{00000001-3219-4724-9F5A-85441110F363}"/>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3219-4724-9F5A-85441110F363}"/>
              </c:ext>
            </c:extLst>
          </c:dPt>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Arkusz1!$T$64:$U$64</c:f>
              <c:strCache>
                <c:ptCount val="2"/>
                <c:pt idx="0">
                  <c:v>Dobry</c:v>
                </c:pt>
                <c:pt idx="1">
                  <c:v>Zły</c:v>
                </c:pt>
              </c:strCache>
            </c:strRef>
          </c:cat>
          <c:val>
            <c:numRef>
              <c:f>Arkusz1!$T$65:$U$65</c:f>
              <c:numCache>
                <c:formatCode>General</c:formatCode>
                <c:ptCount val="2"/>
                <c:pt idx="0">
                  <c:v>100</c:v>
                </c:pt>
                <c:pt idx="1">
                  <c:v>310</c:v>
                </c:pt>
              </c:numCache>
            </c:numRef>
          </c:val>
          <c:extLst xmlns:c16r2="http://schemas.microsoft.com/office/drawing/2015/06/chart">
            <c:ext xmlns:c16="http://schemas.microsoft.com/office/drawing/2014/chart" uri="{C3380CC4-5D6E-409C-BE32-E72D297353CC}">
              <c16:uniqueId val="{00000004-3219-4724-9F5A-85441110F363}"/>
            </c:ext>
          </c:extLst>
        </c:ser>
        <c:dLbls>
          <c:showLegendKey val="0"/>
          <c:showVal val="0"/>
          <c:showCatName val="0"/>
          <c:showSerName val="0"/>
          <c:showPercent val="0"/>
          <c:showBubbleSize val="0"/>
          <c:showLeaderLines val="1"/>
        </c:dLbls>
        <c:firstSliceAng val="0"/>
      </c:pieChart>
      <c:spPr>
        <a:noFill/>
      </c:spPr>
    </c:plotArea>
    <c:plotVisOnly val="1"/>
    <c:dispBlanksAs val="gap"/>
    <c:showDLblsOverMax val="0"/>
  </c:chart>
  <c:spPr>
    <a:noFill/>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16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WykresKolowyTrendy!$O$19:$O$24</c:f>
              <c:strCache>
                <c:ptCount val="6"/>
                <c:pt idx="0">
                  <c:v>Silny wzrost</c:v>
                </c:pt>
                <c:pt idx="1">
                  <c:v>Umiarkowany wzrost</c:v>
                </c:pt>
                <c:pt idx="2">
                  <c:v>Stabilny</c:v>
                </c:pt>
                <c:pt idx="3">
                  <c:v>Umiarkowany spadek</c:v>
                </c:pt>
                <c:pt idx="4">
                  <c:v>Silny spadek</c:v>
                </c:pt>
                <c:pt idx="5">
                  <c:v>Nieokreślony</c:v>
                </c:pt>
              </c:strCache>
            </c:strRef>
          </c:cat>
          <c:val>
            <c:numRef>
              <c:f>WykresKolowyTrendy!$P$19:$P$24</c:f>
              <c:numCache>
                <c:formatCode>General</c:formatCode>
                <c:ptCount val="6"/>
                <c:pt idx="0">
                  <c:v>8</c:v>
                </c:pt>
                <c:pt idx="1">
                  <c:v>51</c:v>
                </c:pt>
                <c:pt idx="2">
                  <c:v>39</c:v>
                </c:pt>
                <c:pt idx="3">
                  <c:v>35</c:v>
                </c:pt>
                <c:pt idx="4">
                  <c:v>2</c:v>
                </c:pt>
                <c:pt idx="5">
                  <c:v>28</c:v>
                </c:pt>
              </c:numCache>
            </c:numRef>
          </c:val>
          <c:extLst xmlns:c16r2="http://schemas.microsoft.com/office/drawing/2015/06/chart">
            <c:ext xmlns:c16="http://schemas.microsoft.com/office/drawing/2014/chart" uri="{C3380CC4-5D6E-409C-BE32-E72D297353CC}">
              <c16:uniqueId val="{00000006-A69D-45C6-8FDD-C12C0EB6B5FF}"/>
            </c:ext>
          </c:extLst>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57191462178316E-2"/>
          <c:y val="0.2879070806762371"/>
          <c:w val="0.86725409323834524"/>
          <c:h val="0.57691549223146077"/>
        </c:manualLayout>
      </c:layout>
      <c:lineChart>
        <c:grouping val="standard"/>
        <c:varyColors val="0"/>
        <c:ser>
          <c:idx val="0"/>
          <c:order val="0"/>
          <c:tx>
            <c:strRef>
              <c:f>Arkusz1!$B$3</c:f>
              <c:strCache>
                <c:ptCount val="1"/>
                <c:pt idx="0">
                  <c:v>Zagregowany wskaźnik liczebności 110 pospolitych gatunków ptaków</c:v>
                </c:pt>
              </c:strCache>
            </c:strRef>
          </c:tx>
          <c:spPr>
            <a:ln w="22225" cap="rnd">
              <a:solidFill>
                <a:schemeClr val="accent5">
                  <a:lumMod val="60000"/>
                  <a:lumOff val="40000"/>
                </a:schemeClr>
              </a:solidFill>
              <a:round/>
            </a:ln>
            <a:effectLst/>
          </c:spPr>
          <c:marker>
            <c:symbol val="square"/>
            <c:size val="5"/>
            <c:spPr>
              <a:solidFill>
                <a:schemeClr val="accent5">
                  <a:lumMod val="60000"/>
                  <a:lumOff val="40000"/>
                </a:schemeClr>
              </a:solidFill>
              <a:ln w="9525">
                <a:noFill/>
              </a:ln>
              <a:effectLst/>
            </c:spPr>
          </c:marker>
          <c:cat>
            <c:numRef>
              <c:f>Arkusz1!$C$2:$S$2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Arkusz1!$C$3:$S$3</c:f>
              <c:numCache>
                <c:formatCode>General</c:formatCode>
                <c:ptCount val="17"/>
                <c:pt idx="0">
                  <c:v>1</c:v>
                </c:pt>
                <c:pt idx="1">
                  <c:v>1.0637330853953462</c:v>
                </c:pt>
                <c:pt idx="2">
                  <c:v>0.99351052798046668</c:v>
                </c:pt>
                <c:pt idx="3">
                  <c:v>0.98501406384791246</c:v>
                </c:pt>
                <c:pt idx="4">
                  <c:v>1.0469346896101142</c:v>
                </c:pt>
                <c:pt idx="5">
                  <c:v>1.0223487639051392</c:v>
                </c:pt>
                <c:pt idx="6">
                  <c:v>1.0567653191462352</c:v>
                </c:pt>
                <c:pt idx="7">
                  <c:v>1.0441630515860085</c:v>
                </c:pt>
                <c:pt idx="8">
                  <c:v>1.1717166192574728</c:v>
                </c:pt>
                <c:pt idx="9">
                  <c:v>1.0739091950792228</c:v>
                </c:pt>
                <c:pt idx="10">
                  <c:v>1.0575611593025889</c:v>
                </c:pt>
                <c:pt idx="11">
                  <c:v>1.0972016582611999</c:v>
                </c:pt>
                <c:pt idx="12">
                  <c:v>1.0726060679493585</c:v>
                </c:pt>
                <c:pt idx="13">
                  <c:v>1.0827133623683471</c:v>
                </c:pt>
                <c:pt idx="14">
                  <c:v>1.0840632009095679</c:v>
                </c:pt>
                <c:pt idx="15">
                  <c:v>1.0953988441554567</c:v>
                </c:pt>
                <c:pt idx="16">
                  <c:v>1.1244385652133317</c:v>
                </c:pt>
              </c:numCache>
            </c:numRef>
          </c:val>
          <c:smooth val="0"/>
          <c:extLst xmlns:c16r2="http://schemas.microsoft.com/office/drawing/2015/06/chart">
            <c:ext xmlns:c16="http://schemas.microsoft.com/office/drawing/2014/chart" uri="{C3380CC4-5D6E-409C-BE32-E72D297353CC}">
              <c16:uniqueId val="{00000000-7EDE-44BB-94E7-0139FA8BE2D6}"/>
            </c:ext>
          </c:extLst>
        </c:ser>
        <c:ser>
          <c:idx val="1"/>
          <c:order val="1"/>
          <c:tx>
            <c:strRef>
              <c:f>Arkusz1!$B$4</c:f>
              <c:strCache>
                <c:ptCount val="1"/>
                <c:pt idx="0">
                  <c:v>Wskaźnik liczebności pospolitych ptaków krajobrazu rolniczego(Farmland Bird Index)</c:v>
                </c:pt>
              </c:strCache>
            </c:strRef>
          </c:tx>
          <c:spPr>
            <a:ln w="22225" cap="rnd">
              <a:solidFill>
                <a:schemeClr val="accent2"/>
              </a:solidFill>
              <a:round/>
            </a:ln>
            <a:effectLst/>
          </c:spPr>
          <c:marker>
            <c:symbol val="square"/>
            <c:size val="5"/>
            <c:spPr>
              <a:solidFill>
                <a:schemeClr val="accent2"/>
              </a:solidFill>
              <a:ln w="9525">
                <a:noFill/>
              </a:ln>
              <a:effectLst/>
            </c:spPr>
          </c:marker>
          <c:cat>
            <c:numRef>
              <c:f>Arkusz1!$C$2:$S$2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Arkusz1!$C$4:$S$4</c:f>
              <c:numCache>
                <c:formatCode>General</c:formatCode>
                <c:ptCount val="17"/>
                <c:pt idx="0">
                  <c:v>1</c:v>
                </c:pt>
                <c:pt idx="1">
                  <c:v>0.95</c:v>
                </c:pt>
                <c:pt idx="2">
                  <c:v>0.92549999999999999</c:v>
                </c:pt>
                <c:pt idx="3">
                  <c:v>0.84889999999999999</c:v>
                </c:pt>
                <c:pt idx="4">
                  <c:v>0.87790000000000001</c:v>
                </c:pt>
                <c:pt idx="5">
                  <c:v>0.90300000000000002</c:v>
                </c:pt>
                <c:pt idx="6">
                  <c:v>0.91220000000000001</c:v>
                </c:pt>
                <c:pt idx="7">
                  <c:v>0.8831</c:v>
                </c:pt>
                <c:pt idx="8">
                  <c:v>0.99370000000000003</c:v>
                </c:pt>
                <c:pt idx="9">
                  <c:v>0.93610000000000004</c:v>
                </c:pt>
                <c:pt idx="10">
                  <c:v>0.88290000000000002</c:v>
                </c:pt>
                <c:pt idx="11">
                  <c:v>0.87050000000000005</c:v>
                </c:pt>
                <c:pt idx="12">
                  <c:v>0.84440000000000004</c:v>
                </c:pt>
                <c:pt idx="13">
                  <c:v>0.84840000000000004</c:v>
                </c:pt>
                <c:pt idx="14">
                  <c:v>0.83399999999999996</c:v>
                </c:pt>
                <c:pt idx="15">
                  <c:v>0.85729999999999995</c:v>
                </c:pt>
                <c:pt idx="16">
                  <c:v>0.86570000000000003</c:v>
                </c:pt>
              </c:numCache>
            </c:numRef>
          </c:val>
          <c:smooth val="0"/>
          <c:extLst xmlns:c16r2="http://schemas.microsoft.com/office/drawing/2015/06/chart">
            <c:ext xmlns:c16="http://schemas.microsoft.com/office/drawing/2014/chart" uri="{C3380CC4-5D6E-409C-BE32-E72D297353CC}">
              <c16:uniqueId val="{00000001-7EDE-44BB-94E7-0139FA8BE2D6}"/>
            </c:ext>
          </c:extLst>
        </c:ser>
        <c:ser>
          <c:idx val="2"/>
          <c:order val="2"/>
          <c:tx>
            <c:strRef>
              <c:f>Arkusz1!$B$5</c:f>
              <c:strCache>
                <c:ptCount val="1"/>
                <c:pt idx="0">
                  <c:v>Wskaźnik liczebności pospolitych ptaków leśnych (Forest Bird Index)</c:v>
                </c:pt>
              </c:strCache>
            </c:strRef>
          </c:tx>
          <c:spPr>
            <a:ln w="22225" cap="rnd">
              <a:solidFill>
                <a:schemeClr val="bg1">
                  <a:lumMod val="65000"/>
                </a:schemeClr>
              </a:solidFill>
              <a:round/>
            </a:ln>
            <a:effectLst/>
          </c:spPr>
          <c:marker>
            <c:symbol val="triangle"/>
            <c:size val="5"/>
            <c:spPr>
              <a:solidFill>
                <a:schemeClr val="accent3"/>
              </a:solidFill>
              <a:ln w="9525">
                <a:solidFill>
                  <a:schemeClr val="bg1">
                    <a:lumMod val="65000"/>
                  </a:schemeClr>
                </a:solidFill>
              </a:ln>
              <a:effectLst/>
            </c:spPr>
          </c:marker>
          <c:cat>
            <c:numRef>
              <c:f>Arkusz1!$C$2:$S$2</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Arkusz1!$C$5:$S$5</c:f>
              <c:numCache>
                <c:formatCode>General</c:formatCode>
                <c:ptCount val="17"/>
                <c:pt idx="0">
                  <c:v>1</c:v>
                </c:pt>
                <c:pt idx="1">
                  <c:v>1.0835999999999999</c:v>
                </c:pt>
                <c:pt idx="2">
                  <c:v>1.0177</c:v>
                </c:pt>
                <c:pt idx="3">
                  <c:v>1.0537000000000001</c:v>
                </c:pt>
                <c:pt idx="4">
                  <c:v>1.1816</c:v>
                </c:pt>
                <c:pt idx="5">
                  <c:v>1.1634</c:v>
                </c:pt>
                <c:pt idx="6">
                  <c:v>1.1261000000000001</c:v>
                </c:pt>
                <c:pt idx="7">
                  <c:v>1.06</c:v>
                </c:pt>
                <c:pt idx="8">
                  <c:v>1.2702</c:v>
                </c:pt>
                <c:pt idx="9">
                  <c:v>1.1264000000000001</c:v>
                </c:pt>
                <c:pt idx="10">
                  <c:v>1.1653</c:v>
                </c:pt>
                <c:pt idx="11">
                  <c:v>1.2536</c:v>
                </c:pt>
                <c:pt idx="12">
                  <c:v>1.236</c:v>
                </c:pt>
                <c:pt idx="13">
                  <c:v>1.2346999999999999</c:v>
                </c:pt>
                <c:pt idx="14">
                  <c:v>1.2501</c:v>
                </c:pt>
                <c:pt idx="15">
                  <c:v>1.2551000000000001</c:v>
                </c:pt>
                <c:pt idx="16">
                  <c:v>1.3573999999999999</c:v>
                </c:pt>
              </c:numCache>
            </c:numRef>
          </c:val>
          <c:smooth val="0"/>
          <c:extLst xmlns:c16r2="http://schemas.microsoft.com/office/drawing/2015/06/chart">
            <c:ext xmlns:c16="http://schemas.microsoft.com/office/drawing/2014/chart" uri="{C3380CC4-5D6E-409C-BE32-E72D297353CC}">
              <c16:uniqueId val="{00000002-7EDE-44BB-94E7-0139FA8BE2D6}"/>
            </c:ext>
          </c:extLst>
        </c:ser>
        <c:dLbls>
          <c:showLegendKey val="0"/>
          <c:showVal val="0"/>
          <c:showCatName val="0"/>
          <c:showSerName val="0"/>
          <c:showPercent val="0"/>
          <c:showBubbleSize val="0"/>
        </c:dLbls>
        <c:marker val="1"/>
        <c:smooth val="0"/>
        <c:axId val="272309880"/>
        <c:axId val="272310272"/>
      </c:lineChart>
      <c:catAx>
        <c:axId val="272309880"/>
        <c:scaling>
          <c:orientation val="minMax"/>
        </c:scaling>
        <c:delete val="0"/>
        <c:axPos val="b"/>
        <c:numFmt formatCode="General"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pl-PL"/>
          </a:p>
        </c:txPr>
        <c:crossAx val="272310272"/>
        <c:crosses val="autoZero"/>
        <c:auto val="1"/>
        <c:lblAlgn val="ctr"/>
        <c:lblOffset val="100"/>
        <c:noMultiLvlLbl val="0"/>
      </c:catAx>
      <c:valAx>
        <c:axId val="272310272"/>
        <c:scaling>
          <c:orientation val="minMax"/>
          <c:min val="0.4"/>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r>
                  <a:rPr lang="pl-PL" sz="900" baseline="0">
                    <a:solidFill>
                      <a:sysClr val="windowText" lastClr="000000"/>
                    </a:solidFill>
                    <a:latin typeface="Arial" panose="020B0604020202020204" pitchFamily="34" charset="0"/>
                  </a:rPr>
                  <a:t>Wskaźnik liczebności</a:t>
                </a:r>
              </a:p>
            </c:rich>
          </c:tx>
          <c:layout>
            <c:manualLayout>
              <c:xMode val="edge"/>
              <c:yMode val="edge"/>
              <c:x val="1.4282416086878032E-2"/>
              <c:y val="0.4175534765834366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crossAx val="272309880"/>
        <c:crosses val="autoZero"/>
        <c:crossBetween val="midCat"/>
      </c:valAx>
      <c:spPr>
        <a:noFill/>
        <a:ln>
          <a:solidFill>
            <a:schemeClr val="tx1"/>
          </a:solidFill>
        </a:ln>
        <a:effectLst/>
      </c:spPr>
    </c:plotArea>
    <c:legend>
      <c:legendPos val="b"/>
      <c:layout>
        <c:manualLayout>
          <c:xMode val="edge"/>
          <c:yMode val="edge"/>
          <c:x val="9.4384690315772388E-2"/>
          <c:y val="2.7858581714988093E-2"/>
          <c:w val="0.76839624428389752"/>
          <c:h val="0.247475635928649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2"/>
    </mc:Choice>
    <mc:Fallback>
      <c:style val="32"/>
    </mc:Fallback>
  </mc:AlternateContent>
  <c:chart>
    <c:autoTitleDeleted val="1"/>
    <c:plotArea>
      <c:layout>
        <c:manualLayout>
          <c:layoutTarget val="inner"/>
          <c:xMode val="edge"/>
          <c:yMode val="edge"/>
          <c:x val="7.1908515065820064E-2"/>
          <c:y val="2.7852668576172388E-2"/>
          <c:w val="0.88337270341207352"/>
          <c:h val="0.8326195683872849"/>
        </c:manualLayout>
      </c:layout>
      <c:barChart>
        <c:barDir val="col"/>
        <c:grouping val="clustered"/>
        <c:varyColors val="0"/>
        <c:ser>
          <c:idx val="0"/>
          <c:order val="0"/>
          <c:tx>
            <c:strRef>
              <c:f>'odpady wytworzone'!$A$4</c:f>
              <c:strCache>
                <c:ptCount val="1"/>
                <c:pt idx="0">
                  <c:v>Odpady wytworzone (z wyłączeniem odpadów komunalnych) w mln t</c:v>
                </c:pt>
              </c:strCache>
            </c:strRef>
          </c:tx>
          <c:invertIfNegative val="0"/>
          <c:cat>
            <c:numRef>
              <c:f>'odpady wytworzone'!$B$3:$H$3</c:f>
              <c:numCache>
                <c:formatCode>General</c:formatCode>
                <c:ptCount val="7"/>
                <c:pt idx="0">
                  <c:v>2010</c:v>
                </c:pt>
                <c:pt idx="1">
                  <c:v>2011</c:v>
                </c:pt>
                <c:pt idx="2">
                  <c:v>2012</c:v>
                </c:pt>
                <c:pt idx="3">
                  <c:v>2013</c:v>
                </c:pt>
                <c:pt idx="4">
                  <c:v>2014</c:v>
                </c:pt>
                <c:pt idx="5">
                  <c:v>2015</c:v>
                </c:pt>
                <c:pt idx="6">
                  <c:v>2016</c:v>
                </c:pt>
              </c:numCache>
            </c:numRef>
          </c:cat>
          <c:val>
            <c:numRef>
              <c:f>'odpady wytworzone'!$B$4:$H$4</c:f>
              <c:numCache>
                <c:formatCode>0</c:formatCode>
                <c:ptCount val="7"/>
                <c:pt idx="0">
                  <c:v>114</c:v>
                </c:pt>
                <c:pt idx="1">
                  <c:v>124</c:v>
                </c:pt>
                <c:pt idx="2">
                  <c:v>123</c:v>
                </c:pt>
                <c:pt idx="3">
                  <c:v>131</c:v>
                </c:pt>
                <c:pt idx="4">
                  <c:v>131</c:v>
                </c:pt>
                <c:pt idx="5">
                  <c:v>131</c:v>
                </c:pt>
                <c:pt idx="6">
                  <c:v>128</c:v>
                </c:pt>
              </c:numCache>
            </c:numRef>
          </c:val>
        </c:ser>
        <c:dLbls>
          <c:showLegendKey val="0"/>
          <c:showVal val="0"/>
          <c:showCatName val="0"/>
          <c:showSerName val="0"/>
          <c:showPercent val="0"/>
          <c:showBubbleSize val="0"/>
        </c:dLbls>
        <c:gapWidth val="150"/>
        <c:axId val="272311056"/>
        <c:axId val="272311448"/>
      </c:barChart>
      <c:catAx>
        <c:axId val="272311056"/>
        <c:scaling>
          <c:orientation val="minMax"/>
        </c:scaling>
        <c:delete val="0"/>
        <c:axPos val="b"/>
        <c:numFmt formatCode="General" sourceLinked="1"/>
        <c:majorTickMark val="out"/>
        <c:minorTickMark val="none"/>
        <c:tickLblPos val="nextTo"/>
        <c:crossAx val="272311448"/>
        <c:crosses val="autoZero"/>
        <c:auto val="1"/>
        <c:lblAlgn val="ctr"/>
        <c:lblOffset val="100"/>
        <c:noMultiLvlLbl val="0"/>
      </c:catAx>
      <c:valAx>
        <c:axId val="272311448"/>
        <c:scaling>
          <c:orientation val="minMax"/>
        </c:scaling>
        <c:delete val="0"/>
        <c:axPos val="l"/>
        <c:numFmt formatCode="0" sourceLinked="1"/>
        <c:majorTickMark val="out"/>
        <c:minorTickMark val="none"/>
        <c:tickLblPos val="nextTo"/>
        <c:crossAx val="272311056"/>
        <c:crosses val="autoZero"/>
        <c:crossBetween val="between"/>
      </c:valAx>
    </c:plotArea>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'zagospodarowanie odpadów '!$A$32</c:f>
              <c:strCache>
                <c:ptCount val="1"/>
                <c:pt idx="0">
                  <c:v>odpady wytworzone (z wyłączeniem odpadow komunalnych) w tys. ton</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'!$B$32:$H$32</c:f>
            </c:numRef>
          </c:val>
        </c:ser>
        <c:ser>
          <c:idx val="1"/>
          <c:order val="1"/>
          <c:tx>
            <c:strRef>
              <c:f>'zagospodarowanie odpadów '!$A$33</c:f>
              <c:strCache>
                <c:ptCount val="1"/>
                <c:pt idx="0">
                  <c:v>odzysk</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'!$B$33:$H$33</c:f>
              <c:numCache>
                <c:formatCode>0.0</c:formatCode>
                <c:ptCount val="7"/>
                <c:pt idx="0">
                  <c:v>84280.704759999993</c:v>
                </c:pt>
                <c:pt idx="1">
                  <c:v>88653.246570000003</c:v>
                </c:pt>
                <c:pt idx="2">
                  <c:v>89005.97815000001</c:v>
                </c:pt>
                <c:pt idx="3">
                  <c:v>90579.512880000009</c:v>
                </c:pt>
                <c:pt idx="4">
                  <c:v>27563.781000000003</c:v>
                </c:pt>
                <c:pt idx="5">
                  <c:v>28633.364720000001</c:v>
                </c:pt>
                <c:pt idx="6">
                  <c:v>25254.340319999996</c:v>
                </c:pt>
              </c:numCache>
            </c:numRef>
          </c:val>
        </c:ser>
        <c:ser>
          <c:idx val="2"/>
          <c:order val="2"/>
          <c:tx>
            <c:strRef>
              <c:f>'zagospodarowanie odpadów '!$A$34</c:f>
              <c:strCache>
                <c:ptCount val="1"/>
                <c:pt idx="0">
                  <c:v>unieszkodliwianie z wyłączeniem skladowania</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'!$B$34:$H$34</c:f>
              <c:numCache>
                <c:formatCode>0.0</c:formatCode>
                <c:ptCount val="7"/>
                <c:pt idx="0">
                  <c:v>5276.7642000000005</c:v>
                </c:pt>
                <c:pt idx="1">
                  <c:v>4842.1447200000002</c:v>
                </c:pt>
                <c:pt idx="2">
                  <c:v>4494.0077499999998</c:v>
                </c:pt>
                <c:pt idx="3">
                  <c:v>4113.6889499999997</c:v>
                </c:pt>
                <c:pt idx="4">
                  <c:v>4370.8281299999999</c:v>
                </c:pt>
                <c:pt idx="5">
                  <c:v>4440.3982799999994</c:v>
                </c:pt>
                <c:pt idx="6">
                  <c:v>4273.2191700000003</c:v>
                </c:pt>
              </c:numCache>
            </c:numRef>
          </c:val>
        </c:ser>
        <c:ser>
          <c:idx val="3"/>
          <c:order val="3"/>
          <c:tx>
            <c:strRef>
              <c:f>'zagospodarowanie odpadów '!$A$35</c:f>
              <c:strCache>
                <c:ptCount val="1"/>
                <c:pt idx="0">
                  <c:v>skladowanie</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'!$B$35:$H$35</c:f>
              <c:numCache>
                <c:formatCode>0.0</c:formatCode>
                <c:ptCount val="7"/>
                <c:pt idx="0">
                  <c:v>20687.185240000003</c:v>
                </c:pt>
                <c:pt idx="1">
                  <c:v>26594.738730000001</c:v>
                </c:pt>
                <c:pt idx="2">
                  <c:v>26988.671200000001</c:v>
                </c:pt>
                <c:pt idx="3">
                  <c:v>33249.054179999999</c:v>
                </c:pt>
                <c:pt idx="4">
                  <c:v>22234.783340000002</c:v>
                </c:pt>
                <c:pt idx="5">
                  <c:v>22018.612119999998</c:v>
                </c:pt>
                <c:pt idx="6">
                  <c:v>22059.050309999999</c:v>
                </c:pt>
              </c:numCache>
            </c:numRef>
          </c:val>
        </c:ser>
        <c:ser>
          <c:idx val="4"/>
          <c:order val="4"/>
          <c:tx>
            <c:strRef>
              <c:f>'zagospodarowanie odpadów '!$A$36</c:f>
              <c:strCache>
                <c:ptCount val="1"/>
                <c:pt idx="0">
                  <c:v>czasowe magazynowanie </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'!$B$36:$H$36</c:f>
              <c:numCache>
                <c:formatCode>0.0</c:formatCode>
                <c:ptCount val="7"/>
                <c:pt idx="0">
                  <c:v>3211.4500400000002</c:v>
                </c:pt>
                <c:pt idx="1">
                  <c:v>3409.2651599999999</c:v>
                </c:pt>
                <c:pt idx="2">
                  <c:v>2610.2182000000003</c:v>
                </c:pt>
                <c:pt idx="3">
                  <c:v>2624.92533</c:v>
                </c:pt>
                <c:pt idx="4">
                  <c:v>2100.0976000000001</c:v>
                </c:pt>
                <c:pt idx="5">
                  <c:v>1820.6942799999999</c:v>
                </c:pt>
                <c:pt idx="6">
                  <c:v>2309.8481999999999</c:v>
                </c:pt>
              </c:numCache>
            </c:numRef>
          </c:val>
        </c:ser>
        <c:ser>
          <c:idx val="5"/>
          <c:order val="5"/>
          <c:tx>
            <c:strRef>
              <c:f>'zagospodarowanie odpadów '!$A$37</c:f>
              <c:strCache>
                <c:ptCount val="1"/>
                <c:pt idx="0">
                  <c:v>przekazanie innym odbiorcom</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'!$B$37:$H$37</c:f>
              <c:numCache>
                <c:formatCode>General</c:formatCode>
                <c:ptCount val="7"/>
                <c:pt idx="4" formatCode="0.0">
                  <c:v>74960.35871</c:v>
                </c:pt>
                <c:pt idx="5" formatCode="0.0">
                  <c:v>74045.93355999999</c:v>
                </c:pt>
                <c:pt idx="6" formatCode="0.0">
                  <c:v>74389.944529999993</c:v>
                </c:pt>
              </c:numCache>
            </c:numRef>
          </c:val>
        </c:ser>
        <c:ser>
          <c:idx val="6"/>
          <c:order val="6"/>
          <c:tx>
            <c:strRef>
              <c:f>'zagospodarowanie odpadów '!$A$38</c:f>
              <c:strCache>
                <c:ptCount val="1"/>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'!$B$38:$H$38</c:f>
            </c:numRef>
          </c:val>
        </c:ser>
        <c:ser>
          <c:idx val="7"/>
          <c:order val="7"/>
          <c:tx>
            <c:strRef>
              <c:f>'zagospodarowanie odpadów '!$A$39</c:f>
              <c:strCache>
                <c:ptCount val="1"/>
                <c:pt idx="0">
                  <c:v>inne</c:v>
                </c:pt>
              </c:strCache>
            </c:strRef>
          </c:tx>
          <c:invertIfNegative val="0"/>
          <c:cat>
            <c:numRef>
              <c:f>'zagospodarowanie odpadów '!$B$31:$H$31</c:f>
              <c:numCache>
                <c:formatCode>General</c:formatCode>
                <c:ptCount val="7"/>
                <c:pt idx="0">
                  <c:v>2010</c:v>
                </c:pt>
                <c:pt idx="1">
                  <c:v>2011</c:v>
                </c:pt>
                <c:pt idx="2">
                  <c:v>2012</c:v>
                </c:pt>
                <c:pt idx="3">
                  <c:v>2013</c:v>
                </c:pt>
                <c:pt idx="4">
                  <c:v>2014</c:v>
                </c:pt>
                <c:pt idx="5">
                  <c:v>2015</c:v>
                </c:pt>
                <c:pt idx="6">
                  <c:v>2016</c:v>
                </c:pt>
              </c:numCache>
            </c:numRef>
          </c:cat>
          <c:val>
            <c:numRef>
              <c:f>'zagospodarowanie odpadów '!$B$39:$H$39</c:f>
              <c:numCache>
                <c:formatCode>0.0</c:formatCode>
                <c:ptCount val="7"/>
                <c:pt idx="0">
                  <c:v>22.695760000002338</c:v>
                </c:pt>
                <c:pt idx="1">
                  <c:v>24.704820000013569</c:v>
                </c:pt>
                <c:pt idx="2">
                  <c:v>24.624699999985751</c:v>
                </c:pt>
                <c:pt idx="3">
                  <c:v>26.118659999992815</c:v>
                </c:pt>
                <c:pt idx="4">
                  <c:v>26.25122000000556</c:v>
                </c:pt>
                <c:pt idx="5">
                  <c:v>26.197040000013658</c:v>
                </c:pt>
                <c:pt idx="6">
                  <c:v>38.497470000002068</c:v>
                </c:pt>
              </c:numCache>
            </c:numRef>
          </c:val>
        </c:ser>
        <c:dLbls>
          <c:showLegendKey val="0"/>
          <c:showVal val="0"/>
          <c:showCatName val="0"/>
          <c:showSerName val="0"/>
          <c:showPercent val="0"/>
          <c:showBubbleSize val="0"/>
        </c:dLbls>
        <c:gapWidth val="150"/>
        <c:overlap val="100"/>
        <c:axId val="272312232"/>
        <c:axId val="272312624"/>
      </c:barChart>
      <c:catAx>
        <c:axId val="272312232"/>
        <c:scaling>
          <c:orientation val="minMax"/>
        </c:scaling>
        <c:delete val="0"/>
        <c:axPos val="b"/>
        <c:numFmt formatCode="General" sourceLinked="1"/>
        <c:majorTickMark val="out"/>
        <c:minorTickMark val="none"/>
        <c:tickLblPos val="nextTo"/>
        <c:crossAx val="272312624"/>
        <c:crosses val="autoZero"/>
        <c:auto val="1"/>
        <c:lblAlgn val="ctr"/>
        <c:lblOffset val="100"/>
        <c:noMultiLvlLbl val="0"/>
      </c:catAx>
      <c:valAx>
        <c:axId val="272312624"/>
        <c:scaling>
          <c:orientation val="minMax"/>
        </c:scaling>
        <c:delete val="0"/>
        <c:axPos val="l"/>
        <c:majorGridlines/>
        <c:numFmt formatCode="0.0" sourceLinked="1"/>
        <c:majorTickMark val="out"/>
        <c:minorTickMark val="none"/>
        <c:tickLblPos val="nextTo"/>
        <c:crossAx val="272312232"/>
        <c:crosses val="autoZero"/>
        <c:crossBetween val="between"/>
        <c:majorUnit val="10000"/>
        <c:dispUnits>
          <c:builtInUnit val="thousands"/>
          <c:dispUnitsLbl>
            <c:layout/>
          </c:dispUnitsLbl>
        </c:dispUnits>
      </c:valAx>
    </c:plotArea>
    <c:legend>
      <c:legendPos val="r"/>
      <c:layout/>
      <c:overlay val="0"/>
      <c:txPr>
        <a:bodyPr/>
        <a:lstStyle/>
        <a:p>
          <a:pPr>
            <a:defRPr sz="1200"/>
          </a:pPr>
          <a:endParaRPr lang="pl-PL"/>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'UE odpady komunalne kg_mieszk'!$B$6</c:f>
              <c:strCache>
                <c:ptCount val="1"/>
                <c:pt idx="0">
                  <c:v>Wytwarzane</c:v>
                </c:pt>
              </c:strCache>
            </c:strRef>
          </c:tx>
          <c:invertIfNegative val="0"/>
          <c:cat>
            <c:strRef>
              <c:f>'UE odpady komunalne kg_mieszk'!$A$7:$A$39</c:f>
              <c:strCache>
                <c:ptCount val="33"/>
                <c:pt idx="0">
                  <c:v>UE-28</c:v>
                </c:pt>
                <c:pt idx="1">
                  <c:v>Austria</c:v>
                </c:pt>
                <c:pt idx="2">
                  <c:v>Belgia</c:v>
                </c:pt>
                <c:pt idx="3">
                  <c:v>Bułgaria</c:v>
                </c:pt>
                <c:pt idx="4">
                  <c:v>Chorwacja</c:v>
                </c:pt>
                <c:pt idx="5">
                  <c:v>Cypr</c:v>
                </c:pt>
                <c:pt idx="6">
                  <c:v>Czechy</c:v>
                </c:pt>
                <c:pt idx="7">
                  <c:v>Dania</c:v>
                </c:pt>
                <c:pt idx="8">
                  <c:v>Estonia</c:v>
                </c:pt>
                <c:pt idx="9">
                  <c:v>Finlandia</c:v>
                </c:pt>
                <c:pt idx="10">
                  <c:v>Francja</c:v>
                </c:pt>
                <c:pt idx="11">
                  <c:v>Grecja</c:v>
                </c:pt>
                <c:pt idx="12">
                  <c:v>Hiszpania</c:v>
                </c:pt>
                <c:pt idx="13">
                  <c:v>Holandia</c:v>
                </c:pt>
                <c:pt idx="14">
                  <c:v>Irlandia</c:v>
                </c:pt>
                <c:pt idx="15">
                  <c:v>Islandia</c:v>
                </c:pt>
                <c:pt idx="16">
                  <c:v>Litwa</c:v>
                </c:pt>
                <c:pt idx="17">
                  <c:v>Luksemburg</c:v>
                </c:pt>
                <c:pt idx="18">
                  <c:v>Łotwa</c:v>
                </c:pt>
                <c:pt idx="19">
                  <c:v>Malta</c:v>
                </c:pt>
                <c:pt idx="20">
                  <c:v>Niemcy</c:v>
                </c:pt>
                <c:pt idx="21">
                  <c:v>Norwegia</c:v>
                </c:pt>
                <c:pt idx="22">
                  <c:v>Polska</c:v>
                </c:pt>
                <c:pt idx="23">
                  <c:v>Portugalia</c:v>
                </c:pt>
                <c:pt idx="24">
                  <c:v>Rumunia</c:v>
                </c:pt>
                <c:pt idx="25">
                  <c:v>Słowacja</c:v>
                </c:pt>
                <c:pt idx="26">
                  <c:v>Słowenia</c:v>
                </c:pt>
                <c:pt idx="27">
                  <c:v>Szwajcaria</c:v>
                </c:pt>
                <c:pt idx="28">
                  <c:v>Szwecja</c:v>
                </c:pt>
                <c:pt idx="29">
                  <c:v>Turcja</c:v>
                </c:pt>
                <c:pt idx="30">
                  <c:v>Węgry</c:v>
                </c:pt>
                <c:pt idx="31">
                  <c:v>Wlk. Brytania</c:v>
                </c:pt>
                <c:pt idx="32">
                  <c:v>Włochy</c:v>
                </c:pt>
              </c:strCache>
            </c:strRef>
          </c:cat>
          <c:val>
            <c:numRef>
              <c:f>'UE odpady komunalne kg_mieszk'!$B$7:$B$39</c:f>
              <c:numCache>
                <c:formatCode>#,##0</c:formatCode>
                <c:ptCount val="33"/>
                <c:pt idx="0">
                  <c:v>476</c:v>
                </c:pt>
                <c:pt idx="1">
                  <c:v>560</c:v>
                </c:pt>
                <c:pt idx="2">
                  <c:v>418</c:v>
                </c:pt>
                <c:pt idx="3">
                  <c:v>419</c:v>
                </c:pt>
                <c:pt idx="4">
                  <c:v>393</c:v>
                </c:pt>
                <c:pt idx="5">
                  <c:v>638</c:v>
                </c:pt>
                <c:pt idx="6">
                  <c:v>316</c:v>
                </c:pt>
                <c:pt idx="7">
                  <c:v>789</c:v>
                </c:pt>
                <c:pt idx="8">
                  <c:v>359</c:v>
                </c:pt>
                <c:pt idx="9">
                  <c:v>500</c:v>
                </c:pt>
                <c:pt idx="10">
                  <c:v>501</c:v>
                </c:pt>
                <c:pt idx="11">
                  <c:v>485</c:v>
                </c:pt>
                <c:pt idx="12">
                  <c:v>434</c:v>
                </c:pt>
                <c:pt idx="13">
                  <c:v>523</c:v>
                </c:pt>
                <c:pt idx="14" formatCode="General">
                  <c:v>586</c:v>
                </c:pt>
                <c:pt idx="15">
                  <c:v>583</c:v>
                </c:pt>
                <c:pt idx="16">
                  <c:v>448</c:v>
                </c:pt>
                <c:pt idx="17">
                  <c:v>625</c:v>
                </c:pt>
                <c:pt idx="18">
                  <c:v>404</c:v>
                </c:pt>
                <c:pt idx="19">
                  <c:v>624</c:v>
                </c:pt>
                <c:pt idx="20">
                  <c:v>625</c:v>
                </c:pt>
                <c:pt idx="21">
                  <c:v>421</c:v>
                </c:pt>
                <c:pt idx="22">
                  <c:v>286</c:v>
                </c:pt>
                <c:pt idx="23">
                  <c:v>453</c:v>
                </c:pt>
                <c:pt idx="24">
                  <c:v>247</c:v>
                </c:pt>
                <c:pt idx="25">
                  <c:v>329</c:v>
                </c:pt>
                <c:pt idx="26">
                  <c:v>449</c:v>
                </c:pt>
                <c:pt idx="27">
                  <c:v>725</c:v>
                </c:pt>
                <c:pt idx="28">
                  <c:v>447</c:v>
                </c:pt>
                <c:pt idx="29">
                  <c:v>400</c:v>
                </c:pt>
                <c:pt idx="30">
                  <c:v>377</c:v>
                </c:pt>
                <c:pt idx="31">
                  <c:v>485</c:v>
                </c:pt>
                <c:pt idx="32">
                  <c:v>486</c:v>
                </c:pt>
              </c:numCache>
            </c:numRef>
          </c:val>
        </c:ser>
        <c:ser>
          <c:idx val="1"/>
          <c:order val="1"/>
          <c:tx>
            <c:strRef>
              <c:f>'UE odpady komunalne kg_mieszk'!$C$6</c:f>
              <c:strCache>
                <c:ptCount val="1"/>
                <c:pt idx="0">
                  <c:v>Składowane </c:v>
                </c:pt>
              </c:strCache>
            </c:strRef>
          </c:tx>
          <c:invertIfNegative val="0"/>
          <c:cat>
            <c:strRef>
              <c:f>'UE odpady komunalne kg_mieszk'!$A$7:$A$39</c:f>
              <c:strCache>
                <c:ptCount val="33"/>
                <c:pt idx="0">
                  <c:v>UE-28</c:v>
                </c:pt>
                <c:pt idx="1">
                  <c:v>Austria</c:v>
                </c:pt>
                <c:pt idx="2">
                  <c:v>Belgia</c:v>
                </c:pt>
                <c:pt idx="3">
                  <c:v>Bułgaria</c:v>
                </c:pt>
                <c:pt idx="4">
                  <c:v>Chorwacja</c:v>
                </c:pt>
                <c:pt idx="5">
                  <c:v>Cypr</c:v>
                </c:pt>
                <c:pt idx="6">
                  <c:v>Czechy</c:v>
                </c:pt>
                <c:pt idx="7">
                  <c:v>Dania</c:v>
                </c:pt>
                <c:pt idx="8">
                  <c:v>Estonia</c:v>
                </c:pt>
                <c:pt idx="9">
                  <c:v>Finlandia</c:v>
                </c:pt>
                <c:pt idx="10">
                  <c:v>Francja</c:v>
                </c:pt>
                <c:pt idx="11">
                  <c:v>Grecja</c:v>
                </c:pt>
                <c:pt idx="12">
                  <c:v>Hiszpania</c:v>
                </c:pt>
                <c:pt idx="13">
                  <c:v>Holandia</c:v>
                </c:pt>
                <c:pt idx="14">
                  <c:v>Irlandia</c:v>
                </c:pt>
                <c:pt idx="15">
                  <c:v>Islandia</c:v>
                </c:pt>
                <c:pt idx="16">
                  <c:v>Litwa</c:v>
                </c:pt>
                <c:pt idx="17">
                  <c:v>Luksemburg</c:v>
                </c:pt>
                <c:pt idx="18">
                  <c:v>Łotwa</c:v>
                </c:pt>
                <c:pt idx="19">
                  <c:v>Malta</c:v>
                </c:pt>
                <c:pt idx="20">
                  <c:v>Niemcy</c:v>
                </c:pt>
                <c:pt idx="21">
                  <c:v>Norwegia</c:v>
                </c:pt>
                <c:pt idx="22">
                  <c:v>Polska</c:v>
                </c:pt>
                <c:pt idx="23">
                  <c:v>Portugalia</c:v>
                </c:pt>
                <c:pt idx="24">
                  <c:v>Rumunia</c:v>
                </c:pt>
                <c:pt idx="25">
                  <c:v>Słowacja</c:v>
                </c:pt>
                <c:pt idx="26">
                  <c:v>Słowenia</c:v>
                </c:pt>
                <c:pt idx="27">
                  <c:v>Szwajcaria</c:v>
                </c:pt>
                <c:pt idx="28">
                  <c:v>Szwecja</c:v>
                </c:pt>
                <c:pt idx="29">
                  <c:v>Turcja</c:v>
                </c:pt>
                <c:pt idx="30">
                  <c:v>Węgry</c:v>
                </c:pt>
                <c:pt idx="31">
                  <c:v>Wlk. Brytania</c:v>
                </c:pt>
                <c:pt idx="32">
                  <c:v>Włochy</c:v>
                </c:pt>
              </c:strCache>
            </c:strRef>
          </c:cat>
          <c:val>
            <c:numRef>
              <c:f>'UE odpady komunalne kg_mieszk'!$C$7:$C$39</c:f>
              <c:numCache>
                <c:formatCode>#,##0</c:formatCode>
                <c:ptCount val="33"/>
                <c:pt idx="0">
                  <c:v>122</c:v>
                </c:pt>
                <c:pt idx="1">
                  <c:v>17</c:v>
                </c:pt>
                <c:pt idx="2">
                  <c:v>4</c:v>
                </c:pt>
                <c:pt idx="3">
                  <c:v>278</c:v>
                </c:pt>
                <c:pt idx="4">
                  <c:v>313</c:v>
                </c:pt>
                <c:pt idx="5">
                  <c:v>475</c:v>
                </c:pt>
                <c:pt idx="6">
                  <c:v>166</c:v>
                </c:pt>
                <c:pt idx="7">
                  <c:v>9</c:v>
                </c:pt>
                <c:pt idx="8">
                  <c:v>26</c:v>
                </c:pt>
                <c:pt idx="9">
                  <c:v>57</c:v>
                </c:pt>
                <c:pt idx="10">
                  <c:v>129</c:v>
                </c:pt>
                <c:pt idx="11">
                  <c:v>409</c:v>
                </c:pt>
                <c:pt idx="12">
                  <c:v>239</c:v>
                </c:pt>
                <c:pt idx="13">
                  <c:v>7</c:v>
                </c:pt>
                <c:pt idx="14" formatCode="General">
                  <c:v>223</c:v>
                </c:pt>
                <c:pt idx="15">
                  <c:v>342</c:v>
                </c:pt>
                <c:pt idx="16">
                  <c:v>242</c:v>
                </c:pt>
                <c:pt idx="17">
                  <c:v>110</c:v>
                </c:pt>
                <c:pt idx="18">
                  <c:v>250</c:v>
                </c:pt>
                <c:pt idx="19">
                  <c:v>558</c:v>
                </c:pt>
                <c:pt idx="20">
                  <c:v>1</c:v>
                </c:pt>
                <c:pt idx="21">
                  <c:v>14</c:v>
                </c:pt>
                <c:pt idx="22">
                  <c:v>127</c:v>
                </c:pt>
                <c:pt idx="23">
                  <c:v>222</c:v>
                </c:pt>
                <c:pt idx="24">
                  <c:v>178</c:v>
                </c:pt>
                <c:pt idx="25">
                  <c:v>226</c:v>
                </c:pt>
                <c:pt idx="26">
                  <c:v>102</c:v>
                </c:pt>
                <c:pt idx="27">
                  <c:v>0</c:v>
                </c:pt>
                <c:pt idx="28">
                  <c:v>4</c:v>
                </c:pt>
                <c:pt idx="29">
                  <c:v>350</c:v>
                </c:pt>
                <c:pt idx="30">
                  <c:v>202</c:v>
                </c:pt>
                <c:pt idx="31">
                  <c:v>109</c:v>
                </c:pt>
                <c:pt idx="32">
                  <c:v>129</c:v>
                </c:pt>
              </c:numCache>
            </c:numRef>
          </c:val>
        </c:ser>
        <c:ser>
          <c:idx val="2"/>
          <c:order val="2"/>
          <c:tx>
            <c:strRef>
              <c:f>'UE odpady komunalne kg_mieszk'!$D$6</c:f>
              <c:strCache>
                <c:ptCount val="1"/>
                <c:pt idx="0">
                  <c:v>Spalane</c:v>
                </c:pt>
              </c:strCache>
            </c:strRef>
          </c:tx>
          <c:invertIfNegative val="0"/>
          <c:cat>
            <c:strRef>
              <c:f>'UE odpady komunalne kg_mieszk'!$A$7:$A$39</c:f>
              <c:strCache>
                <c:ptCount val="33"/>
                <c:pt idx="0">
                  <c:v>UE-28</c:v>
                </c:pt>
                <c:pt idx="1">
                  <c:v>Austria</c:v>
                </c:pt>
                <c:pt idx="2">
                  <c:v>Belgia</c:v>
                </c:pt>
                <c:pt idx="3">
                  <c:v>Bułgaria</c:v>
                </c:pt>
                <c:pt idx="4">
                  <c:v>Chorwacja</c:v>
                </c:pt>
                <c:pt idx="5">
                  <c:v>Cypr</c:v>
                </c:pt>
                <c:pt idx="6">
                  <c:v>Czechy</c:v>
                </c:pt>
                <c:pt idx="7">
                  <c:v>Dania</c:v>
                </c:pt>
                <c:pt idx="8">
                  <c:v>Estonia</c:v>
                </c:pt>
                <c:pt idx="9">
                  <c:v>Finlandia</c:v>
                </c:pt>
                <c:pt idx="10">
                  <c:v>Francja</c:v>
                </c:pt>
                <c:pt idx="11">
                  <c:v>Grecja</c:v>
                </c:pt>
                <c:pt idx="12">
                  <c:v>Hiszpania</c:v>
                </c:pt>
                <c:pt idx="13">
                  <c:v>Holandia</c:v>
                </c:pt>
                <c:pt idx="14">
                  <c:v>Irlandia</c:v>
                </c:pt>
                <c:pt idx="15">
                  <c:v>Islandia</c:v>
                </c:pt>
                <c:pt idx="16">
                  <c:v>Litwa</c:v>
                </c:pt>
                <c:pt idx="17">
                  <c:v>Luksemburg</c:v>
                </c:pt>
                <c:pt idx="18">
                  <c:v>Łotwa</c:v>
                </c:pt>
                <c:pt idx="19">
                  <c:v>Malta</c:v>
                </c:pt>
                <c:pt idx="20">
                  <c:v>Niemcy</c:v>
                </c:pt>
                <c:pt idx="21">
                  <c:v>Norwegia</c:v>
                </c:pt>
                <c:pt idx="22">
                  <c:v>Polska</c:v>
                </c:pt>
                <c:pt idx="23">
                  <c:v>Portugalia</c:v>
                </c:pt>
                <c:pt idx="24">
                  <c:v>Rumunia</c:v>
                </c:pt>
                <c:pt idx="25">
                  <c:v>Słowacja</c:v>
                </c:pt>
                <c:pt idx="26">
                  <c:v>Słowenia</c:v>
                </c:pt>
                <c:pt idx="27">
                  <c:v>Szwajcaria</c:v>
                </c:pt>
                <c:pt idx="28">
                  <c:v>Szwecja</c:v>
                </c:pt>
                <c:pt idx="29">
                  <c:v>Turcja</c:v>
                </c:pt>
                <c:pt idx="30">
                  <c:v>Węgry</c:v>
                </c:pt>
                <c:pt idx="31">
                  <c:v>Wlk. Brytania</c:v>
                </c:pt>
                <c:pt idx="32">
                  <c:v>Włochy</c:v>
                </c:pt>
              </c:strCache>
            </c:strRef>
          </c:cat>
          <c:val>
            <c:numRef>
              <c:f>'UE odpady komunalne kg_mieszk'!$D$7:$D$39</c:f>
              <c:numCache>
                <c:formatCode>#,##0</c:formatCode>
                <c:ptCount val="33"/>
                <c:pt idx="0">
                  <c:v>126</c:v>
                </c:pt>
                <c:pt idx="1">
                  <c:v>212</c:v>
                </c:pt>
                <c:pt idx="2">
                  <c:v>181</c:v>
                </c:pt>
                <c:pt idx="3">
                  <c:v>11</c:v>
                </c:pt>
                <c:pt idx="4">
                  <c:v>0</c:v>
                </c:pt>
                <c:pt idx="5">
                  <c:v>0</c:v>
                </c:pt>
                <c:pt idx="6">
                  <c:v>56</c:v>
                </c:pt>
                <c:pt idx="7">
                  <c:v>415</c:v>
                </c:pt>
                <c:pt idx="8">
                  <c:v>185</c:v>
                </c:pt>
                <c:pt idx="9">
                  <c:v>239</c:v>
                </c:pt>
                <c:pt idx="10">
                  <c:v>174</c:v>
                </c:pt>
                <c:pt idx="11">
                  <c:v>2</c:v>
                </c:pt>
                <c:pt idx="12">
                  <c:v>50</c:v>
                </c:pt>
                <c:pt idx="13">
                  <c:v>245</c:v>
                </c:pt>
                <c:pt idx="14" formatCode="General">
                  <c:v>93</c:v>
                </c:pt>
                <c:pt idx="15">
                  <c:v>18</c:v>
                </c:pt>
                <c:pt idx="16">
                  <c:v>52</c:v>
                </c:pt>
                <c:pt idx="17">
                  <c:v>213</c:v>
                </c:pt>
                <c:pt idx="18">
                  <c:v>0</c:v>
                </c:pt>
                <c:pt idx="19">
                  <c:v>2</c:v>
                </c:pt>
                <c:pt idx="20">
                  <c:v>196</c:v>
                </c:pt>
                <c:pt idx="21">
                  <c:v>221</c:v>
                </c:pt>
                <c:pt idx="22">
                  <c:v>38</c:v>
                </c:pt>
                <c:pt idx="23">
                  <c:v>94</c:v>
                </c:pt>
                <c:pt idx="24">
                  <c:v>6</c:v>
                </c:pt>
                <c:pt idx="25">
                  <c:v>35</c:v>
                </c:pt>
                <c:pt idx="26">
                  <c:v>77</c:v>
                </c:pt>
                <c:pt idx="27">
                  <c:v>343</c:v>
                </c:pt>
                <c:pt idx="28">
                  <c:v>229</c:v>
                </c:pt>
                <c:pt idx="29" formatCode="General">
                  <c:v>0</c:v>
                </c:pt>
                <c:pt idx="30">
                  <c:v>53</c:v>
                </c:pt>
                <c:pt idx="31">
                  <c:v>152</c:v>
                </c:pt>
                <c:pt idx="32">
                  <c:v>92</c:v>
                </c:pt>
              </c:numCache>
            </c:numRef>
          </c:val>
        </c:ser>
        <c:dLbls>
          <c:showLegendKey val="0"/>
          <c:showVal val="0"/>
          <c:showCatName val="0"/>
          <c:showSerName val="0"/>
          <c:showPercent val="0"/>
          <c:showBubbleSize val="0"/>
        </c:dLbls>
        <c:gapWidth val="150"/>
        <c:shape val="box"/>
        <c:axId val="271785136"/>
        <c:axId val="271785528"/>
        <c:axId val="0"/>
      </c:bar3DChart>
      <c:catAx>
        <c:axId val="271785136"/>
        <c:scaling>
          <c:orientation val="minMax"/>
        </c:scaling>
        <c:delete val="0"/>
        <c:axPos val="l"/>
        <c:numFmt formatCode="General" sourceLinked="0"/>
        <c:majorTickMark val="out"/>
        <c:minorTickMark val="none"/>
        <c:tickLblPos val="nextTo"/>
        <c:crossAx val="271785528"/>
        <c:crosses val="autoZero"/>
        <c:auto val="1"/>
        <c:lblAlgn val="ctr"/>
        <c:lblOffset val="100"/>
        <c:noMultiLvlLbl val="0"/>
      </c:catAx>
      <c:valAx>
        <c:axId val="271785528"/>
        <c:scaling>
          <c:orientation val="minMax"/>
        </c:scaling>
        <c:delete val="0"/>
        <c:axPos val="b"/>
        <c:majorGridlines/>
        <c:numFmt formatCode="#,##0" sourceLinked="1"/>
        <c:majorTickMark val="out"/>
        <c:minorTickMark val="none"/>
        <c:tickLblPos val="nextTo"/>
        <c:crossAx val="27178513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Osiągnięty poziom odzysku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2014 r.</c:v>
                </c:pt>
                <c:pt idx="1">
                  <c:v>2015 r.</c:v>
                </c:pt>
                <c:pt idx="2">
                  <c:v>2016 r.</c:v>
                </c:pt>
              </c:strCache>
            </c:strRef>
          </c:cat>
          <c:val>
            <c:numRef>
              <c:f>Arkusz1!$B$2:$B$4</c:f>
              <c:numCache>
                <c:formatCode>General</c:formatCode>
                <c:ptCount val="3"/>
                <c:pt idx="0">
                  <c:v>60.3</c:v>
                </c:pt>
                <c:pt idx="1">
                  <c:v>61.8</c:v>
                </c:pt>
                <c:pt idx="2">
                  <c:v>61.4</c:v>
                </c:pt>
              </c:numCache>
            </c:numRef>
          </c:val>
          <c:extLst xmlns:c16r2="http://schemas.microsoft.com/office/drawing/2015/06/chart">
            <c:ext xmlns:c16="http://schemas.microsoft.com/office/drawing/2014/chart" uri="{C3380CC4-5D6E-409C-BE32-E72D297353CC}">
              <c16:uniqueId val="{00000000-6D56-453E-BC32-9CFF578AC19D}"/>
            </c:ext>
          </c:extLst>
        </c:ser>
        <c:ser>
          <c:idx val="1"/>
          <c:order val="1"/>
          <c:tx>
            <c:strRef>
              <c:f>Arkusz1!$C$1</c:f>
              <c:strCache>
                <c:ptCount val="1"/>
                <c:pt idx="0">
                  <c:v>Osiągnięty poziom recyklingu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2014 r.</c:v>
                </c:pt>
                <c:pt idx="1">
                  <c:v>2015 r.</c:v>
                </c:pt>
                <c:pt idx="2">
                  <c:v>2016 r.</c:v>
                </c:pt>
              </c:strCache>
            </c:strRef>
          </c:cat>
          <c:val>
            <c:numRef>
              <c:f>Arkusz1!$C$2:$C$4</c:f>
              <c:numCache>
                <c:formatCode>General</c:formatCode>
                <c:ptCount val="3"/>
                <c:pt idx="0">
                  <c:v>55.6</c:v>
                </c:pt>
                <c:pt idx="1">
                  <c:v>57.9</c:v>
                </c:pt>
                <c:pt idx="2">
                  <c:v>57.5</c:v>
                </c:pt>
              </c:numCache>
            </c:numRef>
          </c:val>
          <c:extLst xmlns:c16r2="http://schemas.microsoft.com/office/drawing/2015/06/chart">
            <c:ext xmlns:c16="http://schemas.microsoft.com/office/drawing/2014/chart" uri="{C3380CC4-5D6E-409C-BE32-E72D297353CC}">
              <c16:uniqueId val="{00000001-6D56-453E-BC32-9CFF578AC19D}"/>
            </c:ext>
          </c:extLst>
        </c:ser>
        <c:dLbls>
          <c:showLegendKey val="0"/>
          <c:showVal val="0"/>
          <c:showCatName val="0"/>
          <c:showSerName val="0"/>
          <c:showPercent val="0"/>
          <c:showBubbleSize val="0"/>
        </c:dLbls>
        <c:gapWidth val="219"/>
        <c:overlap val="-27"/>
        <c:axId val="271786312"/>
        <c:axId val="271786704"/>
      </c:barChart>
      <c:catAx>
        <c:axId val="27178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786704"/>
        <c:crosses val="autoZero"/>
        <c:auto val="1"/>
        <c:lblAlgn val="ctr"/>
        <c:lblOffset val="100"/>
        <c:noMultiLvlLbl val="0"/>
      </c:catAx>
      <c:valAx>
        <c:axId val="271786704"/>
        <c:scaling>
          <c:orientation val="minMax"/>
          <c:max val="7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786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c:f>
              <c:strCache>
                <c:ptCount val="1"/>
                <c:pt idx="0">
                  <c:v>poziom zbierania zuzytego sprzętu elektrycznego i elektronciznego ogółem</c:v>
                </c:pt>
              </c:strCache>
            </c:strRef>
          </c:tx>
          <c:invertIfNegative val="0"/>
          <c:cat>
            <c:numRef>
              <c:f>Arkusz1!$A$2:$A$10</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Arkusz1!$B$2:$B$10</c:f>
              <c:numCache>
                <c:formatCode>0.00%</c:formatCode>
                <c:ptCount val="9"/>
                <c:pt idx="0">
                  <c:v>4.8800000000000003E-2</c:v>
                </c:pt>
                <c:pt idx="1">
                  <c:v>0.2429</c:v>
                </c:pt>
                <c:pt idx="2">
                  <c:v>0.23039999999999999</c:v>
                </c:pt>
                <c:pt idx="3">
                  <c:v>0.27800000000000002</c:v>
                </c:pt>
                <c:pt idx="4">
                  <c:v>0.3266</c:v>
                </c:pt>
                <c:pt idx="5">
                  <c:v>0.35320000000000001</c:v>
                </c:pt>
                <c:pt idx="6">
                  <c:v>0.34739999999999999</c:v>
                </c:pt>
                <c:pt idx="7">
                  <c:v>0.38379999999999997</c:v>
                </c:pt>
                <c:pt idx="8">
                  <c:v>0.47989999999999999</c:v>
                </c:pt>
              </c:numCache>
            </c:numRef>
          </c:val>
          <c:extLst xmlns:c16r2="http://schemas.microsoft.com/office/drawing/2015/06/chart">
            <c:ext xmlns:c16="http://schemas.microsoft.com/office/drawing/2014/chart" uri="{C3380CC4-5D6E-409C-BE32-E72D297353CC}">
              <c16:uniqueId val="{00000000-979B-41DF-ADAA-14666F57C55D}"/>
            </c:ext>
          </c:extLst>
        </c:ser>
        <c:ser>
          <c:idx val="1"/>
          <c:order val="1"/>
          <c:tx>
            <c:strRef>
              <c:f>Arkusz1!$C$1</c:f>
              <c:strCache>
                <c:ptCount val="1"/>
                <c:pt idx="0">
                  <c:v>poziom zbierania zużytego sprzętu elektrycznego i elektronicznego z gospodarstw domowych</c:v>
                </c:pt>
              </c:strCache>
            </c:strRef>
          </c:tx>
          <c:invertIfNegative val="0"/>
          <c:cat>
            <c:numRef>
              <c:f>Arkusz1!$A$2:$A$10</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Arkusz1!$C$2:$C$10</c:f>
              <c:numCache>
                <c:formatCode>0.00%</c:formatCode>
                <c:ptCount val="9"/>
                <c:pt idx="0">
                  <c:v>1.8499999999999999E-2</c:v>
                </c:pt>
                <c:pt idx="1">
                  <c:v>0.23100000000000001</c:v>
                </c:pt>
                <c:pt idx="2">
                  <c:v>0.21870000000000001</c:v>
                </c:pt>
                <c:pt idx="3">
                  <c:v>0.26300000000000001</c:v>
                </c:pt>
                <c:pt idx="4">
                  <c:v>0.307</c:v>
                </c:pt>
                <c:pt idx="5">
                  <c:v>0.33660000000000001</c:v>
                </c:pt>
              </c:numCache>
            </c:numRef>
          </c:val>
          <c:extLst xmlns:c16r2="http://schemas.microsoft.com/office/drawing/2015/06/chart">
            <c:ext xmlns:c16="http://schemas.microsoft.com/office/drawing/2014/chart" uri="{C3380CC4-5D6E-409C-BE32-E72D297353CC}">
              <c16:uniqueId val="{00000001-979B-41DF-ADAA-14666F57C55D}"/>
            </c:ext>
          </c:extLst>
        </c:ser>
        <c:dLbls>
          <c:showLegendKey val="0"/>
          <c:showVal val="0"/>
          <c:showCatName val="0"/>
          <c:showSerName val="0"/>
          <c:showPercent val="0"/>
          <c:showBubbleSize val="0"/>
        </c:dLbls>
        <c:gapWidth val="150"/>
        <c:axId val="271787488"/>
        <c:axId val="271787880"/>
      </c:barChart>
      <c:catAx>
        <c:axId val="271787488"/>
        <c:scaling>
          <c:orientation val="minMax"/>
        </c:scaling>
        <c:delete val="0"/>
        <c:axPos val="b"/>
        <c:numFmt formatCode="General" sourceLinked="1"/>
        <c:majorTickMark val="out"/>
        <c:minorTickMark val="none"/>
        <c:tickLblPos val="nextTo"/>
        <c:crossAx val="271787880"/>
        <c:crosses val="autoZero"/>
        <c:auto val="1"/>
        <c:lblAlgn val="ctr"/>
        <c:lblOffset val="100"/>
        <c:noMultiLvlLbl val="0"/>
      </c:catAx>
      <c:valAx>
        <c:axId val="271787880"/>
        <c:scaling>
          <c:orientation val="minMax"/>
        </c:scaling>
        <c:delete val="0"/>
        <c:axPos val="l"/>
        <c:majorGridlines/>
        <c:numFmt formatCode="0.00%" sourceLinked="1"/>
        <c:majorTickMark val="out"/>
        <c:minorTickMark val="none"/>
        <c:tickLblPos val="nextTo"/>
        <c:crossAx val="271787488"/>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6067-455B-BCCC-AE636FA10A60}"/>
              </c:ext>
            </c:extLst>
          </c:dPt>
          <c:dPt>
            <c:idx val="2"/>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3-6067-455B-BCCC-AE636FA10A60}"/>
              </c:ext>
            </c:extLst>
          </c:dPt>
          <c:dPt>
            <c:idx val="3"/>
            <c:invertIfNegative val="0"/>
            <c:bubble3D val="0"/>
            <c:extLst xmlns:c16r2="http://schemas.microsoft.com/office/drawing/2015/06/chart">
              <c:ext xmlns:c16="http://schemas.microsoft.com/office/drawing/2014/chart" uri="{C3380CC4-5D6E-409C-BE32-E72D297353CC}">
                <c16:uniqueId val="{00000005-6067-455B-BCCC-AE636FA10A60}"/>
              </c:ext>
            </c:extLst>
          </c:dPt>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6067-455B-BCCC-AE636FA10A60}"/>
              </c:ext>
            </c:extLst>
          </c:dPt>
          <c:dPt>
            <c:idx val="5"/>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9-6067-455B-BCCC-AE636FA10A60}"/>
              </c:ext>
            </c:extLst>
          </c:dPt>
          <c:dPt>
            <c:idx val="6"/>
            <c:invertIfNegative val="0"/>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B-6067-455B-BCCC-AE636FA10A60}"/>
              </c:ext>
            </c:extLst>
          </c:dPt>
          <c:dLbls>
            <c:dLbl>
              <c:idx val="0"/>
              <c:layout>
                <c:manualLayout>
                  <c:x val="0"/>
                  <c:y val="-4.629629629629629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067-455B-BCCC-AE636FA10A60}"/>
                </c:ext>
                <c:ext xmlns:c15="http://schemas.microsoft.com/office/drawing/2012/chart" uri="{CE6537A1-D6FC-4f65-9D91-7224C49458BB}">
                  <c15:layout/>
                </c:ext>
              </c:extLst>
            </c:dLbl>
            <c:dLbl>
              <c:idx val="1"/>
              <c:layout>
                <c:manualLayout>
                  <c:x val="0"/>
                  <c:y val="-1.388888888888888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067-455B-BCCC-AE636FA10A6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wykres!$J$6:$P$6</c:f>
              <c:strCache>
                <c:ptCount val="7"/>
                <c:pt idx="0">
                  <c:v>2010 r.</c:v>
                </c:pt>
                <c:pt idx="1">
                  <c:v>2011 r.</c:v>
                </c:pt>
                <c:pt idx="2">
                  <c:v>2012 r.</c:v>
                </c:pt>
                <c:pt idx="3">
                  <c:v>2013 r.</c:v>
                </c:pt>
                <c:pt idx="4">
                  <c:v>2014 r.</c:v>
                </c:pt>
                <c:pt idx="5">
                  <c:v>2015 r.</c:v>
                </c:pt>
                <c:pt idx="6">
                  <c:v>2016 r.</c:v>
                </c:pt>
              </c:strCache>
            </c:strRef>
          </c:cat>
          <c:val>
            <c:numRef>
              <c:f>wykres!$J$7:$P$7</c:f>
              <c:numCache>
                <c:formatCode>0.00%</c:formatCode>
                <c:ptCount val="7"/>
                <c:pt idx="0">
                  <c:v>0.18</c:v>
                </c:pt>
                <c:pt idx="1">
                  <c:v>0.2278</c:v>
                </c:pt>
                <c:pt idx="2">
                  <c:v>0.29099999999999998</c:v>
                </c:pt>
                <c:pt idx="3">
                  <c:v>0.30059999999999998</c:v>
                </c:pt>
                <c:pt idx="4">
                  <c:v>0.3306</c:v>
                </c:pt>
                <c:pt idx="5">
                  <c:v>0.38350000000000001</c:v>
                </c:pt>
                <c:pt idx="6">
                  <c:v>0.39</c:v>
                </c:pt>
              </c:numCache>
            </c:numRef>
          </c:val>
          <c:extLst xmlns:c16r2="http://schemas.microsoft.com/office/drawing/2015/06/chart">
            <c:ext xmlns:c16="http://schemas.microsoft.com/office/drawing/2014/chart" uri="{C3380CC4-5D6E-409C-BE32-E72D297353CC}">
              <c16:uniqueId val="{0000000D-6067-455B-BCCC-AE636FA10A60}"/>
            </c:ext>
          </c:extLst>
        </c:ser>
        <c:dLbls>
          <c:showLegendKey val="0"/>
          <c:showVal val="0"/>
          <c:showCatName val="0"/>
          <c:showSerName val="0"/>
          <c:showPercent val="0"/>
          <c:showBubbleSize val="0"/>
        </c:dLbls>
        <c:gapWidth val="219"/>
        <c:overlap val="-27"/>
        <c:axId val="271788664"/>
        <c:axId val="274079264"/>
      </c:barChart>
      <c:catAx>
        <c:axId val="271788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4079264"/>
        <c:crosses val="autoZero"/>
        <c:auto val="1"/>
        <c:lblAlgn val="ctr"/>
        <c:lblOffset val="100"/>
        <c:noMultiLvlLbl val="0"/>
      </c:catAx>
      <c:valAx>
        <c:axId val="274079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788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rAngAx val="0"/>
    </c:view3D>
    <c:floor>
      <c:thickness val="0"/>
    </c:floor>
    <c:sideWall>
      <c:thickness val="0"/>
    </c:sideWall>
    <c:backWall>
      <c:thickness val="0"/>
    </c:backWall>
    <c:plotArea>
      <c:layout/>
      <c:pie3DChart>
        <c:varyColors val="1"/>
        <c:ser>
          <c:idx val="0"/>
          <c:order val="0"/>
          <c:tx>
            <c:strRef>
              <c:f>Arkusz1!$B$1</c:f>
              <c:strCache>
                <c:ptCount val="1"/>
                <c:pt idx="0">
                  <c:v>Obiekty i obszary o szczególnych walorach przyrodniczych prawnie chronione w 2016 r.</c:v>
                </c:pt>
              </c:strCache>
            </c:strRef>
          </c:tx>
          <c:dLbls>
            <c:dLbl>
              <c:idx val="4"/>
              <c:layout/>
              <c:tx>
                <c:rich>
                  <a:bodyPr/>
                  <a:lstStyle/>
                  <a:p>
                    <a:r>
                      <a:rPr lang="en-US" sz="800"/>
                      <a:t>użytki ekologiczne</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5"/>
              <c:layout>
                <c:manualLayout>
                  <c:x val="2.0847368037328666E-2"/>
                  <c:y val="-9.3289901262342212E-2"/>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800"/>
                </a:pPr>
                <a:endParaRPr lang="pl-PL"/>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Arkusz1!$A$2:$A$7</c:f>
              <c:strCache>
                <c:ptCount val="6"/>
                <c:pt idx="0">
                  <c:v>parki narodowe</c:v>
                </c:pt>
                <c:pt idx="1">
                  <c:v>rezerwaty przyrody </c:v>
                </c:pt>
                <c:pt idx="2">
                  <c:v>parki krajobrazowe</c:v>
                </c:pt>
                <c:pt idx="3">
                  <c:v>obszary chronionego krajobrazu</c:v>
                </c:pt>
                <c:pt idx="4">
                  <c:v>użytki ekologiczne</c:v>
                </c:pt>
                <c:pt idx="5">
                  <c:v>zespoły przyrodniczo-krajobrazowe</c:v>
                </c:pt>
              </c:strCache>
            </c:strRef>
          </c:cat>
          <c:val>
            <c:numRef>
              <c:f>Arkusz1!$B$2:$B$7</c:f>
              <c:numCache>
                <c:formatCode>General</c:formatCode>
                <c:ptCount val="6"/>
                <c:pt idx="0">
                  <c:v>315.10000000000002</c:v>
                </c:pt>
                <c:pt idx="1">
                  <c:v>168.3</c:v>
                </c:pt>
                <c:pt idx="2">
                  <c:v>2518.3000000000002</c:v>
                </c:pt>
                <c:pt idx="3">
                  <c:v>6997.5</c:v>
                </c:pt>
                <c:pt idx="4">
                  <c:v>53</c:v>
                </c:pt>
                <c:pt idx="5">
                  <c:v>113.8</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863942025772156"/>
          <c:y val="2.0821781478816574E-2"/>
          <c:w val="0.4892778602748758"/>
          <c:h val="0.96328140807286833"/>
        </c:manualLayout>
      </c:layout>
      <c:barChart>
        <c:barDir val="bar"/>
        <c:grouping val="clustered"/>
        <c:varyColors val="0"/>
        <c:ser>
          <c:idx val="0"/>
          <c:order val="0"/>
          <c:tx>
            <c:strRef>
              <c:f>Arkusz1!$B$1</c:f>
              <c:strCache>
                <c:ptCount val="1"/>
                <c:pt idx="0">
                  <c:v>Seria 2</c:v>
                </c:pt>
              </c:strCache>
            </c:strRef>
          </c:tx>
          <c:spPr>
            <a:solidFill>
              <a:srgbClr val="C50017"/>
            </a:solidFill>
          </c:spPr>
          <c:invertIfNegative val="0"/>
          <c:dPt>
            <c:idx val="0"/>
            <c:invertIfNegative val="0"/>
            <c:bubble3D val="0"/>
          </c:dPt>
          <c:dPt>
            <c:idx val="1"/>
            <c:invertIfNegative val="0"/>
            <c:bubble3D val="0"/>
          </c:dPt>
          <c:dPt>
            <c:idx val="2"/>
            <c:invertIfNegative val="0"/>
            <c:bubble3D val="0"/>
          </c:dPt>
          <c:dPt>
            <c:idx val="3"/>
            <c:invertIfNegative val="0"/>
            <c:bubble3D val="0"/>
          </c:dPt>
          <c:dLbls>
            <c:dLbl>
              <c:idx val="12"/>
              <c:layout>
                <c:manualLayout>
                  <c:x val="-1.4656123493037947E-2"/>
                  <c:y val="-9.9704264024738493E-17"/>
                </c:manualLayout>
              </c:layout>
              <c:tx>
                <c:rich>
                  <a:bodyPr/>
                  <a:lstStyle/>
                  <a:p>
                    <a:r>
                      <a:rPr lang="en-US" dirty="0">
                        <a:solidFill>
                          <a:schemeClr val="tx1"/>
                        </a:solidFill>
                      </a:rPr>
                      <a:t>4</a:t>
                    </a:r>
                  </a:p>
                </c:rich>
              </c:tx>
              <c:dLblPos val="outEnd"/>
              <c:showLegendKey val="0"/>
              <c:showVal val="0"/>
              <c:showCatName val="0"/>
              <c:showSerName val="0"/>
              <c:showPercent val="0"/>
              <c:showBubbleSize val="0"/>
              <c:extLst>
                <c:ext xmlns:c15="http://schemas.microsoft.com/office/drawing/2012/chart" uri="{CE6537A1-D6FC-4f65-9D91-7224C49458BB}">
                  <c15:layout/>
                </c:ext>
              </c:extLst>
            </c:dLbl>
            <c:dLbl>
              <c:idx val="13"/>
              <c:layout>
                <c:manualLayout>
                  <c:x val="-1.3935228435428623E-2"/>
                  <c:y val="2.7192386131883071E-3"/>
                </c:manualLayout>
              </c:layout>
              <c:tx>
                <c:rich>
                  <a:bodyPr/>
                  <a:lstStyle/>
                  <a:p>
                    <a:r>
                      <a:rPr lang="en-US" dirty="0">
                        <a:solidFill>
                          <a:schemeClr val="tx1"/>
                        </a:solidFill>
                      </a:rPr>
                      <a:t>4</a:t>
                    </a:r>
                  </a:p>
                </c:rich>
              </c:tx>
              <c:dLblPos val="outEnd"/>
              <c:showLegendKey val="0"/>
              <c:showVal val="0"/>
              <c:showCatName val="0"/>
              <c:showSerName val="0"/>
              <c:showPercent val="0"/>
              <c:showBubbleSize val="0"/>
              <c:extLst>
                <c:ext xmlns:c15="http://schemas.microsoft.com/office/drawing/2012/chart" uri="{CE6537A1-D6FC-4f65-9D91-7224C49458BB}">
                  <c15:layout/>
                </c:ext>
              </c:extLst>
            </c:dLbl>
            <c:numFmt formatCode="#,##0" sourceLinked="0"/>
            <c:spPr>
              <a:noFill/>
              <a:ln w="25409">
                <a:noFill/>
              </a:ln>
            </c:spPr>
            <c:txPr>
              <a:bodyPr/>
              <a:lstStyle/>
              <a:p>
                <a:pPr>
                  <a:defRPr sz="1000" b="1">
                    <a:solidFill>
                      <a:schemeClr val="bg1"/>
                    </a:solidFill>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Arkusz1!$A$2:$A$15</c:f>
              <c:strCache>
                <c:ptCount val="14"/>
                <c:pt idx="0">
                  <c:v> ochrona zdrowia</c:v>
                </c:pt>
                <c:pt idx="1">
                  <c:v> praca – praca, polityka społeczna i rodzinna</c:v>
                </c:pt>
                <c:pt idx="2">
                  <c:v> gospodarka – rozwój ekonomiczny</c:v>
                </c:pt>
                <c:pt idx="3">
                  <c:v> finanse publiczne – dług publiczny, budżet państwa</c:v>
                </c:pt>
                <c:pt idx="4">
                  <c:v> wymiar sprawiedliwości – działalność sądów i prokuratur</c:v>
                </c:pt>
                <c:pt idx="5">
                  <c:v> infrastruktura – drogi, koleje, lotniska, łączność</c:v>
                </c:pt>
                <c:pt idx="6">
                  <c:v> rolnictwo i rozwój wsi</c:v>
                </c:pt>
                <c:pt idx="7">
                  <c:v> oświata i wychowanie</c:v>
                </c:pt>
                <c:pt idx="8">
                  <c:v> obrona narodowa</c:v>
                </c:pt>
                <c:pt idx="9">
                  <c:v> szkolnictwo wyższe i nauka</c:v>
                </c:pt>
                <c:pt idx="10">
                  <c:v> sprawy wewnętrzne i bezpieczeństwo – działalność policji, służb specjalnych, straży pożarnej i straży granicznej</c:v>
                </c:pt>
                <c:pt idx="11">
                  <c:v> ochrona środowiska</c:v>
                </c:pt>
                <c:pt idx="12">
                  <c:v> kultura fizyczna i sport</c:v>
                </c:pt>
                <c:pt idx="13">
                  <c:v> kultura i dziedzictwo narodowe</c:v>
                </c:pt>
              </c:strCache>
            </c:strRef>
          </c:cat>
          <c:val>
            <c:numRef>
              <c:f>Arkusz1!$B$2:$B$15</c:f>
              <c:numCache>
                <c:formatCode>0</c:formatCode>
                <c:ptCount val="14"/>
                <c:pt idx="0">
                  <c:v>59.1</c:v>
                </c:pt>
                <c:pt idx="1">
                  <c:v>52.9</c:v>
                </c:pt>
                <c:pt idx="2">
                  <c:v>28.7</c:v>
                </c:pt>
                <c:pt idx="3">
                  <c:v>24.2</c:v>
                </c:pt>
                <c:pt idx="4">
                  <c:v>16.8</c:v>
                </c:pt>
                <c:pt idx="5">
                  <c:v>15.1</c:v>
                </c:pt>
                <c:pt idx="6">
                  <c:v>15</c:v>
                </c:pt>
                <c:pt idx="7">
                  <c:v>12.8</c:v>
                </c:pt>
                <c:pt idx="8">
                  <c:v>10.199999999999999</c:v>
                </c:pt>
                <c:pt idx="9">
                  <c:v>8.9</c:v>
                </c:pt>
                <c:pt idx="10">
                  <c:v>8.6</c:v>
                </c:pt>
                <c:pt idx="11">
                  <c:v>7.6</c:v>
                </c:pt>
                <c:pt idx="12">
                  <c:v>3.6</c:v>
                </c:pt>
                <c:pt idx="13">
                  <c:v>3.5</c:v>
                </c:pt>
              </c:numCache>
            </c:numRef>
          </c:val>
        </c:ser>
        <c:dLbls>
          <c:showLegendKey val="0"/>
          <c:showVal val="0"/>
          <c:showCatName val="0"/>
          <c:showSerName val="0"/>
          <c:showPercent val="0"/>
          <c:showBubbleSize val="0"/>
        </c:dLbls>
        <c:gapWidth val="20"/>
        <c:axId val="274080048"/>
        <c:axId val="274080440"/>
      </c:barChart>
      <c:catAx>
        <c:axId val="274080048"/>
        <c:scaling>
          <c:orientation val="maxMin"/>
        </c:scaling>
        <c:delete val="0"/>
        <c:axPos val="l"/>
        <c:numFmt formatCode="General" sourceLinked="0"/>
        <c:majorTickMark val="none"/>
        <c:minorTickMark val="none"/>
        <c:tickLblPos val="nextTo"/>
        <c:spPr>
          <a:ln>
            <a:noFill/>
          </a:ln>
        </c:spPr>
        <c:txPr>
          <a:bodyPr/>
          <a:lstStyle/>
          <a:p>
            <a:pPr>
              <a:defRPr sz="1000">
                <a:solidFill>
                  <a:srgbClr val="333333"/>
                </a:solidFill>
              </a:defRPr>
            </a:pPr>
            <a:endParaRPr lang="pl-PL"/>
          </a:p>
        </c:txPr>
        <c:crossAx val="274080440"/>
        <c:crosses val="autoZero"/>
        <c:auto val="1"/>
        <c:lblAlgn val="ctr"/>
        <c:lblOffset val="100"/>
        <c:noMultiLvlLbl val="0"/>
      </c:catAx>
      <c:valAx>
        <c:axId val="274080440"/>
        <c:scaling>
          <c:orientation val="minMax"/>
        </c:scaling>
        <c:delete val="1"/>
        <c:axPos val="t"/>
        <c:numFmt formatCode="0" sourceLinked="1"/>
        <c:majorTickMark val="out"/>
        <c:minorTickMark val="none"/>
        <c:tickLblPos val="nextTo"/>
        <c:crossAx val="274080048"/>
        <c:crosses val="autoZero"/>
        <c:crossBetween val="between"/>
        <c:majorUnit val="1"/>
      </c:valAx>
    </c:plotArea>
    <c:plotVisOnly val="1"/>
    <c:dispBlanksAs val="gap"/>
    <c:showDLblsOverMax val="0"/>
  </c:chart>
  <c:txPr>
    <a:bodyPr/>
    <a:lstStyle/>
    <a:p>
      <a:pPr>
        <a:defRPr sz="1801"/>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b="0"/>
            </a:pPr>
            <a:r>
              <a:rPr lang="en-US" sz="1200" b="0"/>
              <a:t>Stan chemiczny</a:t>
            </a:r>
            <a:r>
              <a:rPr lang="pl-PL" sz="1200" b="0"/>
              <a:t> </a:t>
            </a:r>
            <a:endParaRPr lang="en-US" sz="1200" b="0"/>
          </a:p>
        </c:rich>
      </c:tx>
      <c:layout>
        <c:manualLayout>
          <c:xMode val="edge"/>
          <c:yMode val="edge"/>
          <c:x val="1.3602246973703618E-2"/>
          <c:y val="3.5376167744316692E-2"/>
        </c:manualLayout>
      </c:layout>
      <c:overlay val="0"/>
    </c:title>
    <c:autoTitleDeleted val="0"/>
    <c:plotArea>
      <c:layout>
        <c:manualLayout>
          <c:layoutTarget val="inner"/>
          <c:xMode val="edge"/>
          <c:yMode val="edge"/>
          <c:x val="0.47183866635741661"/>
          <c:y val="0"/>
          <c:w val="0.50290432839087362"/>
          <c:h val="0.96333900884056001"/>
        </c:manualLayout>
      </c:layout>
      <c:pieChart>
        <c:varyColors val="1"/>
        <c:ser>
          <c:idx val="1"/>
          <c:order val="1"/>
          <c:tx>
            <c:strRef>
              <c:f>Arkusz1!$M$65</c:f>
              <c:strCache>
                <c:ptCount val="1"/>
                <c:pt idx="0">
                  <c:v>Stan chemiczny</c:v>
                </c:pt>
              </c:strCache>
            </c:strRef>
          </c:tx>
          <c:dPt>
            <c:idx val="0"/>
            <c:bubble3D val="0"/>
            <c:spPr>
              <a:solidFill>
                <a:srgbClr val="00B050"/>
              </a:solidFill>
            </c:spPr>
            <c:extLst xmlns:c16r2="http://schemas.microsoft.com/office/drawing/2015/06/chart">
              <c:ext xmlns:c16="http://schemas.microsoft.com/office/drawing/2014/chart" uri="{C3380CC4-5D6E-409C-BE32-E72D297353CC}">
                <c16:uniqueId val="{00000001-A623-48BB-87BA-D5D55B096356}"/>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A623-48BB-87BA-D5D55B096356}"/>
              </c:ext>
            </c:extLst>
          </c:dPt>
          <c:dLbls>
            <c:dLbl>
              <c:idx val="0"/>
              <c:layout/>
              <c:tx>
                <c:rich>
                  <a:bodyPr/>
                  <a:lstStyle/>
                  <a:p>
                    <a:r>
                      <a:rPr lang="en-US" sz="900"/>
                      <a:t>Dobry
72%</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A623-48BB-87BA-D5D55B096356}"/>
                </c:ext>
                <c:ext xmlns:c15="http://schemas.microsoft.com/office/drawing/2012/chart" uri="{CE6537A1-D6FC-4f65-9D91-7224C49458BB}">
                  <c15:layout/>
                </c:ext>
              </c:extLst>
            </c:dLbl>
            <c:dLbl>
              <c:idx val="1"/>
              <c:layout>
                <c:manualLayout>
                  <c:x val="0.17516564741911397"/>
                  <c:y val="0.16803679678550421"/>
                </c:manualLayout>
              </c:layout>
              <c:tx>
                <c:rich>
                  <a:bodyPr/>
                  <a:lstStyle/>
                  <a:p>
                    <a:r>
                      <a:rPr lang="en-US" sz="900"/>
                      <a:t>Poniżej dobrego
28%</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A623-48BB-87BA-D5D55B096356}"/>
                </c:ex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Arkusz1!$N$64:$O$64</c:f>
              <c:strCache>
                <c:ptCount val="2"/>
                <c:pt idx="0">
                  <c:v>Dobry</c:v>
                </c:pt>
                <c:pt idx="1">
                  <c:v>Poniżej dobrego</c:v>
                </c:pt>
              </c:strCache>
            </c:strRef>
          </c:cat>
          <c:val>
            <c:numRef>
              <c:f>Arkusz1!$N$65:$O$65</c:f>
              <c:numCache>
                <c:formatCode>General</c:formatCode>
                <c:ptCount val="2"/>
                <c:pt idx="0">
                  <c:v>288</c:v>
                </c:pt>
                <c:pt idx="1">
                  <c:v>112</c:v>
                </c:pt>
              </c:numCache>
            </c:numRef>
          </c:val>
          <c:extLst xmlns:c16r2="http://schemas.microsoft.com/office/drawing/2015/06/chart">
            <c:ext xmlns:c16="http://schemas.microsoft.com/office/drawing/2014/chart" uri="{C3380CC4-5D6E-409C-BE32-E72D297353CC}">
              <c16:uniqueId val="{00000004-A623-48BB-87BA-D5D55B096356}"/>
            </c:ext>
          </c:extLst>
        </c:ser>
        <c:ser>
          <c:idx val="2"/>
          <c:order val="2"/>
          <c:tx>
            <c:strRef>
              <c:f>Arkusz1!$M$65</c:f>
              <c:strCache>
                <c:ptCount val="1"/>
                <c:pt idx="0">
                  <c:v>Stan chemiczny</c:v>
                </c:pt>
              </c:strCache>
            </c:strRef>
          </c:tx>
          <c:cat>
            <c:strRef>
              <c:f>Arkusz1!$N$64:$O$64</c:f>
              <c:strCache>
                <c:ptCount val="2"/>
                <c:pt idx="0">
                  <c:v>Dobry</c:v>
                </c:pt>
                <c:pt idx="1">
                  <c:v>Poniżej dobrego</c:v>
                </c:pt>
              </c:strCache>
            </c:strRef>
          </c:cat>
          <c:val>
            <c:numRef>
              <c:f>Arkusz1!$N$65:$O$65</c:f>
              <c:numCache>
                <c:formatCode>General</c:formatCode>
                <c:ptCount val="2"/>
                <c:pt idx="0">
                  <c:v>288</c:v>
                </c:pt>
                <c:pt idx="1">
                  <c:v>112</c:v>
                </c:pt>
              </c:numCache>
            </c:numRef>
          </c:val>
          <c:extLst xmlns:c16r2="http://schemas.microsoft.com/office/drawing/2015/06/chart">
            <c:ext xmlns:c16="http://schemas.microsoft.com/office/drawing/2014/chart" uri="{C3380CC4-5D6E-409C-BE32-E72D297353CC}">
              <c16:uniqueId val="{00000005-A623-48BB-87BA-D5D55B096356}"/>
            </c:ext>
          </c:extLst>
        </c:ser>
        <c:ser>
          <c:idx val="0"/>
          <c:order val="0"/>
          <c:tx>
            <c:strRef>
              <c:f>Arkusz1!$M$65</c:f>
              <c:strCache>
                <c:ptCount val="1"/>
                <c:pt idx="0">
                  <c:v>Stan chemiczny</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Arkusz1!$N$64:$O$64</c:f>
              <c:strCache>
                <c:ptCount val="2"/>
                <c:pt idx="0">
                  <c:v>Dobry</c:v>
                </c:pt>
                <c:pt idx="1">
                  <c:v>Poniżej dobrego</c:v>
                </c:pt>
              </c:strCache>
            </c:strRef>
          </c:cat>
          <c:val>
            <c:numRef>
              <c:f>Arkusz1!$N$65:$O$65</c:f>
              <c:numCache>
                <c:formatCode>General</c:formatCode>
                <c:ptCount val="2"/>
                <c:pt idx="0">
                  <c:v>288</c:v>
                </c:pt>
                <c:pt idx="1">
                  <c:v>112</c:v>
                </c:pt>
              </c:numCache>
            </c:numRef>
          </c:val>
          <c:extLst xmlns:c16r2="http://schemas.microsoft.com/office/drawing/2015/06/chart">
            <c:ext xmlns:c16="http://schemas.microsoft.com/office/drawing/2014/chart" uri="{C3380CC4-5D6E-409C-BE32-E72D297353CC}">
              <c16:uniqueId val="{00000006-A623-48BB-87BA-D5D55B096356}"/>
            </c:ext>
          </c:extLst>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2328264605599628"/>
          <c:y val="2.6114536468227954E-2"/>
          <c:w val="0.45463463455019665"/>
          <c:h val="0.96063503057816313"/>
        </c:manualLayout>
      </c:layout>
      <c:barChart>
        <c:barDir val="bar"/>
        <c:grouping val="clustered"/>
        <c:varyColors val="0"/>
        <c:ser>
          <c:idx val="0"/>
          <c:order val="0"/>
          <c:tx>
            <c:strRef>
              <c:f>Arkusz1!$B$1</c:f>
              <c:strCache>
                <c:ptCount val="1"/>
                <c:pt idx="0">
                  <c:v>Seria 2</c:v>
                </c:pt>
              </c:strCache>
            </c:strRef>
          </c:tx>
          <c:spPr>
            <a:solidFill>
              <a:srgbClr val="C50017"/>
            </a:solidFill>
          </c:spPr>
          <c:invertIfNegative val="0"/>
          <c:dLbls>
            <c:numFmt formatCode="#,##0" sourceLinked="0"/>
            <c:spPr>
              <a:noFill/>
              <a:ln w="25378">
                <a:noFill/>
              </a:ln>
            </c:spPr>
            <c:txPr>
              <a:bodyPr/>
              <a:lstStyle/>
              <a:p>
                <a:pPr algn="ctr">
                  <a:defRPr lang="pl-PL" sz="999" b="1" i="0" u="none" strike="noStrike" kern="1200" baseline="0">
                    <a:solidFill>
                      <a:prstClr val="white"/>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Arkusz1!$A$2:$A$11</c:f>
              <c:strCache>
                <c:ptCount val="10"/>
                <c:pt idx="0">
                  <c:v> problem śmieci</c:v>
                </c:pt>
                <c:pt idx="1">
                  <c:v> zanieczyszczenie powietrza</c:v>
                </c:pt>
                <c:pt idx="2">
                  <c:v> zanieczyszczenie wód</c:v>
                </c:pt>
                <c:pt idx="3">
                  <c:v> katastrofy naturalne (np. powodzie)</c:v>
                </c:pt>
                <c:pt idx="4">
                  <c:v> zmiany klimatu</c:v>
                </c:pt>
                <c:pt idx="5">
                  <c:v> katastrofy wywołane przez człowieka</c:v>
                </c:pt>
                <c:pt idx="6">
                  <c:v> wyczerpywanie się zasobów naturalnych</c:v>
                </c:pt>
                <c:pt idx="7">
                  <c:v> zanikanie gatunków zwierząt i roślin</c:v>
                </c:pt>
                <c:pt idx="8">
                  <c:v> wzrost poziomu hałasu</c:v>
                </c:pt>
                <c:pt idx="9">
                  <c:v> niskie zasoby wody</c:v>
                </c:pt>
              </c:strCache>
            </c:strRef>
          </c:cat>
          <c:val>
            <c:numRef>
              <c:f>Arkusz1!$B$2:$B$11</c:f>
              <c:numCache>
                <c:formatCode>0</c:formatCode>
                <c:ptCount val="10"/>
                <c:pt idx="0">
                  <c:v>44.5</c:v>
                </c:pt>
                <c:pt idx="1">
                  <c:v>39.299999999999997</c:v>
                </c:pt>
                <c:pt idx="2">
                  <c:v>34.5</c:v>
                </c:pt>
                <c:pt idx="3">
                  <c:v>30.1</c:v>
                </c:pt>
                <c:pt idx="4">
                  <c:v>22.2</c:v>
                </c:pt>
                <c:pt idx="5">
                  <c:v>17.399999999999999</c:v>
                </c:pt>
                <c:pt idx="6">
                  <c:v>17.3</c:v>
                </c:pt>
                <c:pt idx="7">
                  <c:v>14.9</c:v>
                </c:pt>
                <c:pt idx="8">
                  <c:v>14.2</c:v>
                </c:pt>
                <c:pt idx="9">
                  <c:v>13</c:v>
                </c:pt>
              </c:numCache>
            </c:numRef>
          </c:val>
        </c:ser>
        <c:dLbls>
          <c:showLegendKey val="0"/>
          <c:showVal val="1"/>
          <c:showCatName val="0"/>
          <c:showSerName val="0"/>
          <c:showPercent val="0"/>
          <c:showBubbleSize val="0"/>
        </c:dLbls>
        <c:gapWidth val="30"/>
        <c:axId val="274081224"/>
        <c:axId val="274081616"/>
      </c:barChart>
      <c:catAx>
        <c:axId val="274081224"/>
        <c:scaling>
          <c:orientation val="maxMin"/>
        </c:scaling>
        <c:delete val="0"/>
        <c:axPos val="l"/>
        <c:numFmt formatCode="General" sourceLinked="0"/>
        <c:majorTickMark val="none"/>
        <c:minorTickMark val="none"/>
        <c:tickLblPos val="nextTo"/>
        <c:spPr>
          <a:ln>
            <a:noFill/>
          </a:ln>
        </c:spPr>
        <c:txPr>
          <a:bodyPr/>
          <a:lstStyle/>
          <a:p>
            <a:pPr>
              <a:defRPr sz="999">
                <a:solidFill>
                  <a:srgbClr val="333333"/>
                </a:solidFill>
              </a:defRPr>
            </a:pPr>
            <a:endParaRPr lang="pl-PL"/>
          </a:p>
        </c:txPr>
        <c:crossAx val="274081616"/>
        <c:crosses val="autoZero"/>
        <c:auto val="1"/>
        <c:lblAlgn val="ctr"/>
        <c:lblOffset val="100"/>
        <c:noMultiLvlLbl val="0"/>
      </c:catAx>
      <c:valAx>
        <c:axId val="274081616"/>
        <c:scaling>
          <c:orientation val="minMax"/>
        </c:scaling>
        <c:delete val="1"/>
        <c:axPos val="t"/>
        <c:numFmt formatCode="0" sourceLinked="1"/>
        <c:majorTickMark val="out"/>
        <c:minorTickMark val="none"/>
        <c:tickLblPos val="nextTo"/>
        <c:crossAx val="274081224"/>
        <c:crosses val="autoZero"/>
        <c:crossBetween val="between"/>
        <c:majorUnit val="1"/>
      </c:valAx>
    </c:plotArea>
    <c:plotVisOnly val="1"/>
    <c:dispBlanksAs val="gap"/>
    <c:showDLblsOverMax val="0"/>
  </c:chart>
  <c:spPr>
    <a:ln>
      <a:noFill/>
    </a:ln>
  </c:spPr>
  <c:txPr>
    <a:bodyPr/>
    <a:lstStyle/>
    <a:p>
      <a:pPr>
        <a:defRPr sz="1798"/>
      </a:pPr>
      <a:endParaRPr lang="pl-PL"/>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9365778518144682"/>
          <c:y val="3.1407291457639333E-2"/>
          <c:w val="0.46263852869862854"/>
          <c:h val="0.91300023567346056"/>
        </c:manualLayout>
      </c:layout>
      <c:barChart>
        <c:barDir val="bar"/>
        <c:grouping val="clustered"/>
        <c:varyColors val="0"/>
        <c:ser>
          <c:idx val="0"/>
          <c:order val="0"/>
          <c:tx>
            <c:strRef>
              <c:f>Arkusz1!$B$1</c:f>
              <c:strCache>
                <c:ptCount val="1"/>
                <c:pt idx="0">
                  <c:v>2014</c:v>
                </c:pt>
              </c:strCache>
            </c:strRef>
          </c:tx>
          <c:spPr>
            <a:solidFill>
              <a:srgbClr val="7A2280"/>
            </a:solidFill>
          </c:spPr>
          <c:invertIfNegative val="0"/>
          <c:dLbls>
            <c:numFmt formatCode="#,##0.00" sourceLinked="0"/>
            <c:spPr>
              <a:noFill/>
              <a:ln w="25386">
                <a:noFill/>
              </a:ln>
            </c:spPr>
            <c:txPr>
              <a:bodyPr/>
              <a:lstStyle/>
              <a:p>
                <a:pPr>
                  <a:defRPr sz="999" b="1">
                    <a:solidFill>
                      <a:schemeClr val="bg1"/>
                    </a:solidFill>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Arkusz1!$A$2:$A$5</c:f>
              <c:strCache>
                <c:ptCount val="4"/>
                <c:pt idx="0">
                  <c:v> emisja z dużych obiektów energetycznego spalania, fabryk itp.</c:v>
                </c:pt>
                <c:pt idx="1">
                  <c:v> emisja z transportu samochodowego</c:v>
                </c:pt>
                <c:pt idx="2">
                  <c:v> emisja z indywidualnych źródeł tzn. piece domowe</c:v>
                </c:pt>
                <c:pt idx="3">
                  <c:v> emisja pochodząca z państw sąsiadujących z Polską</c:v>
                </c:pt>
              </c:strCache>
            </c:strRef>
          </c:cat>
          <c:val>
            <c:numRef>
              <c:f>Arkusz1!$B$2:$B$5</c:f>
              <c:numCache>
                <c:formatCode>0.00</c:formatCode>
                <c:ptCount val="4"/>
                <c:pt idx="0">
                  <c:v>3.0609999999999999</c:v>
                </c:pt>
                <c:pt idx="1">
                  <c:v>2.9119999999999999</c:v>
                </c:pt>
                <c:pt idx="2">
                  <c:v>2.298</c:v>
                </c:pt>
                <c:pt idx="3">
                  <c:v>1.7290000000000001</c:v>
                </c:pt>
              </c:numCache>
            </c:numRef>
          </c:val>
        </c:ser>
        <c:ser>
          <c:idx val="1"/>
          <c:order val="1"/>
          <c:tx>
            <c:strRef>
              <c:f>Arkusz1!$C$1</c:f>
              <c:strCache>
                <c:ptCount val="1"/>
                <c:pt idx="0">
                  <c:v>2013</c:v>
                </c:pt>
              </c:strCache>
            </c:strRef>
          </c:tx>
          <c:spPr>
            <a:solidFill>
              <a:srgbClr val="F7911E"/>
            </a:solidFill>
          </c:spPr>
          <c:invertIfNegative val="0"/>
          <c:dLbls>
            <c:numFmt formatCode="#,##0.00" sourceLinked="0"/>
            <c:spPr>
              <a:noFill/>
              <a:ln w="25386">
                <a:noFill/>
              </a:ln>
            </c:spPr>
            <c:txPr>
              <a:bodyPr/>
              <a:lstStyle/>
              <a:p>
                <a:pPr>
                  <a:defRPr sz="999" b="1">
                    <a:solidFill>
                      <a:schemeClr val="bg1"/>
                    </a:solidFill>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Arkusz1!$A$2:$A$5</c:f>
              <c:strCache>
                <c:ptCount val="4"/>
                <c:pt idx="0">
                  <c:v> emisja z dużych obiektów energetycznego spalania, fabryk itp.</c:v>
                </c:pt>
                <c:pt idx="1">
                  <c:v> emisja z transportu samochodowego</c:v>
                </c:pt>
                <c:pt idx="2">
                  <c:v> emisja z indywidualnych źródeł tzn. piece domowe</c:v>
                </c:pt>
                <c:pt idx="3">
                  <c:v> emisja pochodząca z państw sąsiadujących z Polską</c:v>
                </c:pt>
              </c:strCache>
            </c:strRef>
          </c:cat>
          <c:val>
            <c:numRef>
              <c:f>Arkusz1!$C$2:$C$5</c:f>
              <c:numCache>
                <c:formatCode>0.00</c:formatCode>
                <c:ptCount val="4"/>
                <c:pt idx="0">
                  <c:v>3.1964385430069293</c:v>
                </c:pt>
                <c:pt idx="1">
                  <c:v>2.930282462900478</c:v>
                </c:pt>
                <c:pt idx="2">
                  <c:v>2.2592624205308938</c:v>
                </c:pt>
                <c:pt idx="3">
                  <c:v>1.6140165735617196</c:v>
                </c:pt>
              </c:numCache>
            </c:numRef>
          </c:val>
        </c:ser>
        <c:dLbls>
          <c:showLegendKey val="0"/>
          <c:showVal val="1"/>
          <c:showCatName val="0"/>
          <c:showSerName val="0"/>
          <c:showPercent val="0"/>
          <c:showBubbleSize val="0"/>
        </c:dLbls>
        <c:gapWidth val="20"/>
        <c:axId val="274082400"/>
        <c:axId val="274082792"/>
      </c:barChart>
      <c:catAx>
        <c:axId val="274082400"/>
        <c:scaling>
          <c:orientation val="maxMin"/>
        </c:scaling>
        <c:delete val="0"/>
        <c:axPos val="l"/>
        <c:numFmt formatCode="General" sourceLinked="0"/>
        <c:majorTickMark val="none"/>
        <c:minorTickMark val="none"/>
        <c:tickLblPos val="nextTo"/>
        <c:spPr>
          <a:ln>
            <a:noFill/>
          </a:ln>
        </c:spPr>
        <c:txPr>
          <a:bodyPr/>
          <a:lstStyle/>
          <a:p>
            <a:pPr>
              <a:defRPr sz="999">
                <a:solidFill>
                  <a:srgbClr val="333333"/>
                </a:solidFill>
              </a:defRPr>
            </a:pPr>
            <a:endParaRPr lang="pl-PL"/>
          </a:p>
        </c:txPr>
        <c:crossAx val="274082792"/>
        <c:crosses val="autoZero"/>
        <c:auto val="1"/>
        <c:lblAlgn val="ctr"/>
        <c:lblOffset val="100"/>
        <c:noMultiLvlLbl val="0"/>
      </c:catAx>
      <c:valAx>
        <c:axId val="274082792"/>
        <c:scaling>
          <c:orientation val="minMax"/>
        </c:scaling>
        <c:delete val="1"/>
        <c:axPos val="t"/>
        <c:numFmt formatCode="0.00" sourceLinked="1"/>
        <c:majorTickMark val="out"/>
        <c:minorTickMark val="none"/>
        <c:tickLblPos val="nextTo"/>
        <c:crossAx val="274082400"/>
        <c:crosses val="autoZero"/>
        <c:crossBetween val="between"/>
        <c:majorUnit val="1"/>
      </c:valAx>
    </c:plotArea>
    <c:legend>
      <c:legendPos val="r"/>
      <c:layout>
        <c:manualLayout>
          <c:xMode val="edge"/>
          <c:yMode val="edge"/>
          <c:x val="0.76513317191283292"/>
          <c:y val="0.76675603217158173"/>
          <c:w val="0.2009685230024213"/>
          <c:h val="0.13941018766756033"/>
        </c:manualLayout>
      </c:layout>
      <c:overlay val="0"/>
      <c:txPr>
        <a:bodyPr/>
        <a:lstStyle/>
        <a:p>
          <a:pPr>
            <a:defRPr sz="999"/>
          </a:pPr>
          <a:endParaRPr lang="pl-PL"/>
        </a:p>
      </c:txPr>
    </c:legend>
    <c:plotVisOnly val="1"/>
    <c:dispBlanksAs val="gap"/>
    <c:showDLblsOverMax val="0"/>
  </c:chart>
  <c:spPr>
    <a:ln>
      <a:noFill/>
    </a:ln>
  </c:spPr>
  <c:txPr>
    <a:bodyPr/>
    <a:lstStyle/>
    <a:p>
      <a:pPr>
        <a:defRPr sz="1799"/>
      </a:pPr>
      <a:endParaRPr lang="pl-PL"/>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188304210092227"/>
          <c:y val="0.19812907362409732"/>
          <c:w val="0.76300526099460075"/>
          <c:h val="0.39431024671114684"/>
        </c:manualLayout>
      </c:layout>
      <c:barChart>
        <c:barDir val="bar"/>
        <c:grouping val="percentStacked"/>
        <c:varyColors val="0"/>
        <c:ser>
          <c:idx val="8"/>
          <c:order val="0"/>
          <c:tx>
            <c:strRef>
              <c:f>Arkusz1!$B$1</c:f>
              <c:strCache>
                <c:ptCount val="1"/>
                <c:pt idx="0">
                  <c:v>tak, jak najszybciej – Polska powinna już teraz redukować emisję</c:v>
                </c:pt>
              </c:strCache>
            </c:strRef>
          </c:tx>
          <c:spPr>
            <a:solidFill>
              <a:srgbClr val="145D04"/>
            </a:solidFill>
            <a:ln w="25519">
              <a:noFill/>
            </a:ln>
          </c:spPr>
          <c:invertIfNegative val="0"/>
          <c:dLbls>
            <c:numFmt formatCode="#,##0" sourceLinked="0"/>
            <c:spPr>
              <a:noFill/>
              <a:ln w="25519">
                <a:noFill/>
              </a:ln>
            </c:spPr>
            <c:txPr>
              <a:bodyPr/>
              <a:lstStyle/>
              <a:p>
                <a:pPr>
                  <a:defRPr sz="1200" b="1" i="0" u="none" strike="noStrike" baseline="0">
                    <a:solidFill>
                      <a:schemeClr val="bg1"/>
                    </a:solidFill>
                    <a:latin typeface="+mn-lt"/>
                    <a:ea typeface="Arial"/>
                    <a:cs typeface="Aria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Arkusz1!$A$2:$A$4</c:f>
              <c:numCache>
                <c:formatCode>General</c:formatCode>
                <c:ptCount val="3"/>
                <c:pt idx="0">
                  <c:v>2014</c:v>
                </c:pt>
                <c:pt idx="1">
                  <c:v>2013</c:v>
                </c:pt>
                <c:pt idx="2">
                  <c:v>2012</c:v>
                </c:pt>
              </c:numCache>
            </c:numRef>
          </c:cat>
          <c:val>
            <c:numRef>
              <c:f>Arkusz1!$B$2:$B$4</c:f>
              <c:numCache>
                <c:formatCode>0</c:formatCode>
                <c:ptCount val="3"/>
                <c:pt idx="0">
                  <c:v>32.200000000000003</c:v>
                </c:pt>
                <c:pt idx="1">
                  <c:v>43.109119796171498</c:v>
                </c:pt>
                <c:pt idx="2">
                  <c:v>41.8</c:v>
                </c:pt>
              </c:numCache>
            </c:numRef>
          </c:val>
        </c:ser>
        <c:ser>
          <c:idx val="0"/>
          <c:order val="1"/>
          <c:tx>
            <c:strRef>
              <c:f>Arkusz1!$C$1</c:f>
              <c:strCache>
                <c:ptCount val="1"/>
                <c:pt idx="0">
                  <c:v>tak, w niedalekiej przyszłości</c:v>
                </c:pt>
              </c:strCache>
            </c:strRef>
          </c:tx>
          <c:spPr>
            <a:solidFill>
              <a:srgbClr val="489A1E"/>
            </a:solidFill>
            <a:ln w="25519">
              <a:noFill/>
            </a:ln>
          </c:spPr>
          <c:invertIfNegative val="0"/>
          <c:dLbls>
            <c:numFmt formatCode="#,##0" sourceLinked="0"/>
            <c:spPr>
              <a:noFill/>
              <a:ln w="25519">
                <a:noFill/>
              </a:ln>
            </c:spPr>
            <c:txPr>
              <a:bodyPr/>
              <a:lstStyle/>
              <a:p>
                <a:pPr>
                  <a:defRPr sz="1200" b="1" i="0" u="none" strike="noStrike" baseline="0">
                    <a:solidFill>
                      <a:schemeClr val="bg1"/>
                    </a:solidFill>
                    <a:latin typeface="+mn-lt"/>
                    <a:ea typeface="Arial"/>
                    <a:cs typeface="Aria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Arkusz1!$A$2:$A$4</c:f>
              <c:numCache>
                <c:formatCode>General</c:formatCode>
                <c:ptCount val="3"/>
                <c:pt idx="0">
                  <c:v>2014</c:v>
                </c:pt>
                <c:pt idx="1">
                  <c:v>2013</c:v>
                </c:pt>
                <c:pt idx="2">
                  <c:v>2012</c:v>
                </c:pt>
              </c:numCache>
            </c:numRef>
          </c:cat>
          <c:val>
            <c:numRef>
              <c:f>Arkusz1!$C$2:$C$4</c:f>
              <c:numCache>
                <c:formatCode>0</c:formatCode>
                <c:ptCount val="3"/>
                <c:pt idx="0">
                  <c:v>33.4</c:v>
                </c:pt>
                <c:pt idx="1">
                  <c:v>32.705080022666799</c:v>
                </c:pt>
                <c:pt idx="2">
                  <c:v>26</c:v>
                </c:pt>
              </c:numCache>
            </c:numRef>
          </c:val>
        </c:ser>
        <c:ser>
          <c:idx val="1"/>
          <c:order val="2"/>
          <c:tx>
            <c:strRef>
              <c:f>Arkusz1!$D$1</c:f>
              <c:strCache>
                <c:ptCount val="1"/>
                <c:pt idx="0">
                  <c:v>tak, ale w dalszej przyszłości </c:v>
                </c:pt>
              </c:strCache>
            </c:strRef>
          </c:tx>
          <c:spPr>
            <a:solidFill>
              <a:srgbClr val="79D738"/>
            </a:solidFill>
            <a:ln w="25519">
              <a:noFill/>
            </a:ln>
          </c:spPr>
          <c:invertIfNegative val="0"/>
          <c:dLbls>
            <c:numFmt formatCode="#,##0" sourceLinked="0"/>
            <c:spPr>
              <a:noFill/>
              <a:ln w="25519">
                <a:noFill/>
              </a:ln>
            </c:spPr>
            <c:txPr>
              <a:bodyPr/>
              <a:lstStyle/>
              <a:p>
                <a:pPr>
                  <a:defRPr sz="1200" b="1" i="0" u="none" strike="noStrike" baseline="0">
                    <a:solidFill>
                      <a:srgbClr val="FFFFFF"/>
                    </a:solidFill>
                    <a:latin typeface="+mn-lt"/>
                    <a:ea typeface="Arial"/>
                    <a:cs typeface="Aria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Arkusz1!$A$2:$A$4</c:f>
              <c:numCache>
                <c:formatCode>General</c:formatCode>
                <c:ptCount val="3"/>
                <c:pt idx="0">
                  <c:v>2014</c:v>
                </c:pt>
                <c:pt idx="1">
                  <c:v>2013</c:v>
                </c:pt>
                <c:pt idx="2">
                  <c:v>2012</c:v>
                </c:pt>
              </c:numCache>
            </c:numRef>
          </c:cat>
          <c:val>
            <c:numRef>
              <c:f>Arkusz1!$D$2:$D$4</c:f>
              <c:numCache>
                <c:formatCode>0</c:formatCode>
                <c:ptCount val="3"/>
                <c:pt idx="0">
                  <c:v>8.6</c:v>
                </c:pt>
                <c:pt idx="1">
                  <c:v>8.8213562846088394</c:v>
                </c:pt>
                <c:pt idx="2">
                  <c:v>9.5</c:v>
                </c:pt>
              </c:numCache>
            </c:numRef>
          </c:val>
        </c:ser>
        <c:ser>
          <c:idx val="2"/>
          <c:order val="3"/>
          <c:tx>
            <c:strRef>
              <c:f>Arkusz1!$E$1</c:f>
              <c:strCache>
                <c:ptCount val="1"/>
                <c:pt idx="0">
                  <c:v>nie</c:v>
                </c:pt>
              </c:strCache>
            </c:strRef>
          </c:tx>
          <c:spPr>
            <a:solidFill>
              <a:srgbClr val="C50017"/>
            </a:solidFill>
          </c:spPr>
          <c:invertIfNegative val="0"/>
          <c:dLbls>
            <c:spPr>
              <a:noFill/>
              <a:ln w="25392">
                <a:noFill/>
              </a:ln>
            </c:spPr>
            <c:txPr>
              <a:bodyPr/>
              <a:lstStyle/>
              <a:p>
                <a:pPr>
                  <a:defRPr sz="1200">
                    <a:solidFill>
                      <a:schemeClr val="bg1"/>
                    </a:solidFill>
                    <a:latin typeface="+mn-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Arkusz1!$A$2:$A$4</c:f>
              <c:numCache>
                <c:formatCode>General</c:formatCode>
                <c:ptCount val="3"/>
                <c:pt idx="0">
                  <c:v>2014</c:v>
                </c:pt>
                <c:pt idx="1">
                  <c:v>2013</c:v>
                </c:pt>
                <c:pt idx="2">
                  <c:v>2012</c:v>
                </c:pt>
              </c:numCache>
            </c:numRef>
          </c:cat>
          <c:val>
            <c:numRef>
              <c:f>Arkusz1!$E$2:$E$4</c:f>
              <c:numCache>
                <c:formatCode>0</c:formatCode>
                <c:ptCount val="3"/>
                <c:pt idx="0">
                  <c:v>9.1</c:v>
                </c:pt>
                <c:pt idx="1">
                  <c:v>4.6568008402989696</c:v>
                </c:pt>
                <c:pt idx="2">
                  <c:v>7.4</c:v>
                </c:pt>
              </c:numCache>
            </c:numRef>
          </c:val>
        </c:ser>
        <c:ser>
          <c:idx val="3"/>
          <c:order val="4"/>
          <c:tx>
            <c:strRef>
              <c:f>Arkusz1!$F$1</c:f>
              <c:strCache>
                <c:ptCount val="1"/>
                <c:pt idx="0">
                  <c:v>trudno powiedzieć </c:v>
                </c:pt>
              </c:strCache>
            </c:strRef>
          </c:tx>
          <c:spPr>
            <a:solidFill>
              <a:sysClr val="window" lastClr="FFFFFF">
                <a:lumMod val="50000"/>
              </a:sysClr>
            </a:solidFill>
          </c:spPr>
          <c:invertIfNegative val="0"/>
          <c:dLbls>
            <c:spPr>
              <a:noFill/>
              <a:ln w="25392">
                <a:noFill/>
              </a:ln>
            </c:spPr>
            <c:txPr>
              <a:bodyPr/>
              <a:lstStyle/>
              <a:p>
                <a:pPr>
                  <a:defRPr sz="1200">
                    <a:solidFill>
                      <a:schemeClr val="bg1"/>
                    </a:solidFill>
                    <a:latin typeface="+mn-lt"/>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Arkusz1!$A$2:$A$4</c:f>
              <c:numCache>
                <c:formatCode>General</c:formatCode>
                <c:ptCount val="3"/>
                <c:pt idx="0">
                  <c:v>2014</c:v>
                </c:pt>
                <c:pt idx="1">
                  <c:v>2013</c:v>
                </c:pt>
                <c:pt idx="2">
                  <c:v>2012</c:v>
                </c:pt>
              </c:numCache>
            </c:numRef>
          </c:cat>
          <c:val>
            <c:numRef>
              <c:f>Arkusz1!$F$2:$F$4</c:f>
              <c:numCache>
                <c:formatCode>0</c:formatCode>
                <c:ptCount val="3"/>
                <c:pt idx="0">
                  <c:v>16.7</c:v>
                </c:pt>
                <c:pt idx="1">
                  <c:v>10.7076430562539</c:v>
                </c:pt>
                <c:pt idx="2">
                  <c:v>15.3</c:v>
                </c:pt>
              </c:numCache>
            </c:numRef>
          </c:val>
        </c:ser>
        <c:dLbls>
          <c:showLegendKey val="0"/>
          <c:showVal val="1"/>
          <c:showCatName val="0"/>
          <c:showSerName val="0"/>
          <c:showPercent val="0"/>
          <c:showBubbleSize val="0"/>
        </c:dLbls>
        <c:gapWidth val="41"/>
        <c:overlap val="100"/>
        <c:axId val="274415344"/>
        <c:axId val="274415736"/>
      </c:barChart>
      <c:catAx>
        <c:axId val="274415344"/>
        <c:scaling>
          <c:orientation val="maxMin"/>
        </c:scaling>
        <c:delete val="0"/>
        <c:axPos val="l"/>
        <c:numFmt formatCode="General" sourceLinked="1"/>
        <c:majorTickMark val="none"/>
        <c:minorTickMark val="none"/>
        <c:tickLblPos val="nextTo"/>
        <c:spPr>
          <a:ln w="9569">
            <a:noFill/>
          </a:ln>
        </c:spPr>
        <c:txPr>
          <a:bodyPr rot="0" vert="horz"/>
          <a:lstStyle/>
          <a:p>
            <a:pPr>
              <a:defRPr sz="1000" b="0" i="0" u="none" strike="noStrike" baseline="0">
                <a:solidFill>
                  <a:srgbClr val="333333"/>
                </a:solidFill>
                <a:latin typeface="+mn-lt"/>
                <a:ea typeface="Arial"/>
                <a:cs typeface="Arial"/>
              </a:defRPr>
            </a:pPr>
            <a:endParaRPr lang="pl-PL"/>
          </a:p>
        </c:txPr>
        <c:crossAx val="274415736"/>
        <c:crosses val="autoZero"/>
        <c:auto val="1"/>
        <c:lblAlgn val="ctr"/>
        <c:lblOffset val="100"/>
        <c:tickLblSkip val="1"/>
        <c:tickMarkSkip val="1"/>
        <c:noMultiLvlLbl val="0"/>
      </c:catAx>
      <c:valAx>
        <c:axId val="274415736"/>
        <c:scaling>
          <c:orientation val="minMax"/>
        </c:scaling>
        <c:delete val="0"/>
        <c:axPos val="t"/>
        <c:numFmt formatCode="0%" sourceLinked="1"/>
        <c:majorTickMark val="none"/>
        <c:minorTickMark val="none"/>
        <c:tickLblPos val="none"/>
        <c:spPr>
          <a:ln w="9569">
            <a:noFill/>
          </a:ln>
        </c:spPr>
        <c:crossAx val="274415344"/>
        <c:crosses val="autoZero"/>
        <c:crossBetween val="between"/>
      </c:valAx>
      <c:spPr>
        <a:noFill/>
        <a:ln w="25392">
          <a:noFill/>
        </a:ln>
      </c:spPr>
    </c:plotArea>
    <c:legend>
      <c:legendPos val="r"/>
      <c:layout>
        <c:manualLayout>
          <c:xMode val="edge"/>
          <c:yMode val="edge"/>
          <c:x val="0"/>
          <c:y val="0.63524590163934425"/>
          <c:w val="0.99778761061946908"/>
          <c:h val="0.22131147540983606"/>
        </c:manualLayout>
      </c:layout>
      <c:overlay val="0"/>
      <c:spPr>
        <a:noFill/>
        <a:ln w="25519">
          <a:noFill/>
        </a:ln>
      </c:spPr>
      <c:txPr>
        <a:bodyPr/>
        <a:lstStyle/>
        <a:p>
          <a:pPr>
            <a:defRPr sz="1000" b="0" i="0" u="none" strike="noStrike" baseline="0">
              <a:solidFill>
                <a:srgbClr val="333333"/>
              </a:solidFill>
              <a:latin typeface="+mn-lt"/>
              <a:ea typeface="Arial"/>
              <a:cs typeface="Arial"/>
            </a:defRPr>
          </a:pPr>
          <a:endParaRPr lang="pl-PL"/>
        </a:p>
      </c:txPr>
    </c:legend>
    <c:plotVisOnly val="1"/>
    <c:dispBlanksAs val="gap"/>
    <c:showDLblsOverMax val="0"/>
  </c:chart>
  <c:spPr>
    <a:noFill/>
    <a:ln>
      <a:noFill/>
    </a:ln>
  </c:spPr>
  <c:txPr>
    <a:bodyPr/>
    <a:lstStyle/>
    <a:p>
      <a:pPr>
        <a:defRPr sz="1808" b="1" i="0" u="none" strike="noStrike" baseline="0">
          <a:solidFill>
            <a:schemeClr val="tx1"/>
          </a:solidFill>
          <a:latin typeface="Arial"/>
          <a:ea typeface="Arial"/>
          <a:cs typeface="Arial"/>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381868423849504E-2"/>
          <c:y val="0.2076603599446239"/>
          <c:w val="0.95323626315230103"/>
          <c:h val="0.74157821873557905"/>
        </c:manualLayout>
      </c:layout>
      <c:barChart>
        <c:barDir val="bar"/>
        <c:grouping val="percentStacked"/>
        <c:varyColors val="1"/>
        <c:ser>
          <c:idx val="0"/>
          <c:order val="0"/>
          <c:tx>
            <c:strRef>
              <c:f>Arkusz8!$G$60</c:f>
              <c:strCache>
                <c:ptCount val="1"/>
                <c:pt idx="0">
                  <c:v>kl. poniżej II</c:v>
                </c:pt>
              </c:strCache>
            </c:strRef>
          </c:tx>
          <c:spPr>
            <a:solidFill>
              <a:srgbClr val="FF0000"/>
            </a:solidFill>
          </c:spPr>
          <c:invertIfNegative val="1"/>
          <c:cat>
            <c:strRef>
              <c:f>Arkusz8!$F$61:$F$65</c:f>
              <c:strCache>
                <c:ptCount val="5"/>
                <c:pt idx="0">
                  <c:v>Ogólny węgiel organiczny (mgC/l)</c:v>
                </c:pt>
                <c:pt idx="1">
                  <c:v>Fosfor ogólny (mgP/l)</c:v>
                </c:pt>
                <c:pt idx="2">
                  <c:v>Azot Kjeldahla (mgN/l)</c:v>
                </c:pt>
                <c:pt idx="3">
                  <c:v>ChZT-Cr (mgO2/l)</c:v>
                </c:pt>
                <c:pt idx="4">
                  <c:v>Fosforany (mgPO4/l)</c:v>
                </c:pt>
              </c:strCache>
            </c:strRef>
          </c:cat>
          <c:val>
            <c:numRef>
              <c:f>Arkusz8!$G$61:$G$65</c:f>
              <c:numCache>
                <c:formatCode>0</c:formatCode>
                <c:ptCount val="5"/>
                <c:pt idx="0">
                  <c:v>7.5757575757575761</c:v>
                </c:pt>
                <c:pt idx="1">
                  <c:v>9.1428571428571423</c:v>
                </c:pt>
                <c:pt idx="2">
                  <c:v>11.087645195353749</c:v>
                </c:pt>
                <c:pt idx="3">
                  <c:v>22.194513715710723</c:v>
                </c:pt>
                <c:pt idx="4">
                  <c:v>23.804573804573806</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1"/>
          <c:order val="1"/>
          <c:tx>
            <c:strRef>
              <c:f>Arkusz8!$H$60</c:f>
              <c:strCache>
                <c:ptCount val="1"/>
                <c:pt idx="0">
                  <c:v>klasa I lub II</c:v>
                </c:pt>
              </c:strCache>
            </c:strRef>
          </c:tx>
          <c:spPr>
            <a:solidFill>
              <a:srgbClr val="0070C0"/>
            </a:solidFill>
          </c:spPr>
          <c:invertIfNegative val="1"/>
          <c:cat>
            <c:strRef>
              <c:f>Arkusz8!$F$61:$F$65</c:f>
              <c:strCache>
                <c:ptCount val="5"/>
                <c:pt idx="0">
                  <c:v>Ogólny węgiel organiczny (mgC/l)</c:v>
                </c:pt>
                <c:pt idx="1">
                  <c:v>Fosfor ogólny (mgP/l)</c:v>
                </c:pt>
                <c:pt idx="2">
                  <c:v>Azot Kjeldahla (mgN/l)</c:v>
                </c:pt>
                <c:pt idx="3">
                  <c:v>ChZT-Cr (mgO2/l)</c:v>
                </c:pt>
                <c:pt idx="4">
                  <c:v>Fosforany (mgPO4/l)</c:v>
                </c:pt>
              </c:strCache>
            </c:strRef>
          </c:cat>
          <c:val>
            <c:numRef>
              <c:f>Arkusz8!$H$61:$H$65</c:f>
              <c:numCache>
                <c:formatCode>0</c:formatCode>
                <c:ptCount val="5"/>
                <c:pt idx="0">
                  <c:v>92.424242424242422</c:v>
                </c:pt>
                <c:pt idx="1">
                  <c:v>90.857142857142861</c:v>
                </c:pt>
                <c:pt idx="2">
                  <c:v>88.912354804646256</c:v>
                </c:pt>
                <c:pt idx="3">
                  <c:v>77.805486284289273</c:v>
                </c:pt>
                <c:pt idx="4">
                  <c:v>76.195426195426194</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overlap val="100"/>
        <c:axId val="146722032"/>
        <c:axId val="147521064"/>
      </c:barChart>
      <c:catAx>
        <c:axId val="146722032"/>
        <c:scaling>
          <c:orientation val="minMax"/>
        </c:scaling>
        <c:delete val="1"/>
        <c:axPos val="l"/>
        <c:numFmt formatCode="General" sourceLinked="0"/>
        <c:majorTickMark val="cross"/>
        <c:minorTickMark val="cross"/>
        <c:tickLblPos val="nextTo"/>
        <c:crossAx val="147521064"/>
        <c:crosses val="autoZero"/>
        <c:auto val="1"/>
        <c:lblAlgn val="ctr"/>
        <c:lblOffset val="100"/>
        <c:noMultiLvlLbl val="1"/>
      </c:catAx>
      <c:valAx>
        <c:axId val="147521064"/>
        <c:scaling>
          <c:orientation val="minMax"/>
        </c:scaling>
        <c:delete val="1"/>
        <c:axPos val="b"/>
        <c:majorGridlines/>
        <c:numFmt formatCode="0%" sourceLinked="1"/>
        <c:majorTickMark val="cross"/>
        <c:minorTickMark val="cross"/>
        <c:tickLblPos val="nextTo"/>
        <c:crossAx val="146722032"/>
        <c:crosses val="autoZero"/>
        <c:crossBetween val="between"/>
      </c:valAx>
    </c:plotArea>
    <c:legend>
      <c:legendPos val="r"/>
      <c:layout>
        <c:manualLayout>
          <c:xMode val="edge"/>
          <c:yMode val="edge"/>
          <c:x val="0.423352384580021"/>
          <c:y val="4.4454839184705644E-3"/>
          <c:w val="0.13881090565189588"/>
          <c:h val="0.1989514145594321"/>
        </c:manualLayout>
      </c:layout>
      <c:overlay val="1"/>
    </c:legend>
    <c:plotVisOnly val="1"/>
    <c:dispBlanksAs val="zero"/>
    <c:showDLblsOverMax val="1"/>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0036064194266"/>
          <c:y val="8.9441765903018167E-2"/>
          <c:w val="0.83161667768628311"/>
          <c:h val="0.69725545443356296"/>
        </c:manualLayout>
      </c:layout>
      <c:barChart>
        <c:barDir val="col"/>
        <c:grouping val="clustered"/>
        <c:varyColors val="0"/>
        <c:ser>
          <c:idx val="0"/>
          <c:order val="0"/>
          <c:tx>
            <c:strRef>
              <c:f>Arkusz1!$B$1</c:f>
              <c:strCache>
                <c:ptCount val="1"/>
                <c:pt idx="0">
                  <c:v>2009</c:v>
                </c:pt>
              </c:strCache>
            </c:strRef>
          </c:tx>
          <c:spPr>
            <a:solidFill>
              <a:schemeClr val="accent1"/>
            </a:solidFill>
            <a:ln>
              <a:noFill/>
            </a:ln>
            <a:effectLst/>
          </c:spPr>
          <c:invertIfNegative val="0"/>
          <c:cat>
            <c:strRef>
              <c:f>Arkusz1!$A$2:$A$7</c:f>
              <c:strCache>
                <c:ptCount val="6"/>
                <c:pt idx="0">
                  <c:v>Hg [mg/kg]</c:v>
                </c:pt>
                <c:pt idx="1">
                  <c:v>Cd [mg/kg]</c:v>
                </c:pt>
                <c:pt idx="2">
                  <c:v>Ni [mg/kg]</c:v>
                </c:pt>
                <c:pt idx="3">
                  <c:v>Pb [mg/kg]</c:v>
                </c:pt>
                <c:pt idx="4">
                  <c:v>WWA [mg/kg]</c:v>
                </c:pt>
                <c:pt idx="5">
                  <c:v>PCB [µg/kg]</c:v>
                </c:pt>
              </c:strCache>
            </c:strRef>
          </c:cat>
          <c:val>
            <c:numRef>
              <c:f>Arkusz1!$B$2:$B$7</c:f>
              <c:numCache>
                <c:formatCode>0.00</c:formatCode>
                <c:ptCount val="6"/>
                <c:pt idx="0">
                  <c:v>0.15119047619047662</c:v>
                </c:pt>
                <c:pt idx="1">
                  <c:v>0.79516190476190307</c:v>
                </c:pt>
                <c:pt idx="2">
                  <c:v>8.3113809523809525</c:v>
                </c:pt>
                <c:pt idx="3">
                  <c:v>40.706380952380961</c:v>
                </c:pt>
                <c:pt idx="4">
                  <c:v>1.5548095238095241</c:v>
                </c:pt>
                <c:pt idx="5">
                  <c:v>1.3404761904761908</c:v>
                </c:pt>
              </c:numCache>
            </c:numRef>
          </c:val>
          <c:extLst xmlns:c16r2="http://schemas.microsoft.com/office/drawing/2015/06/chart">
            <c:ext xmlns:c16="http://schemas.microsoft.com/office/drawing/2014/chart" uri="{C3380CC4-5D6E-409C-BE32-E72D297353CC}">
              <c16:uniqueId val="{00000000-9511-4B9B-9E4A-64EBD675128A}"/>
            </c:ext>
          </c:extLst>
        </c:ser>
        <c:ser>
          <c:idx val="1"/>
          <c:order val="1"/>
          <c:tx>
            <c:strRef>
              <c:f>Arkusz1!$C$1</c:f>
              <c:strCache>
                <c:ptCount val="1"/>
                <c:pt idx="0">
                  <c:v>2011</c:v>
                </c:pt>
              </c:strCache>
            </c:strRef>
          </c:tx>
          <c:spPr>
            <a:solidFill>
              <a:schemeClr val="accent2"/>
            </a:solidFill>
            <a:ln>
              <a:noFill/>
            </a:ln>
            <a:effectLst/>
          </c:spPr>
          <c:invertIfNegative val="0"/>
          <c:cat>
            <c:strRef>
              <c:f>Arkusz1!$A$2:$A$7</c:f>
              <c:strCache>
                <c:ptCount val="6"/>
                <c:pt idx="0">
                  <c:v>Hg [mg/kg]</c:v>
                </c:pt>
                <c:pt idx="1">
                  <c:v>Cd [mg/kg]</c:v>
                </c:pt>
                <c:pt idx="2">
                  <c:v>Ni [mg/kg]</c:v>
                </c:pt>
                <c:pt idx="3">
                  <c:v>Pb [mg/kg]</c:v>
                </c:pt>
                <c:pt idx="4">
                  <c:v>WWA [mg/kg]</c:v>
                </c:pt>
                <c:pt idx="5">
                  <c:v>PCB [µg/kg]</c:v>
                </c:pt>
              </c:strCache>
            </c:strRef>
          </c:cat>
          <c:val>
            <c:numRef>
              <c:f>Arkusz1!$C$2:$C$7</c:f>
              <c:numCache>
                <c:formatCode>0.00</c:formatCode>
                <c:ptCount val="6"/>
                <c:pt idx="0">
                  <c:v>0.11692857142857171</c:v>
                </c:pt>
                <c:pt idx="1">
                  <c:v>0.73318928571428554</c:v>
                </c:pt>
                <c:pt idx="2">
                  <c:v>8.2517857142857167</c:v>
                </c:pt>
                <c:pt idx="3">
                  <c:v>38.52692857142857</c:v>
                </c:pt>
                <c:pt idx="4">
                  <c:v>1.7328571428571442</c:v>
                </c:pt>
                <c:pt idx="5">
                  <c:v>2.2517857142857141</c:v>
                </c:pt>
              </c:numCache>
            </c:numRef>
          </c:val>
          <c:extLst xmlns:c16r2="http://schemas.microsoft.com/office/drawing/2015/06/chart">
            <c:ext xmlns:c16="http://schemas.microsoft.com/office/drawing/2014/chart" uri="{C3380CC4-5D6E-409C-BE32-E72D297353CC}">
              <c16:uniqueId val="{00000001-9511-4B9B-9E4A-64EBD675128A}"/>
            </c:ext>
          </c:extLst>
        </c:ser>
        <c:ser>
          <c:idx val="2"/>
          <c:order val="2"/>
          <c:tx>
            <c:strRef>
              <c:f>Arkusz1!$D$1</c:f>
              <c:strCache>
                <c:ptCount val="1"/>
                <c:pt idx="0">
                  <c:v>2013</c:v>
                </c:pt>
              </c:strCache>
            </c:strRef>
          </c:tx>
          <c:spPr>
            <a:solidFill>
              <a:schemeClr val="accent3"/>
            </a:solidFill>
            <a:ln>
              <a:noFill/>
            </a:ln>
            <a:effectLst/>
          </c:spPr>
          <c:invertIfNegative val="0"/>
          <c:cat>
            <c:strRef>
              <c:f>Arkusz1!$A$2:$A$7</c:f>
              <c:strCache>
                <c:ptCount val="6"/>
                <c:pt idx="0">
                  <c:v>Hg [mg/kg]</c:v>
                </c:pt>
                <c:pt idx="1">
                  <c:v>Cd [mg/kg]</c:v>
                </c:pt>
                <c:pt idx="2">
                  <c:v>Ni [mg/kg]</c:v>
                </c:pt>
                <c:pt idx="3">
                  <c:v>Pb [mg/kg]</c:v>
                </c:pt>
                <c:pt idx="4">
                  <c:v>WWA [mg/kg]</c:v>
                </c:pt>
                <c:pt idx="5">
                  <c:v>PCB [µg/kg]</c:v>
                </c:pt>
              </c:strCache>
            </c:strRef>
          </c:cat>
          <c:val>
            <c:numRef>
              <c:f>Arkusz1!$D$2:$D$7</c:f>
              <c:numCache>
                <c:formatCode>0.00</c:formatCode>
                <c:ptCount val="6"/>
                <c:pt idx="0">
                  <c:v>0.102938181818182</c:v>
                </c:pt>
                <c:pt idx="1">
                  <c:v>1.055677272727273</c:v>
                </c:pt>
                <c:pt idx="2">
                  <c:v>9.3527727272727272</c:v>
                </c:pt>
                <c:pt idx="3">
                  <c:v>51.218318181818212</c:v>
                </c:pt>
                <c:pt idx="4">
                  <c:v>1.9620909090909116</c:v>
                </c:pt>
                <c:pt idx="5">
                  <c:v>3.1840909090909095</c:v>
                </c:pt>
              </c:numCache>
            </c:numRef>
          </c:val>
          <c:extLst xmlns:c16r2="http://schemas.microsoft.com/office/drawing/2015/06/chart">
            <c:ext xmlns:c16="http://schemas.microsoft.com/office/drawing/2014/chart" uri="{C3380CC4-5D6E-409C-BE32-E72D297353CC}">
              <c16:uniqueId val="{00000002-9511-4B9B-9E4A-64EBD675128A}"/>
            </c:ext>
          </c:extLst>
        </c:ser>
        <c:ser>
          <c:idx val="3"/>
          <c:order val="3"/>
          <c:tx>
            <c:strRef>
              <c:f>Arkusz1!$E$1</c:f>
              <c:strCache>
                <c:ptCount val="1"/>
                <c:pt idx="0">
                  <c:v>2015</c:v>
                </c:pt>
              </c:strCache>
            </c:strRef>
          </c:tx>
          <c:spPr>
            <a:solidFill>
              <a:schemeClr val="accent4"/>
            </a:solidFill>
            <a:ln>
              <a:noFill/>
            </a:ln>
            <a:effectLst/>
          </c:spPr>
          <c:invertIfNegative val="0"/>
          <c:cat>
            <c:strRef>
              <c:f>Arkusz1!$A$2:$A$7</c:f>
              <c:strCache>
                <c:ptCount val="6"/>
                <c:pt idx="0">
                  <c:v>Hg [mg/kg]</c:v>
                </c:pt>
                <c:pt idx="1">
                  <c:v>Cd [mg/kg]</c:v>
                </c:pt>
                <c:pt idx="2">
                  <c:v>Ni [mg/kg]</c:v>
                </c:pt>
                <c:pt idx="3">
                  <c:v>Pb [mg/kg]</c:v>
                </c:pt>
                <c:pt idx="4">
                  <c:v>WWA [mg/kg]</c:v>
                </c:pt>
                <c:pt idx="5">
                  <c:v>PCB [µg/kg]</c:v>
                </c:pt>
              </c:strCache>
            </c:strRef>
          </c:cat>
          <c:val>
            <c:numRef>
              <c:f>Arkusz1!$E$2:$E$7</c:f>
              <c:numCache>
                <c:formatCode>0.00</c:formatCode>
                <c:ptCount val="6"/>
                <c:pt idx="0">
                  <c:v>0.12853181818181819</c:v>
                </c:pt>
                <c:pt idx="1">
                  <c:v>1.0552318181818179</c:v>
                </c:pt>
                <c:pt idx="2">
                  <c:v>8.3113809523809525</c:v>
                </c:pt>
                <c:pt idx="3">
                  <c:v>57.315909090909081</c:v>
                </c:pt>
                <c:pt idx="4">
                  <c:v>2.2015000000000002</c:v>
                </c:pt>
                <c:pt idx="5">
                  <c:v>2.6340909090909088</c:v>
                </c:pt>
              </c:numCache>
            </c:numRef>
          </c:val>
          <c:extLst xmlns:c16r2="http://schemas.microsoft.com/office/drawing/2015/06/chart">
            <c:ext xmlns:c16="http://schemas.microsoft.com/office/drawing/2014/chart" uri="{C3380CC4-5D6E-409C-BE32-E72D297353CC}">
              <c16:uniqueId val="{00000003-9511-4B9B-9E4A-64EBD675128A}"/>
            </c:ext>
          </c:extLst>
        </c:ser>
        <c:dLbls>
          <c:showLegendKey val="0"/>
          <c:showVal val="0"/>
          <c:showCatName val="0"/>
          <c:showSerName val="0"/>
          <c:showPercent val="0"/>
          <c:showBubbleSize val="0"/>
        </c:dLbls>
        <c:gapWidth val="219"/>
        <c:overlap val="-27"/>
        <c:axId val="145661928"/>
        <c:axId val="145662320"/>
      </c:barChart>
      <c:catAx>
        <c:axId val="145661928"/>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662320"/>
        <c:crossesAt val="1.0000000000000014E-2"/>
        <c:auto val="1"/>
        <c:lblAlgn val="ctr"/>
        <c:lblOffset val="100"/>
        <c:noMultiLvlLbl val="0"/>
      </c:catAx>
      <c:valAx>
        <c:axId val="145662320"/>
        <c:scaling>
          <c:logBase val="10"/>
          <c:orientation val="minMax"/>
        </c:scaling>
        <c:delete val="0"/>
        <c:axPos val="l"/>
        <c:majorGridlines>
          <c:spPr>
            <a:ln>
              <a:solidFill>
                <a:schemeClr val="tx1"/>
              </a:solidFill>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b="0">
                    <a:solidFill>
                      <a:sysClr val="windowText" lastClr="000000"/>
                    </a:solidFill>
                  </a:rPr>
                  <a:t>Wartości stężeń ([mg/kg]</a:t>
                </a:r>
                <a:r>
                  <a:rPr lang="pl-PL" b="0" baseline="0">
                    <a:solidFill>
                      <a:sysClr val="windowText" lastClr="000000"/>
                    </a:solidFill>
                  </a:rPr>
                  <a:t> lub [µg/kg]) </a:t>
                </a:r>
                <a:endParaRPr lang="pl-PL" b="0">
                  <a:solidFill>
                    <a:sysClr val="windowText" lastClr="000000"/>
                  </a:solidFill>
                </a:endParaRPr>
              </a:p>
            </c:rich>
          </c:tx>
          <c:layout>
            <c:manualLayout>
              <c:xMode val="edge"/>
              <c:yMode val="edge"/>
              <c:x val="2.4923563943819997E-2"/>
              <c:y val="0.15787229018518054"/>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661928"/>
        <c:crosses val="autoZero"/>
        <c:crossBetween val="between"/>
      </c:valAx>
      <c:spPr>
        <a:noFill/>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WYKRES_RAP_WSKAZNIKOWY!$B$1</c:f>
              <c:strCache>
                <c:ptCount val="1"/>
                <c:pt idx="0">
                  <c:v>2009</c:v>
                </c:pt>
              </c:strCache>
            </c:strRef>
          </c:tx>
          <c:spPr>
            <a:solidFill>
              <a:schemeClr val="accent1"/>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WYKRES_RAP_WSKAZNIKOWY!$B$2:$B$7</c:f>
              <c:numCache>
                <c:formatCode>General</c:formatCode>
                <c:ptCount val="6"/>
                <c:pt idx="0">
                  <c:v>0.75946626506023929</c:v>
                </c:pt>
                <c:pt idx="1">
                  <c:v>0.12157831325301202</c:v>
                </c:pt>
                <c:pt idx="2">
                  <c:v>10.24943373493976</c:v>
                </c:pt>
                <c:pt idx="3">
                  <c:v>49.743518072289163</c:v>
                </c:pt>
                <c:pt idx="4">
                  <c:v>0.69573493975903611</c:v>
                </c:pt>
                <c:pt idx="5">
                  <c:v>2.3358641975308543</c:v>
                </c:pt>
              </c:numCache>
            </c:numRef>
          </c:val>
          <c:extLst xmlns:c16r2="http://schemas.microsoft.com/office/drawing/2015/06/chart">
            <c:ext xmlns:c16="http://schemas.microsoft.com/office/drawing/2014/chart" uri="{C3380CC4-5D6E-409C-BE32-E72D297353CC}">
              <c16:uniqueId val="{00000000-759C-4E98-9929-EFB82929B3CD}"/>
            </c:ext>
          </c:extLst>
        </c:ser>
        <c:ser>
          <c:idx val="1"/>
          <c:order val="1"/>
          <c:tx>
            <c:strRef>
              <c:f>WYKRES_RAP_WSKAZNIKOWY!$C$1</c:f>
              <c:strCache>
                <c:ptCount val="1"/>
                <c:pt idx="0">
                  <c:v>2010</c:v>
                </c:pt>
              </c:strCache>
            </c:strRef>
          </c:tx>
          <c:spPr>
            <a:solidFill>
              <a:schemeClr val="accent2"/>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WYKRES_RAP_WSKAZNIKOWY!$C$2:$C$7</c:f>
              <c:numCache>
                <c:formatCode>General</c:formatCode>
                <c:ptCount val="6"/>
                <c:pt idx="0">
                  <c:v>1.0503337349397601</c:v>
                </c:pt>
                <c:pt idx="1">
                  <c:v>8.0876626506024202E-2</c:v>
                </c:pt>
                <c:pt idx="2">
                  <c:v>8.3163373493975907</c:v>
                </c:pt>
                <c:pt idx="3">
                  <c:v>30.823373493975886</c:v>
                </c:pt>
                <c:pt idx="4">
                  <c:v>0.85061445783132561</c:v>
                </c:pt>
                <c:pt idx="5">
                  <c:v>1.4813253012048178</c:v>
                </c:pt>
              </c:numCache>
            </c:numRef>
          </c:val>
          <c:extLst xmlns:c16r2="http://schemas.microsoft.com/office/drawing/2015/06/chart">
            <c:ext xmlns:c16="http://schemas.microsoft.com/office/drawing/2014/chart" uri="{C3380CC4-5D6E-409C-BE32-E72D297353CC}">
              <c16:uniqueId val="{00000001-759C-4E98-9929-EFB82929B3CD}"/>
            </c:ext>
          </c:extLst>
        </c:ser>
        <c:ser>
          <c:idx val="2"/>
          <c:order val="2"/>
          <c:tx>
            <c:strRef>
              <c:f>WYKRES_RAP_WSKAZNIKOWY!$D$1</c:f>
              <c:strCache>
                <c:ptCount val="1"/>
                <c:pt idx="0">
                  <c:v>2011</c:v>
                </c:pt>
              </c:strCache>
            </c:strRef>
          </c:tx>
          <c:spPr>
            <a:solidFill>
              <a:schemeClr val="accent3"/>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WYKRES_RAP_WSKAZNIKOWY!$D$2:$D$7</c:f>
              <c:numCache>
                <c:formatCode>General</c:formatCode>
                <c:ptCount val="6"/>
                <c:pt idx="0">
                  <c:v>0.68194819277108465</c:v>
                </c:pt>
                <c:pt idx="1">
                  <c:v>9.7722891566265263E-2</c:v>
                </c:pt>
                <c:pt idx="2">
                  <c:v>9.4973048780488067</c:v>
                </c:pt>
                <c:pt idx="3">
                  <c:v>24.03163855421689</c:v>
                </c:pt>
                <c:pt idx="4">
                  <c:v>0.55246385542168652</c:v>
                </c:pt>
                <c:pt idx="5">
                  <c:v>1.6777108433734926</c:v>
                </c:pt>
              </c:numCache>
            </c:numRef>
          </c:val>
          <c:extLst xmlns:c16r2="http://schemas.microsoft.com/office/drawing/2015/06/chart">
            <c:ext xmlns:c16="http://schemas.microsoft.com/office/drawing/2014/chart" uri="{C3380CC4-5D6E-409C-BE32-E72D297353CC}">
              <c16:uniqueId val="{00000002-759C-4E98-9929-EFB82929B3CD}"/>
            </c:ext>
          </c:extLst>
        </c:ser>
        <c:ser>
          <c:idx val="3"/>
          <c:order val="3"/>
          <c:tx>
            <c:strRef>
              <c:f>WYKRES_RAP_WSKAZNIKOWY!$E$1</c:f>
              <c:strCache>
                <c:ptCount val="1"/>
                <c:pt idx="0">
                  <c:v>2012</c:v>
                </c:pt>
              </c:strCache>
            </c:strRef>
          </c:tx>
          <c:spPr>
            <a:solidFill>
              <a:schemeClr val="accent4"/>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WYKRES_RAP_WSKAZNIKOWY!$E$2:$E$7</c:f>
              <c:numCache>
                <c:formatCode>General</c:formatCode>
                <c:ptCount val="6"/>
                <c:pt idx="0">
                  <c:v>0.67196987951807574</c:v>
                </c:pt>
                <c:pt idx="1">
                  <c:v>0.12006024096385577</c:v>
                </c:pt>
                <c:pt idx="2">
                  <c:v>8.2724337349397565</c:v>
                </c:pt>
                <c:pt idx="3">
                  <c:v>23.947578313253008</c:v>
                </c:pt>
                <c:pt idx="4">
                  <c:v>0.48968674698795323</c:v>
                </c:pt>
                <c:pt idx="5">
                  <c:v>1.8481927710843373</c:v>
                </c:pt>
              </c:numCache>
            </c:numRef>
          </c:val>
          <c:extLst xmlns:c16r2="http://schemas.microsoft.com/office/drawing/2015/06/chart">
            <c:ext xmlns:c16="http://schemas.microsoft.com/office/drawing/2014/chart" uri="{C3380CC4-5D6E-409C-BE32-E72D297353CC}">
              <c16:uniqueId val="{00000003-759C-4E98-9929-EFB82929B3CD}"/>
            </c:ext>
          </c:extLst>
        </c:ser>
        <c:ser>
          <c:idx val="4"/>
          <c:order val="4"/>
          <c:tx>
            <c:strRef>
              <c:f>WYKRES_RAP_WSKAZNIKOWY!$F$1</c:f>
              <c:strCache>
                <c:ptCount val="1"/>
                <c:pt idx="0">
                  <c:v>2013</c:v>
                </c:pt>
              </c:strCache>
            </c:strRef>
          </c:tx>
          <c:spPr>
            <a:solidFill>
              <a:schemeClr val="accent5"/>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WYKRES_RAP_WSKAZNIKOWY!$F$2:$F$7</c:f>
              <c:numCache>
                <c:formatCode>General</c:formatCode>
                <c:ptCount val="6"/>
                <c:pt idx="0">
                  <c:v>0.51701566265060261</c:v>
                </c:pt>
                <c:pt idx="1">
                  <c:v>5.8206144578313281E-2</c:v>
                </c:pt>
                <c:pt idx="2">
                  <c:v>6.5381325301204765</c:v>
                </c:pt>
                <c:pt idx="3">
                  <c:v>14.953734939759084</c:v>
                </c:pt>
                <c:pt idx="4">
                  <c:v>0.60264457831325435</c:v>
                </c:pt>
                <c:pt idx="5">
                  <c:v>2.0427710843373492</c:v>
                </c:pt>
              </c:numCache>
            </c:numRef>
          </c:val>
          <c:extLst xmlns:c16r2="http://schemas.microsoft.com/office/drawing/2015/06/chart">
            <c:ext xmlns:c16="http://schemas.microsoft.com/office/drawing/2014/chart" uri="{C3380CC4-5D6E-409C-BE32-E72D297353CC}">
              <c16:uniqueId val="{00000004-759C-4E98-9929-EFB82929B3CD}"/>
            </c:ext>
          </c:extLst>
        </c:ser>
        <c:ser>
          <c:idx val="5"/>
          <c:order val="5"/>
          <c:tx>
            <c:strRef>
              <c:f>WYKRES_RAP_WSKAZNIKOWY!$G$1</c:f>
              <c:strCache>
                <c:ptCount val="1"/>
                <c:pt idx="0">
                  <c:v>2014</c:v>
                </c:pt>
              </c:strCache>
            </c:strRef>
          </c:tx>
          <c:spPr>
            <a:solidFill>
              <a:schemeClr val="accent6"/>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WYKRES_RAP_WSKAZNIKOWY!$G$2:$G$7</c:f>
              <c:numCache>
                <c:formatCode>General</c:formatCode>
                <c:ptCount val="6"/>
                <c:pt idx="0">
                  <c:v>0.96551154725733457</c:v>
                </c:pt>
                <c:pt idx="1">
                  <c:v>9.9320481927710813E-2</c:v>
                </c:pt>
                <c:pt idx="2">
                  <c:v>7.7373773553111524</c:v>
                </c:pt>
                <c:pt idx="3">
                  <c:v>21.997889843985526</c:v>
                </c:pt>
                <c:pt idx="4">
                  <c:v>0.89589759036144567</c:v>
                </c:pt>
                <c:pt idx="5">
                  <c:v>0.93795180722891724</c:v>
                </c:pt>
              </c:numCache>
            </c:numRef>
          </c:val>
          <c:extLst xmlns:c16r2="http://schemas.microsoft.com/office/drawing/2015/06/chart">
            <c:ext xmlns:c16="http://schemas.microsoft.com/office/drawing/2014/chart" uri="{C3380CC4-5D6E-409C-BE32-E72D297353CC}">
              <c16:uniqueId val="{00000005-759C-4E98-9929-EFB82929B3CD}"/>
            </c:ext>
          </c:extLst>
        </c:ser>
        <c:ser>
          <c:idx val="6"/>
          <c:order val="6"/>
          <c:tx>
            <c:strRef>
              <c:f>WYKRES_RAP_WSKAZNIKOWY!$H$1</c:f>
              <c:strCache>
                <c:ptCount val="1"/>
                <c:pt idx="0">
                  <c:v>2015</c:v>
                </c:pt>
              </c:strCache>
            </c:strRef>
          </c:tx>
          <c:spPr>
            <a:solidFill>
              <a:schemeClr val="accent1">
                <a:lumMod val="60000"/>
              </a:schemeClr>
            </a:solidFill>
            <a:ln>
              <a:noFill/>
            </a:ln>
            <a:effectLst/>
          </c:spPr>
          <c:invertIfNegative val="0"/>
          <c:cat>
            <c:strRef>
              <c:f>WYKRES_RAP_WSKAZNIKOWY!$A$2:$A$7</c:f>
              <c:strCache>
                <c:ptCount val="6"/>
                <c:pt idx="0">
                  <c:v>Cd [mg/kg]</c:v>
                </c:pt>
                <c:pt idx="1">
                  <c:v>Hg [mg/kg]</c:v>
                </c:pt>
                <c:pt idx="2">
                  <c:v>Ni [mg/kg]</c:v>
                </c:pt>
                <c:pt idx="3">
                  <c:v>Pb [mg/kg]</c:v>
                </c:pt>
                <c:pt idx="4">
                  <c:v>WWA [mg/kg]</c:v>
                </c:pt>
                <c:pt idx="5">
                  <c:v>PCB [µg/kg]</c:v>
                </c:pt>
              </c:strCache>
            </c:strRef>
          </c:cat>
          <c:val>
            <c:numRef>
              <c:f>WYKRES_RAP_WSKAZNIKOWY!$H$2:$H$7</c:f>
              <c:numCache>
                <c:formatCode>General</c:formatCode>
                <c:ptCount val="6"/>
                <c:pt idx="0">
                  <c:v>0.68696265060240969</c:v>
                </c:pt>
                <c:pt idx="1">
                  <c:v>8.369518072289199E-2</c:v>
                </c:pt>
                <c:pt idx="2">
                  <c:v>7.4161807228915704</c:v>
                </c:pt>
                <c:pt idx="3">
                  <c:v>22.420289156626506</c:v>
                </c:pt>
                <c:pt idx="4">
                  <c:v>0.7237590361445827</c:v>
                </c:pt>
                <c:pt idx="5">
                  <c:v>0.98795180722891462</c:v>
                </c:pt>
              </c:numCache>
            </c:numRef>
          </c:val>
          <c:extLst xmlns:c16r2="http://schemas.microsoft.com/office/drawing/2015/06/chart">
            <c:ext xmlns:c16="http://schemas.microsoft.com/office/drawing/2014/chart" uri="{C3380CC4-5D6E-409C-BE32-E72D297353CC}">
              <c16:uniqueId val="{00000006-759C-4E98-9929-EFB82929B3CD}"/>
            </c:ext>
          </c:extLst>
        </c:ser>
        <c:dLbls>
          <c:showLegendKey val="0"/>
          <c:showVal val="0"/>
          <c:showCatName val="0"/>
          <c:showSerName val="0"/>
          <c:showPercent val="0"/>
          <c:showBubbleSize val="0"/>
        </c:dLbls>
        <c:gapWidth val="219"/>
        <c:overlap val="-27"/>
        <c:axId val="145663496"/>
        <c:axId val="145450432"/>
      </c:barChart>
      <c:catAx>
        <c:axId val="1456634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450432"/>
        <c:crossesAt val="1.0000000000000031E-3"/>
        <c:auto val="1"/>
        <c:lblAlgn val="ctr"/>
        <c:lblOffset val="100"/>
        <c:noMultiLvlLbl val="0"/>
      </c:catAx>
      <c:valAx>
        <c:axId val="145450432"/>
        <c:scaling>
          <c:logBase val="10"/>
          <c:orientation val="minMax"/>
          <c:max val="100"/>
          <c:min val="1.0000000000000031E-3"/>
        </c:scaling>
        <c:delete val="0"/>
        <c:axPos val="l"/>
        <c:majorGridlines>
          <c:spPr>
            <a:ln>
              <a:solidFill>
                <a:schemeClr val="tx1"/>
              </a:solidFill>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solidFill>
                      <a:sysClr val="windowText" lastClr="000000"/>
                    </a:solidFill>
                  </a:rPr>
                  <a:t>Wartości stężeń ([mg/kg] lub [µg/kg])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663496"/>
        <c:crosses val="autoZero"/>
        <c:crossBetween val="between"/>
        <c:majorUnit val="10"/>
        <c:minorUnit val="1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just">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Kolumna1</c:v>
                </c:pt>
              </c:strCache>
            </c:strRef>
          </c:tx>
          <c:dPt>
            <c:idx val="0"/>
            <c:bubble3D val="0"/>
            <c:spPr>
              <a:solidFill>
                <a:srgbClr val="FF3300"/>
              </a:solidFill>
            </c:spPr>
          </c:dPt>
          <c:dPt>
            <c:idx val="1"/>
            <c:bubble3D val="0"/>
            <c:spPr>
              <a:solidFill>
                <a:schemeClr val="accent3">
                  <a:lumMod val="75000"/>
                </a:schemeClr>
              </a:solidFill>
            </c:spPr>
          </c:dPt>
          <c:dLbls>
            <c:spPr>
              <a:noFill/>
              <a:ln>
                <a:noFill/>
              </a:ln>
              <a:effectLst/>
            </c:spPr>
            <c:txPr>
              <a:bodyPr/>
              <a:lstStyle/>
              <a:p>
                <a:pPr>
                  <a:defRPr sz="1200"/>
                </a:pPr>
                <a:endParaRPr lang="pl-PL"/>
              </a:p>
            </c:txPr>
            <c:showLegendKey val="0"/>
            <c:showVal val="1"/>
            <c:showCatName val="1"/>
            <c:showSerName val="0"/>
            <c:showPercent val="0"/>
            <c:showBubbleSize val="0"/>
            <c:showLeaderLines val="1"/>
            <c:extLst>
              <c:ext xmlns:c15="http://schemas.microsoft.com/office/drawing/2012/chart" uri="{CE6537A1-D6FC-4f65-9D91-7224C49458BB}"/>
            </c:extLst>
          </c:dLbls>
          <c:cat>
            <c:strRef>
              <c:f>Arkusz1!$A$2:$A$3</c:f>
              <c:strCache>
                <c:ptCount val="2"/>
                <c:pt idx="0">
                  <c:v>słaby</c:v>
                </c:pt>
                <c:pt idx="1">
                  <c:v>dobry</c:v>
                </c:pt>
              </c:strCache>
            </c:strRef>
          </c:cat>
          <c:val>
            <c:numRef>
              <c:f>Arkusz1!$B$2:$B$3</c:f>
              <c:numCache>
                <c:formatCode>General</c:formatCode>
                <c:ptCount val="2"/>
                <c:pt idx="0">
                  <c:v>14</c:v>
                </c:pt>
                <c:pt idx="1">
                  <c:v>158</c:v>
                </c:pt>
              </c:numCache>
            </c:numRef>
          </c:val>
        </c:ser>
        <c:dLbls>
          <c:showLegendKey val="0"/>
          <c:showVal val="1"/>
          <c:showCatName val="1"/>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Kolumna1</c:v>
                </c:pt>
              </c:strCache>
            </c:strRef>
          </c:tx>
          <c:dPt>
            <c:idx val="0"/>
            <c:bubble3D val="0"/>
            <c:spPr>
              <a:solidFill>
                <a:srgbClr val="FF3300"/>
              </a:solidFill>
            </c:spPr>
          </c:dPt>
          <c:dPt>
            <c:idx val="1"/>
            <c:bubble3D val="0"/>
            <c:spPr>
              <a:solidFill>
                <a:schemeClr val="accent3">
                  <a:lumMod val="75000"/>
                </a:schemeClr>
              </a:solidFill>
            </c:spPr>
          </c:dPt>
          <c:dLbls>
            <c:spPr>
              <a:noFill/>
              <a:ln>
                <a:noFill/>
              </a:ln>
              <a:effectLst/>
            </c:spPr>
            <c:txPr>
              <a:bodyPr/>
              <a:lstStyle/>
              <a:p>
                <a:pPr>
                  <a:defRPr sz="1200"/>
                </a:pPr>
                <a:endParaRPr lang="pl-PL"/>
              </a:p>
            </c:txPr>
            <c:showLegendKey val="0"/>
            <c:showVal val="1"/>
            <c:showCatName val="1"/>
            <c:showSerName val="0"/>
            <c:showPercent val="0"/>
            <c:showBubbleSize val="0"/>
            <c:showLeaderLines val="1"/>
            <c:extLst>
              <c:ext xmlns:c15="http://schemas.microsoft.com/office/drawing/2012/chart" uri="{CE6537A1-D6FC-4f65-9D91-7224C49458BB}"/>
            </c:extLst>
          </c:dLbls>
          <c:cat>
            <c:strRef>
              <c:f>Arkusz1!$A$2:$A$3</c:f>
              <c:strCache>
                <c:ptCount val="2"/>
                <c:pt idx="0">
                  <c:v>słaby</c:v>
                </c:pt>
                <c:pt idx="1">
                  <c:v>dobry</c:v>
                </c:pt>
              </c:strCache>
            </c:strRef>
          </c:cat>
          <c:val>
            <c:numRef>
              <c:f>Arkusz1!$B$2:$B$3</c:f>
              <c:numCache>
                <c:formatCode>General</c:formatCode>
                <c:ptCount val="2"/>
                <c:pt idx="0">
                  <c:v>12</c:v>
                </c:pt>
                <c:pt idx="1">
                  <c:v>160</c:v>
                </c:pt>
              </c:numCache>
            </c:numRef>
          </c:val>
        </c:ser>
        <c:dLbls>
          <c:showLegendKey val="0"/>
          <c:showVal val="1"/>
          <c:showCatName val="1"/>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Arkusz1!$A$2</c:f>
              <c:strCache>
                <c:ptCount val="1"/>
                <c:pt idx="0">
                  <c:v>ścieki przemysłowe wymagające oczyszczenia [hm3]</c:v>
                </c:pt>
              </c:strCache>
            </c:strRef>
          </c:tx>
          <c:spPr>
            <a:solidFill>
              <a:schemeClr val="accent5">
                <a:lumMod val="60000"/>
                <a:lumOff val="40000"/>
              </a:schemeClr>
            </a:solidFill>
          </c:spPr>
          <c:invertIfNegative val="0"/>
          <c:cat>
            <c:strRef>
              <c:f>Arkusz1!$B$1:$H$1</c:f>
              <c:strCache>
                <c:ptCount val="7"/>
                <c:pt idx="0">
                  <c:v>2010</c:v>
                </c:pt>
                <c:pt idx="1">
                  <c:v>2011</c:v>
                </c:pt>
                <c:pt idx="2">
                  <c:v>2012</c:v>
                </c:pt>
                <c:pt idx="3">
                  <c:v>2013</c:v>
                </c:pt>
                <c:pt idx="4">
                  <c:v>2014</c:v>
                </c:pt>
                <c:pt idx="5">
                  <c:v>2015</c:v>
                </c:pt>
                <c:pt idx="6">
                  <c:v>2016</c:v>
                </c:pt>
              </c:strCache>
            </c:strRef>
          </c:cat>
          <c:val>
            <c:numRef>
              <c:f>Arkusz1!$B$2:$H$2</c:f>
              <c:numCache>
                <c:formatCode>General</c:formatCode>
                <c:ptCount val="7"/>
                <c:pt idx="0">
                  <c:v>1011.6</c:v>
                </c:pt>
                <c:pt idx="1">
                  <c:v>1013.1</c:v>
                </c:pt>
                <c:pt idx="2">
                  <c:v>950.5</c:v>
                </c:pt>
                <c:pt idx="3">
                  <c:v>920.9</c:v>
                </c:pt>
                <c:pt idx="4">
                  <c:v>885.9</c:v>
                </c:pt>
                <c:pt idx="5">
                  <c:v>863.8</c:v>
                </c:pt>
                <c:pt idx="6">
                  <c:v>876.1</c:v>
                </c:pt>
              </c:numCache>
            </c:numRef>
          </c:val>
        </c:ser>
        <c:ser>
          <c:idx val="1"/>
          <c:order val="1"/>
          <c:tx>
            <c:strRef>
              <c:f>Arkusz1!$A$3</c:f>
              <c:strCache>
                <c:ptCount val="1"/>
                <c:pt idx="0">
                  <c:v>ścieki komunalne [hm3]</c:v>
                </c:pt>
              </c:strCache>
            </c:strRef>
          </c:tx>
          <c:spPr>
            <a:solidFill>
              <a:srgbClr val="FADD06"/>
            </a:solidFill>
          </c:spPr>
          <c:invertIfNegative val="0"/>
          <c:cat>
            <c:strRef>
              <c:f>Arkusz1!$B$1:$H$1</c:f>
              <c:strCache>
                <c:ptCount val="7"/>
                <c:pt idx="0">
                  <c:v>2010</c:v>
                </c:pt>
                <c:pt idx="1">
                  <c:v>2011</c:v>
                </c:pt>
                <c:pt idx="2">
                  <c:v>2012</c:v>
                </c:pt>
                <c:pt idx="3">
                  <c:v>2013</c:v>
                </c:pt>
                <c:pt idx="4">
                  <c:v>2014</c:v>
                </c:pt>
                <c:pt idx="5">
                  <c:v>2015</c:v>
                </c:pt>
                <c:pt idx="6">
                  <c:v>2016</c:v>
                </c:pt>
              </c:strCache>
            </c:strRef>
          </c:cat>
          <c:val>
            <c:numRef>
              <c:f>Arkusz1!$B$3:$H$3</c:f>
              <c:numCache>
                <c:formatCode>General</c:formatCode>
                <c:ptCount val="7"/>
                <c:pt idx="0">
                  <c:v>1297.8</c:v>
                </c:pt>
                <c:pt idx="1">
                  <c:v>1258.8</c:v>
                </c:pt>
                <c:pt idx="2">
                  <c:v>1248.8</c:v>
                </c:pt>
                <c:pt idx="3">
                  <c:v>1246.5999999999999</c:v>
                </c:pt>
                <c:pt idx="4">
                  <c:v>1238.0999999999999</c:v>
                </c:pt>
                <c:pt idx="5">
                  <c:v>1258.4000000000001</c:v>
                </c:pt>
                <c:pt idx="6">
                  <c:v>1288.7</c:v>
                </c:pt>
              </c:numCache>
            </c:numRef>
          </c:val>
        </c:ser>
        <c:dLbls>
          <c:showLegendKey val="0"/>
          <c:showVal val="0"/>
          <c:showCatName val="0"/>
          <c:showSerName val="0"/>
          <c:showPercent val="0"/>
          <c:showBubbleSize val="0"/>
        </c:dLbls>
        <c:gapWidth val="150"/>
        <c:overlap val="100"/>
        <c:axId val="147353928"/>
        <c:axId val="147354320"/>
      </c:barChart>
      <c:lineChart>
        <c:grouping val="standard"/>
        <c:varyColors val="0"/>
        <c:ser>
          <c:idx val="2"/>
          <c:order val="2"/>
          <c:tx>
            <c:strRef>
              <c:f>Arkusz1!$A$4</c:f>
              <c:strCache>
                <c:ptCount val="1"/>
                <c:pt idx="0">
                  <c:v>ścieki oczyszczane [hm3]</c:v>
                </c:pt>
              </c:strCache>
            </c:strRef>
          </c:tx>
          <c:marker>
            <c:symbol val="none"/>
          </c:marker>
          <c:cat>
            <c:strRef>
              <c:f>Arkusz1!$B$1:$H$1</c:f>
              <c:strCache>
                <c:ptCount val="7"/>
                <c:pt idx="0">
                  <c:v>2010</c:v>
                </c:pt>
                <c:pt idx="1">
                  <c:v>2011</c:v>
                </c:pt>
                <c:pt idx="2">
                  <c:v>2012</c:v>
                </c:pt>
                <c:pt idx="3">
                  <c:v>2013</c:v>
                </c:pt>
                <c:pt idx="4">
                  <c:v>2014</c:v>
                </c:pt>
                <c:pt idx="5">
                  <c:v>2015</c:v>
                </c:pt>
                <c:pt idx="6">
                  <c:v>2016</c:v>
                </c:pt>
              </c:strCache>
            </c:strRef>
          </c:cat>
          <c:val>
            <c:numRef>
              <c:f>Arkusz1!$B$4:$H$4</c:f>
              <c:numCache>
                <c:formatCode>General</c:formatCode>
                <c:ptCount val="7"/>
                <c:pt idx="0">
                  <c:v>2133.6999999999998</c:v>
                </c:pt>
                <c:pt idx="1">
                  <c:v>2097.9</c:v>
                </c:pt>
                <c:pt idx="2">
                  <c:v>2055.1999999999998</c:v>
                </c:pt>
                <c:pt idx="3">
                  <c:v>2039.1</c:v>
                </c:pt>
                <c:pt idx="4">
                  <c:v>2011.2</c:v>
                </c:pt>
                <c:pt idx="5">
                  <c:v>2015.1</c:v>
                </c:pt>
                <c:pt idx="6" formatCode="0.0">
                  <c:v>2061.2640000000001</c:v>
                </c:pt>
              </c:numCache>
            </c:numRef>
          </c:val>
          <c:smooth val="0"/>
        </c:ser>
        <c:ser>
          <c:idx val="3"/>
          <c:order val="3"/>
          <c:tx>
            <c:strRef>
              <c:f>Arkusz1!$A$5</c:f>
              <c:strCache>
                <c:ptCount val="1"/>
                <c:pt idx="0">
                  <c:v>ścieki nieoczyszczane [hm3]</c:v>
                </c:pt>
              </c:strCache>
            </c:strRef>
          </c:tx>
          <c:spPr>
            <a:ln>
              <a:solidFill>
                <a:schemeClr val="accent2"/>
              </a:solidFill>
            </a:ln>
          </c:spPr>
          <c:marker>
            <c:symbol val="none"/>
          </c:marker>
          <c:cat>
            <c:strRef>
              <c:f>Arkusz1!$B$1:$H$1</c:f>
              <c:strCache>
                <c:ptCount val="7"/>
                <c:pt idx="0">
                  <c:v>2010</c:v>
                </c:pt>
                <c:pt idx="1">
                  <c:v>2011</c:v>
                </c:pt>
                <c:pt idx="2">
                  <c:v>2012</c:v>
                </c:pt>
                <c:pt idx="3">
                  <c:v>2013</c:v>
                </c:pt>
                <c:pt idx="4">
                  <c:v>2014</c:v>
                </c:pt>
                <c:pt idx="5">
                  <c:v>2015</c:v>
                </c:pt>
                <c:pt idx="6">
                  <c:v>2016</c:v>
                </c:pt>
              </c:strCache>
            </c:strRef>
          </c:cat>
          <c:val>
            <c:numRef>
              <c:f>Arkusz1!$B$5:$H$5</c:f>
              <c:numCache>
                <c:formatCode>0.0</c:formatCode>
                <c:ptCount val="7"/>
                <c:pt idx="0" formatCode="General">
                  <c:v>175.7</c:v>
                </c:pt>
                <c:pt idx="1">
                  <c:v>174</c:v>
                </c:pt>
                <c:pt idx="2" formatCode="General">
                  <c:v>144.1</c:v>
                </c:pt>
                <c:pt idx="3" formatCode="General">
                  <c:v>128.5</c:v>
                </c:pt>
                <c:pt idx="4" formatCode="General">
                  <c:v>112.8</c:v>
                </c:pt>
                <c:pt idx="5">
                  <c:v>107</c:v>
                </c:pt>
                <c:pt idx="6">
                  <c:v>104.6998</c:v>
                </c:pt>
              </c:numCache>
            </c:numRef>
          </c:val>
          <c:smooth val="0"/>
        </c:ser>
        <c:dLbls>
          <c:showLegendKey val="0"/>
          <c:showVal val="0"/>
          <c:showCatName val="0"/>
          <c:showSerName val="0"/>
          <c:showPercent val="0"/>
          <c:showBubbleSize val="0"/>
        </c:dLbls>
        <c:marker val="1"/>
        <c:smooth val="0"/>
        <c:axId val="147353928"/>
        <c:axId val="147354320"/>
      </c:lineChart>
      <c:catAx>
        <c:axId val="147353928"/>
        <c:scaling>
          <c:orientation val="minMax"/>
        </c:scaling>
        <c:delete val="0"/>
        <c:axPos val="b"/>
        <c:numFmt formatCode="General" sourceLinked="0"/>
        <c:majorTickMark val="out"/>
        <c:minorTickMark val="none"/>
        <c:tickLblPos val="nextTo"/>
        <c:crossAx val="147354320"/>
        <c:crosses val="autoZero"/>
        <c:auto val="1"/>
        <c:lblAlgn val="ctr"/>
        <c:lblOffset val="100"/>
        <c:noMultiLvlLbl val="0"/>
      </c:catAx>
      <c:valAx>
        <c:axId val="147354320"/>
        <c:scaling>
          <c:orientation val="minMax"/>
        </c:scaling>
        <c:delete val="0"/>
        <c:axPos val="l"/>
        <c:majorGridlines/>
        <c:numFmt formatCode="General" sourceLinked="1"/>
        <c:majorTickMark val="out"/>
        <c:minorTickMark val="none"/>
        <c:tickLblPos val="nextTo"/>
        <c:crossAx val="14735392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0.53378</cdr:x>
      <cdr:y>0.02</cdr:y>
    </cdr:from>
    <cdr:to>
      <cdr:x>0.53378</cdr:x>
      <cdr:y>0.9225</cdr:y>
    </cdr:to>
    <cdr:cxnSp macro="">
      <cdr:nvCxnSpPr>
        <cdr:cNvPr id="2" name="Łącznik prosty 1"/>
        <cdr:cNvCxnSpPr/>
      </cdr:nvCxnSpPr>
      <cdr:spPr>
        <a:xfrm xmlns:a="http://schemas.openxmlformats.org/drawingml/2006/main">
          <a:off x="3060700" y="152400"/>
          <a:ext cx="0" cy="6877050"/>
        </a:xfrm>
        <a:prstGeom xmlns:a="http://schemas.openxmlformats.org/drawingml/2006/main" prst="line">
          <a:avLst/>
        </a:prstGeom>
        <a:ln xmlns:a="http://schemas.openxmlformats.org/drawingml/2006/main" w="25400">
          <a:solidFill>
            <a:srgbClr val="008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0.62182</cdr:x>
      <cdr:y>0.02</cdr:y>
    </cdr:from>
    <cdr:to>
      <cdr:x>0.62182</cdr:x>
      <cdr:y>0.9225</cdr:y>
    </cdr:to>
    <cdr:cxnSp macro="">
      <cdr:nvCxnSpPr>
        <cdr:cNvPr id="3" name="Łącznik prosty 2"/>
        <cdr:cNvCxnSpPr/>
      </cdr:nvCxnSpPr>
      <cdr:spPr>
        <a:xfrm xmlns:a="http://schemas.openxmlformats.org/drawingml/2006/main">
          <a:off x="3565525" y="152400"/>
          <a:ext cx="0" cy="687705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0.18577</cdr:x>
      <cdr:y>0.39646</cdr:y>
    </cdr:from>
    <cdr:to>
      <cdr:x>0.32432</cdr:x>
      <cdr:y>0.5388</cdr:y>
    </cdr:to>
    <cdr:sp macro="" textlink="">
      <cdr:nvSpPr>
        <cdr:cNvPr id="2" name="Objaśnienie liniowe 1 1"/>
        <cdr:cNvSpPr/>
      </cdr:nvSpPr>
      <cdr:spPr>
        <a:xfrm xmlns:a="http://schemas.openxmlformats.org/drawingml/2006/main">
          <a:off x="1150309" y="1542419"/>
          <a:ext cx="857849" cy="553800"/>
        </a:xfrm>
        <a:prstGeom xmlns:a="http://schemas.openxmlformats.org/drawingml/2006/main" prst="borderCallout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pl-PL" sz="900"/>
            <a:t>w tym powódź -</a:t>
          </a:r>
          <a:r>
            <a:rPr lang="pl-PL" sz="900" baseline="0"/>
            <a:t> 4,2 mld zł strat</a:t>
          </a:r>
          <a:endParaRPr lang="pl-PL" sz="900"/>
        </a:p>
      </cdr:txBody>
    </cdr:sp>
  </cdr:relSizeAnchor>
  <cdr:relSizeAnchor xmlns:cdr="http://schemas.openxmlformats.org/drawingml/2006/chartDrawing">
    <cdr:from>
      <cdr:x>0.44259</cdr:x>
      <cdr:y>0.31486</cdr:y>
    </cdr:from>
    <cdr:to>
      <cdr:x>0.60295</cdr:x>
      <cdr:y>0.5122</cdr:y>
    </cdr:to>
    <cdr:sp macro="" textlink="">
      <cdr:nvSpPr>
        <cdr:cNvPr id="4" name="Objaśnienie liniowe 1 3"/>
        <cdr:cNvSpPr/>
      </cdr:nvSpPr>
      <cdr:spPr>
        <a:xfrm xmlns:a="http://schemas.openxmlformats.org/drawingml/2006/main">
          <a:off x="2740503" y="1224951"/>
          <a:ext cx="992937" cy="767751"/>
        </a:xfrm>
        <a:prstGeom xmlns:a="http://schemas.openxmlformats.org/drawingml/2006/main" prst="borderCallout1">
          <a:avLst>
            <a:gd name="adj1" fmla="val 40317"/>
            <a:gd name="adj2" fmla="val -4667"/>
            <a:gd name="adj3" fmla="val 95401"/>
            <a:gd name="adj4" fmla="val -19049"/>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pl-PL" sz="900">
              <a:solidFill>
                <a:sysClr val="window" lastClr="FFFFFF"/>
              </a:solidFill>
              <a:latin typeface="Calibri"/>
              <a:ea typeface="+mn-ea"/>
              <a:cs typeface="+mn-cs"/>
            </a:rPr>
            <a:t>w tym zespół</a:t>
          </a:r>
          <a:r>
            <a:rPr lang="pl-PL" sz="900" baseline="0">
              <a:solidFill>
                <a:sysClr val="window" lastClr="FFFFFF"/>
              </a:solidFill>
              <a:latin typeface="Calibri"/>
              <a:ea typeface="+mn-ea"/>
              <a:cs typeface="+mn-cs"/>
            </a:rPr>
            <a:t> niekorzystnych zjawisk  w rolnictwie - 7,1 mld zł</a:t>
          </a:r>
          <a:endParaRPr lang="pl-PL" sz="900">
            <a:solidFill>
              <a:sysClr val="window" lastClr="FFFFFF"/>
            </a:solidFill>
            <a:latin typeface="Calibri"/>
            <a:ea typeface="+mn-ea"/>
            <a:cs typeface="+mn-cs"/>
          </a:endParaRPr>
        </a:p>
      </cdr:txBody>
    </cdr:sp>
  </cdr:relSizeAnchor>
  <cdr:relSizeAnchor xmlns:cdr="http://schemas.openxmlformats.org/drawingml/2006/chartDrawing">
    <cdr:from>
      <cdr:x>0.69671</cdr:x>
      <cdr:y>0.11519</cdr:y>
    </cdr:from>
    <cdr:to>
      <cdr:x>0.84257</cdr:x>
      <cdr:y>0.24197</cdr:y>
    </cdr:to>
    <cdr:sp macro="" textlink="">
      <cdr:nvSpPr>
        <cdr:cNvPr id="5" name="Objaśnienie liniowe 1 4"/>
        <cdr:cNvSpPr/>
      </cdr:nvSpPr>
      <cdr:spPr>
        <a:xfrm xmlns:a="http://schemas.openxmlformats.org/drawingml/2006/main">
          <a:off x="4314005" y="448166"/>
          <a:ext cx="903180" cy="493240"/>
        </a:xfrm>
        <a:prstGeom xmlns:a="http://schemas.openxmlformats.org/drawingml/2006/main" prst="borderCallout1">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pl-PL" sz="900"/>
            <a:t>w tym powódź-</a:t>
          </a:r>
          <a:r>
            <a:rPr lang="pl-PL" sz="900" baseline="0"/>
            <a:t> 12,2 mld zł</a:t>
          </a:r>
          <a:r>
            <a:rPr lang="pl-PL" sz="900"/>
            <a:t> </a:t>
          </a:r>
        </a:p>
      </cdr:txBody>
    </cdr:sp>
  </cdr:relSizeAnchor>
  <cdr:relSizeAnchor xmlns:cdr="http://schemas.openxmlformats.org/drawingml/2006/chartDrawing">
    <cdr:from>
      <cdr:x>0.67539</cdr:x>
      <cdr:y>0.35477</cdr:y>
    </cdr:from>
    <cdr:to>
      <cdr:x>0.8565</cdr:x>
      <cdr:y>0.55432</cdr:y>
    </cdr:to>
    <cdr:sp macro="" textlink="">
      <cdr:nvSpPr>
        <cdr:cNvPr id="6" name="Objaśnienie liniowe 1 5"/>
        <cdr:cNvSpPr/>
      </cdr:nvSpPr>
      <cdr:spPr>
        <a:xfrm xmlns:a="http://schemas.openxmlformats.org/drawingml/2006/main">
          <a:off x="4182014" y="1380227"/>
          <a:ext cx="1121434" cy="776377"/>
        </a:xfrm>
        <a:prstGeom xmlns:a="http://schemas.openxmlformats.org/drawingml/2006/main" prst="borderCallout1">
          <a:avLst>
            <a:gd name="adj1" fmla="val 74891"/>
            <a:gd name="adj2" fmla="val 123574"/>
            <a:gd name="adj3" fmla="val 12284"/>
            <a:gd name="adj4" fmla="val 105560"/>
          </a:avLst>
        </a:prstGeom>
        <a:solidFill xmlns:a="http://schemas.openxmlformats.org/drawingml/2006/main">
          <a:srgbClr val="4F81BD"/>
        </a:solidFill>
        <a:ln xmlns:a="http://schemas.openxmlformats.org/drawingml/2006/main" w="254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pl-PL" sz="900"/>
            <a:t>w tym zespół</a:t>
          </a:r>
          <a:r>
            <a:rPr lang="pl-PL" sz="900" baseline="0"/>
            <a:t> niekorzystnych zjawisk w rolnictwie (głównie susza) -  7,1 mld </a:t>
          </a:r>
          <a:r>
            <a:rPr lang="pl-PL" baseline="0"/>
            <a:t>zł</a:t>
          </a:r>
          <a:endParaRPr lang="pl-PL"/>
        </a:p>
      </cdr:txBody>
    </cdr:sp>
  </cdr:relSizeAnchor>
</c:userShapes>
</file>

<file path=word/drawings/drawing3.xml><?xml version="1.0" encoding="utf-8"?>
<c:userShapes xmlns:c="http://schemas.openxmlformats.org/drawingml/2006/chart">
  <cdr:relSizeAnchor xmlns:cdr="http://schemas.openxmlformats.org/drawingml/2006/chartDrawing">
    <cdr:from>
      <cdr:x>0.40437</cdr:x>
      <cdr:y>0.32566</cdr:y>
    </cdr:from>
    <cdr:to>
      <cdr:x>0.40437</cdr:x>
      <cdr:y>0.62053</cdr:y>
    </cdr:to>
    <cdr:sp macro="" textlink="">
      <cdr:nvSpPr>
        <cdr:cNvPr id="11265" name="Line 1"/>
        <cdr:cNvSpPr>
          <a:spLocks xmlns:a="http://schemas.openxmlformats.org/drawingml/2006/main" noChangeShapeType="1"/>
        </cdr:cNvSpPr>
      </cdr:nvSpPr>
      <cdr:spPr bwMode="auto">
        <a:xfrm xmlns:a="http://schemas.openxmlformats.org/drawingml/2006/main" flipH="1">
          <a:off x="2330236" y="1327606"/>
          <a:ext cx="0" cy="1202097"/>
        </a:xfrm>
        <a:prstGeom xmlns:a="http://schemas.openxmlformats.org/drawingml/2006/main" prst="line">
          <a:avLst/>
        </a:prstGeom>
        <a:noFill xmlns:a="http://schemas.openxmlformats.org/drawingml/2006/main"/>
        <a:ln xmlns:a="http://schemas.openxmlformats.org/drawingml/2006/main" w="9525" cap="rnd">
          <a:solidFill>
            <a:srgbClr val="000000"/>
          </a:solidFill>
          <a:prstDash val="sysDot"/>
          <a:round/>
          <a:headEnd/>
          <a:tailEnd/>
        </a:ln>
      </cdr:spPr>
      <cdr:txBody>
        <a:bodyPr xmlns:a="http://schemas.openxmlformats.org/drawingml/2006/main"/>
        <a:lstStyle xmlns:a="http://schemas.openxmlformats.org/drawingml/2006/main"/>
        <a:p xmlns:a="http://schemas.openxmlformats.org/drawingml/2006/main">
          <a:endParaRPr lang="pl-PL"/>
        </a:p>
      </cdr:txBody>
    </cdr:sp>
  </cdr:relSizeAnchor>
  <cdr:relSizeAnchor xmlns:cdr="http://schemas.openxmlformats.org/drawingml/2006/chartDrawing">
    <cdr:from>
      <cdr:x>0.71672</cdr:x>
      <cdr:y>0.33734</cdr:y>
    </cdr:from>
    <cdr:to>
      <cdr:x>0.71756</cdr:x>
      <cdr:y>0.63158</cdr:y>
    </cdr:to>
    <cdr:sp macro="" textlink="">
      <cdr:nvSpPr>
        <cdr:cNvPr id="11266" name="Line 2"/>
        <cdr:cNvSpPr>
          <a:spLocks xmlns:a="http://schemas.openxmlformats.org/drawingml/2006/main" noChangeShapeType="1"/>
        </cdr:cNvSpPr>
      </cdr:nvSpPr>
      <cdr:spPr bwMode="auto">
        <a:xfrm xmlns:a="http://schemas.openxmlformats.org/drawingml/2006/main" flipH="1">
          <a:off x="4130173" y="1375231"/>
          <a:ext cx="4841" cy="1199529"/>
        </a:xfrm>
        <a:prstGeom xmlns:a="http://schemas.openxmlformats.org/drawingml/2006/main" prst="line">
          <a:avLst/>
        </a:prstGeom>
        <a:noFill xmlns:a="http://schemas.openxmlformats.org/drawingml/2006/main"/>
        <a:ln xmlns:a="http://schemas.openxmlformats.org/drawingml/2006/main" w="9525" cap="rnd">
          <a:solidFill>
            <a:srgbClr val="000000"/>
          </a:solidFill>
          <a:prstDash val="sysDot"/>
          <a:round/>
          <a:headEnd/>
          <a:tailEnd/>
        </a:ln>
      </cdr:spPr>
      <cdr:txBody>
        <a:bodyPr xmlns:a="http://schemas.openxmlformats.org/drawingml/2006/main"/>
        <a:lstStyle xmlns:a="http://schemas.openxmlformats.org/drawingml/2006/main"/>
        <a:p xmlns:a="http://schemas.openxmlformats.org/drawingml/2006/main">
          <a:endParaRPr lang="pl-PL"/>
        </a:p>
      </cdr:txBody>
    </cdr:sp>
  </cdr:relSizeAnchor>
  <cdr:relSizeAnchor xmlns:cdr="http://schemas.openxmlformats.org/drawingml/2006/chartDrawing">
    <cdr:from>
      <cdr:x>0.48259</cdr:x>
      <cdr:y>0.52862</cdr:y>
    </cdr:from>
    <cdr:to>
      <cdr:x>0.51657</cdr:x>
      <cdr:y>0.55774</cdr:y>
    </cdr:to>
    <cdr:sp macro="" textlink="">
      <cdr:nvSpPr>
        <cdr:cNvPr id="11268" name="Text Box 4"/>
        <cdr:cNvSpPr txBox="1">
          <a:spLocks xmlns:a="http://schemas.openxmlformats.org/drawingml/2006/main" noChangeArrowheads="1"/>
        </cdr:cNvSpPr>
      </cdr:nvSpPr>
      <cdr:spPr bwMode="auto">
        <a:xfrm xmlns:a="http://schemas.openxmlformats.org/drawingml/2006/main">
          <a:off x="3295777" y="1678603"/>
          <a:ext cx="208883" cy="16468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pl-PL"/>
        </a:p>
      </cdr:txBody>
    </cdr:sp>
  </cdr:relSizeAnchor>
  <cdr:relSizeAnchor xmlns:cdr="http://schemas.openxmlformats.org/drawingml/2006/chartDrawing">
    <cdr:from>
      <cdr:x>0.08595</cdr:x>
      <cdr:y>0.64733</cdr:y>
    </cdr:from>
    <cdr:to>
      <cdr:x>0.40165</cdr:x>
      <cdr:y>0.93996</cdr:y>
    </cdr:to>
    <cdr:sp macro="" textlink="">
      <cdr:nvSpPr>
        <cdr:cNvPr id="46084" name="Prostokąt 4"/>
        <cdr:cNvSpPr>
          <a:spLocks xmlns:a="http://schemas.openxmlformats.org/drawingml/2006/main" noChangeArrowheads="1"/>
        </cdr:cNvSpPr>
      </cdr:nvSpPr>
      <cdr:spPr bwMode="auto">
        <a:xfrm xmlns:a="http://schemas.openxmlformats.org/drawingml/2006/main">
          <a:off x="495134" y="2637737"/>
          <a:ext cx="1818659" cy="1192391"/>
        </a:xfrm>
        <a:prstGeom xmlns:a="http://schemas.openxmlformats.org/drawingml/2006/main" prst="rect">
          <a:avLst/>
        </a:prstGeom>
        <a:solidFill xmlns:a="http://schemas.openxmlformats.org/drawingml/2006/main">
          <a:srgbClr val="FFFFFF"/>
        </a:solidFill>
        <a:ln xmlns:a="http://schemas.openxmlformats.org/drawingml/2006/main" w="25400" algn="ctr">
          <a:solidFill>
            <a:srgbClr val="F79646"/>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pl-PL" sz="1000" b="0" i="0" u="none" strike="noStrike" baseline="0">
              <a:solidFill>
                <a:srgbClr val="000000"/>
              </a:solidFill>
              <a:latin typeface="Arial Narrow"/>
            </a:rPr>
            <a:t>     siedlliska       rośliny      zwierzęta</a:t>
          </a:r>
        </a:p>
        <a:p xmlns:a="http://schemas.openxmlformats.org/drawingml/2006/main">
          <a:pPr algn="l" rtl="0">
            <a:defRPr sz="1000"/>
          </a:pPr>
          <a:r>
            <a:rPr lang="pl-PL" sz="1000" b="0" i="0" u="none" strike="noStrike" baseline="0">
              <a:solidFill>
                <a:srgbClr val="000000"/>
              </a:solidFill>
              <a:latin typeface="Arial Narrow"/>
            </a:rPr>
            <a:t>  przyrodnicze     </a:t>
          </a:r>
        </a:p>
        <a:p xmlns:a="http://schemas.openxmlformats.org/drawingml/2006/main">
          <a:pPr algn="l" rtl="0">
            <a:defRPr sz="1000"/>
          </a:pPr>
          <a:r>
            <a:rPr lang="pl-PL" sz="1000" b="0" i="0" u="none" strike="noStrike" baseline="0">
              <a:solidFill>
                <a:srgbClr val="000000"/>
              </a:solidFill>
              <a:latin typeface="Arial Narrow"/>
            </a:rPr>
            <a:t>  </a:t>
          </a:r>
          <a:r>
            <a:rPr lang="pl-PL" sz="800" b="0" i="0" u="none" strike="noStrike" baseline="0">
              <a:solidFill>
                <a:srgbClr val="000000"/>
              </a:solidFill>
              <a:latin typeface="Arial Narrow"/>
            </a:rPr>
            <a:t>( 71 typów)     (4</a:t>
          </a:r>
          <a:r>
            <a:rPr lang="pl-PL" sz="800" b="0" i="0" u="none" strike="noStrike" baseline="0">
              <a:solidFill>
                <a:sysClr val="windowText" lastClr="000000"/>
              </a:solidFill>
              <a:latin typeface="Arial Narrow"/>
            </a:rPr>
            <a:t>1</a:t>
          </a:r>
          <a:r>
            <a:rPr lang="pl-PL" sz="800" b="1" i="0" u="none" strike="noStrike" baseline="0">
              <a:solidFill>
                <a:srgbClr val="000000"/>
              </a:solidFill>
              <a:latin typeface="Arial Narrow"/>
            </a:rPr>
            <a:t> </a:t>
          </a:r>
          <a:r>
            <a:rPr lang="pl-PL" sz="800" b="0" i="0" u="none" strike="noStrike" baseline="0">
              <a:solidFill>
                <a:srgbClr val="000000"/>
              </a:solidFill>
              <a:latin typeface="Arial Narrow"/>
            </a:rPr>
            <a:t>gatunków) (128 gatunków) </a:t>
          </a:r>
        </a:p>
        <a:p xmlns:a="http://schemas.openxmlformats.org/drawingml/2006/main">
          <a:pPr algn="l" rtl="0">
            <a:defRPr sz="1000"/>
          </a:pPr>
          <a:endParaRPr lang="pl-PL" sz="800" b="0" i="0" u="none" strike="noStrike" baseline="0">
            <a:solidFill>
              <a:srgbClr val="000000"/>
            </a:solidFill>
            <a:latin typeface="Arial Narrow"/>
          </a:endParaRPr>
        </a:p>
        <a:p xmlns:a="http://schemas.openxmlformats.org/drawingml/2006/main">
          <a:pPr algn="l" rtl="0">
            <a:defRPr sz="1000"/>
          </a:pPr>
          <a:r>
            <a:rPr lang="pl-PL" sz="1100" b="1" i="0" u="none" strike="noStrike" baseline="0">
              <a:solidFill>
                <a:srgbClr val="000000"/>
              </a:solidFill>
              <a:latin typeface="Arial Narrow"/>
            </a:rPr>
            <a:t>region biogeograficzny </a:t>
          </a:r>
        </a:p>
        <a:p xmlns:a="http://schemas.openxmlformats.org/drawingml/2006/main">
          <a:pPr algn="ctr" rtl="0">
            <a:defRPr sz="1000"/>
          </a:pPr>
          <a:r>
            <a:rPr lang="pl-PL" sz="1100" b="1" i="0" u="none" strike="noStrike" baseline="0">
              <a:solidFill>
                <a:srgbClr val="000000"/>
              </a:solidFill>
              <a:latin typeface="Arial Narrow"/>
            </a:rPr>
            <a:t>kontynentalny  </a:t>
          </a:r>
        </a:p>
      </cdr:txBody>
    </cdr:sp>
  </cdr:relSizeAnchor>
  <cdr:relSizeAnchor xmlns:cdr="http://schemas.openxmlformats.org/drawingml/2006/chartDrawing">
    <cdr:from>
      <cdr:x>0.71736</cdr:x>
      <cdr:y>0.64807</cdr:y>
    </cdr:from>
    <cdr:to>
      <cdr:x>0.97816</cdr:x>
      <cdr:y>0.93996</cdr:y>
    </cdr:to>
    <cdr:sp macro="" textlink="">
      <cdr:nvSpPr>
        <cdr:cNvPr id="46085" name="Prostokąt 6"/>
        <cdr:cNvSpPr>
          <a:spLocks xmlns:a="http://schemas.openxmlformats.org/drawingml/2006/main" noChangeArrowheads="1"/>
        </cdr:cNvSpPr>
      </cdr:nvSpPr>
      <cdr:spPr bwMode="auto">
        <a:xfrm xmlns:a="http://schemas.openxmlformats.org/drawingml/2006/main">
          <a:off x="4132510" y="2640752"/>
          <a:ext cx="1502396" cy="1189376"/>
        </a:xfrm>
        <a:prstGeom xmlns:a="http://schemas.openxmlformats.org/drawingml/2006/main" prst="rect">
          <a:avLst/>
        </a:prstGeom>
        <a:noFill xmlns:a="http://schemas.openxmlformats.org/drawingml/2006/main"/>
        <a:ln xmlns:a="http://schemas.openxmlformats.org/drawingml/2006/main" w="25400" algn="ctr">
          <a:solidFill>
            <a:srgbClr val="FF9900"/>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pl-PL" sz="1000" b="0" i="0" u="none" strike="noStrike" baseline="0">
              <a:solidFill>
                <a:srgbClr val="000000"/>
              </a:solidFill>
              <a:latin typeface="Arial Narrow"/>
            </a:rPr>
            <a:t>      siedlliska           zwierzęta </a:t>
          </a:r>
        </a:p>
        <a:p xmlns:a="http://schemas.openxmlformats.org/drawingml/2006/main">
          <a:pPr algn="l" rtl="0">
            <a:defRPr sz="1000"/>
          </a:pPr>
          <a:r>
            <a:rPr lang="pl-PL" sz="1000" b="0" i="0" u="none" strike="noStrike" baseline="0">
              <a:solidFill>
                <a:srgbClr val="000000"/>
              </a:solidFill>
              <a:latin typeface="Arial Narrow"/>
            </a:rPr>
            <a:t>   przyrodnicze   (7 gatunków)</a:t>
          </a:r>
        </a:p>
        <a:p xmlns:a="http://schemas.openxmlformats.org/drawingml/2006/main">
          <a:pPr algn="l" rtl="0">
            <a:defRPr sz="1000"/>
          </a:pPr>
          <a:r>
            <a:rPr lang="pl-PL" sz="1000" b="0" i="0" u="none" strike="noStrike" baseline="0">
              <a:solidFill>
                <a:srgbClr val="000000"/>
              </a:solidFill>
              <a:latin typeface="Arial Narrow"/>
            </a:rPr>
            <a:t>      (4 typy)</a:t>
          </a:r>
        </a:p>
        <a:p xmlns:a="http://schemas.openxmlformats.org/drawingml/2006/main">
          <a:pPr algn="ctr" rtl="0">
            <a:defRPr sz="1000"/>
          </a:pPr>
          <a:endParaRPr lang="pl-PL" sz="1100" b="1" i="0" u="none" strike="noStrike" baseline="0">
            <a:solidFill>
              <a:srgbClr val="000000"/>
            </a:solidFill>
            <a:latin typeface="Arial Narrow"/>
          </a:endParaRPr>
        </a:p>
        <a:p xmlns:a="http://schemas.openxmlformats.org/drawingml/2006/main">
          <a:pPr algn="l" rtl="0">
            <a:defRPr sz="1000"/>
          </a:pPr>
          <a:r>
            <a:rPr lang="pl-PL" sz="1100" b="1" i="0" u="none" strike="noStrike" baseline="0">
              <a:solidFill>
                <a:srgbClr val="000000"/>
              </a:solidFill>
              <a:latin typeface="Arial Narrow"/>
            </a:rPr>
            <a:t>region biogeograficzny </a:t>
          </a:r>
        </a:p>
        <a:p xmlns:a="http://schemas.openxmlformats.org/drawingml/2006/main">
          <a:pPr algn="ctr" rtl="0">
            <a:defRPr sz="1000"/>
          </a:pPr>
          <a:r>
            <a:rPr lang="pl-PL" sz="1100" b="1" i="0" u="none" strike="noStrike" baseline="0">
              <a:solidFill>
                <a:srgbClr val="000000"/>
              </a:solidFill>
              <a:latin typeface="Arial Narrow"/>
            </a:rPr>
            <a:t>kontynentalny  - </a:t>
          </a:r>
        </a:p>
        <a:p xmlns:a="http://schemas.openxmlformats.org/drawingml/2006/main">
          <a:pPr algn="ctr" rtl="0">
            <a:defRPr sz="1000"/>
          </a:pPr>
          <a:r>
            <a:rPr lang="pl-PL" sz="1100" b="1" i="0" u="none" strike="noStrike" baseline="0">
              <a:solidFill>
                <a:srgbClr val="000000"/>
              </a:solidFill>
              <a:latin typeface="Arial Narrow"/>
            </a:rPr>
            <a:t>Morze Bałtyckie</a:t>
          </a:r>
        </a:p>
      </cdr:txBody>
    </cdr:sp>
  </cdr:relSizeAnchor>
  <cdr:relSizeAnchor xmlns:cdr="http://schemas.openxmlformats.org/drawingml/2006/chartDrawing">
    <cdr:from>
      <cdr:x>0.40496</cdr:x>
      <cdr:y>0.64733</cdr:y>
    </cdr:from>
    <cdr:to>
      <cdr:x>0.71735</cdr:x>
      <cdr:y>0.94207</cdr:y>
    </cdr:to>
    <cdr:sp macro="" textlink="">
      <cdr:nvSpPr>
        <cdr:cNvPr id="46086" name="Prostokąt 5"/>
        <cdr:cNvSpPr>
          <a:spLocks xmlns:a="http://schemas.openxmlformats.org/drawingml/2006/main" noChangeArrowheads="1"/>
        </cdr:cNvSpPr>
      </cdr:nvSpPr>
      <cdr:spPr bwMode="auto">
        <a:xfrm xmlns:a="http://schemas.openxmlformats.org/drawingml/2006/main">
          <a:off x="2332861" y="2637736"/>
          <a:ext cx="1799591" cy="1201019"/>
        </a:xfrm>
        <a:prstGeom xmlns:a="http://schemas.openxmlformats.org/drawingml/2006/main" prst="rect">
          <a:avLst/>
        </a:prstGeom>
        <a:solidFill xmlns:a="http://schemas.openxmlformats.org/drawingml/2006/main">
          <a:srgbClr val="FFFFFF"/>
        </a:solidFill>
        <a:ln xmlns:a="http://schemas.openxmlformats.org/drawingml/2006/main" w="25400" algn="ctr">
          <a:solidFill>
            <a:srgbClr val="F79646"/>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pl-PL" sz="1000" b="0" i="0" u="none" strike="noStrike" baseline="0">
              <a:solidFill>
                <a:srgbClr val="000000"/>
              </a:solidFill>
              <a:latin typeface="Arial Narrow"/>
            </a:rPr>
            <a:t>   siedlliska       rośliny         zwierzęta </a:t>
          </a:r>
        </a:p>
        <a:p xmlns:a="http://schemas.openxmlformats.org/drawingml/2006/main">
          <a:pPr algn="l" rtl="0">
            <a:defRPr sz="1000"/>
          </a:pPr>
          <a:r>
            <a:rPr lang="pl-PL" sz="1000" b="0" i="0" u="none" strike="noStrike" baseline="0">
              <a:solidFill>
                <a:srgbClr val="000000"/>
              </a:solidFill>
              <a:latin typeface="Arial Narrow"/>
            </a:rPr>
            <a:t>przyrodnicze             </a:t>
          </a:r>
        </a:p>
        <a:p xmlns:a="http://schemas.openxmlformats.org/drawingml/2006/main">
          <a:pPr algn="l" rtl="0">
            <a:defRPr sz="1000"/>
          </a:pPr>
          <a:r>
            <a:rPr lang="pl-PL" sz="1000" b="0" i="0" u="none" strike="noStrike" baseline="0">
              <a:solidFill>
                <a:srgbClr val="000000"/>
              </a:solidFill>
              <a:latin typeface="Arial Narrow"/>
            </a:rPr>
            <a:t>(41 typów)(20 gatunków)(89 </a:t>
          </a:r>
        </a:p>
        <a:p xmlns:a="http://schemas.openxmlformats.org/drawingml/2006/main">
          <a:pPr algn="l" rtl="0">
            <a:defRPr sz="1000"/>
          </a:pPr>
          <a:r>
            <a:rPr lang="pl-PL" sz="1000" b="0" i="0" u="none" strike="noStrike" baseline="0">
              <a:solidFill>
                <a:srgbClr val="000000"/>
              </a:solidFill>
              <a:latin typeface="Arial Narrow"/>
            </a:rPr>
            <a:t>                                        gatunków)</a:t>
          </a:r>
        </a:p>
        <a:p xmlns:a="http://schemas.openxmlformats.org/drawingml/2006/main">
          <a:pPr algn="ctr" rtl="0">
            <a:defRPr sz="1000"/>
          </a:pPr>
          <a:r>
            <a:rPr lang="pl-PL" sz="1100" b="1" i="0" u="none" strike="noStrike" baseline="0">
              <a:solidFill>
                <a:srgbClr val="000000"/>
              </a:solidFill>
              <a:latin typeface="Arial Narrow"/>
            </a:rPr>
            <a:t>region biogeograficzny</a:t>
          </a:r>
        </a:p>
        <a:p xmlns:a="http://schemas.openxmlformats.org/drawingml/2006/main">
          <a:pPr algn="ctr" rtl="0">
            <a:defRPr sz="1000"/>
          </a:pPr>
          <a:r>
            <a:rPr lang="pl-PL" sz="1100" b="1" i="0" u="none" strike="noStrike" baseline="0">
              <a:solidFill>
                <a:srgbClr val="000000"/>
              </a:solidFill>
              <a:latin typeface="Arial Narrow"/>
            </a:rPr>
            <a:t>alpejsk</a:t>
          </a:r>
          <a:r>
            <a:rPr lang="pl-PL" sz="1000" b="1" i="0" u="none" strike="noStrike" baseline="0">
              <a:solidFill>
                <a:srgbClr val="000000"/>
              </a:solidFill>
              <a:latin typeface="Arial Narrow"/>
            </a:rPr>
            <a:t>i</a:t>
          </a:r>
        </a:p>
      </cdr:txBody>
    </cdr:sp>
  </cdr:relSizeAnchor>
</c:userShapes>
</file>

<file path=word/drawings/drawing4.xml><?xml version="1.0" encoding="utf-8"?>
<c:userShapes xmlns:c="http://schemas.openxmlformats.org/drawingml/2006/chart">
  <cdr:relSizeAnchor xmlns:cdr="http://schemas.openxmlformats.org/drawingml/2006/chartDrawing">
    <cdr:from>
      <cdr:x>0.11042</cdr:x>
      <cdr:y>0.10938</cdr:y>
    </cdr:from>
    <cdr:to>
      <cdr:x>0.25</cdr:x>
      <cdr:y>0.17882</cdr:y>
    </cdr:to>
    <cdr:sp macro="" textlink="">
      <cdr:nvSpPr>
        <cdr:cNvPr id="2" name="pole tekstowe 1"/>
        <cdr:cNvSpPr txBox="1"/>
      </cdr:nvSpPr>
      <cdr:spPr>
        <a:xfrm xmlns:a="http://schemas.openxmlformats.org/drawingml/2006/main">
          <a:off x="504825" y="300038"/>
          <a:ext cx="638175"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dr:relSizeAnchor xmlns:cdr="http://schemas.openxmlformats.org/drawingml/2006/chartDrawing">
    <cdr:from>
      <cdr:x>0.12728</cdr:x>
      <cdr:y>0.09144</cdr:y>
    </cdr:from>
    <cdr:to>
      <cdr:x>0.27425</cdr:x>
      <cdr:y>0.1886</cdr:y>
    </cdr:to>
    <cdr:sp macro="" textlink="">
      <cdr:nvSpPr>
        <cdr:cNvPr id="3" name="Pole tekstowe 2"/>
        <cdr:cNvSpPr txBox="1"/>
      </cdr:nvSpPr>
      <cdr:spPr>
        <a:xfrm xmlns:a="http://schemas.openxmlformats.org/drawingml/2006/main">
          <a:off x="667910" y="254442"/>
          <a:ext cx="771276" cy="2703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TNS Master Colours">
    <a:dk1>
      <a:sysClr val="windowText" lastClr="000000"/>
    </a:dk1>
    <a:lt1>
      <a:sysClr val="window" lastClr="FFFFFF"/>
    </a:lt1>
    <a:dk2>
      <a:srgbClr val="3B0541"/>
    </a:dk2>
    <a:lt2>
      <a:srgbClr val="7A2280"/>
    </a:lt2>
    <a:accent1>
      <a:srgbClr val="F7911E"/>
    </a:accent1>
    <a:accent2>
      <a:srgbClr val="EF5205"/>
    </a:accent2>
    <a:accent3>
      <a:srgbClr val="C50017"/>
    </a:accent3>
    <a:accent4>
      <a:srgbClr val="3EB1CC"/>
    </a:accent4>
    <a:accent5>
      <a:srgbClr val="4655A5"/>
    </a:accent5>
    <a:accent6>
      <a:srgbClr val="131C6B"/>
    </a:accent6>
    <a:hlink>
      <a:srgbClr val="4F6128"/>
    </a:hlink>
    <a:folHlink>
      <a:srgbClr val="4F6128"/>
    </a:folHlink>
  </a:clrScheme>
  <a:fontScheme name="TNS Master Font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TNS Master Colours">
    <a:dk1>
      <a:sysClr val="windowText" lastClr="000000"/>
    </a:dk1>
    <a:lt1>
      <a:sysClr val="window" lastClr="FFFFFF"/>
    </a:lt1>
    <a:dk2>
      <a:srgbClr val="3B0541"/>
    </a:dk2>
    <a:lt2>
      <a:srgbClr val="7A2280"/>
    </a:lt2>
    <a:accent1>
      <a:srgbClr val="F7911E"/>
    </a:accent1>
    <a:accent2>
      <a:srgbClr val="EF5205"/>
    </a:accent2>
    <a:accent3>
      <a:srgbClr val="C50017"/>
    </a:accent3>
    <a:accent4>
      <a:srgbClr val="3EB1CC"/>
    </a:accent4>
    <a:accent5>
      <a:srgbClr val="4655A5"/>
    </a:accent5>
    <a:accent6>
      <a:srgbClr val="131C6B"/>
    </a:accent6>
    <a:hlink>
      <a:srgbClr val="4F6128"/>
    </a:hlink>
    <a:folHlink>
      <a:srgbClr val="4F6128"/>
    </a:folHlink>
  </a:clrScheme>
  <a:fontScheme name="TNS Master Font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TNS Master Colours">
    <a:dk1>
      <a:sysClr val="windowText" lastClr="000000"/>
    </a:dk1>
    <a:lt1>
      <a:sysClr val="window" lastClr="FFFFFF"/>
    </a:lt1>
    <a:dk2>
      <a:srgbClr val="3B0541"/>
    </a:dk2>
    <a:lt2>
      <a:srgbClr val="7A2280"/>
    </a:lt2>
    <a:accent1>
      <a:srgbClr val="F7911E"/>
    </a:accent1>
    <a:accent2>
      <a:srgbClr val="EF5205"/>
    </a:accent2>
    <a:accent3>
      <a:srgbClr val="C50017"/>
    </a:accent3>
    <a:accent4>
      <a:srgbClr val="3EB1CC"/>
    </a:accent4>
    <a:accent5>
      <a:srgbClr val="4655A5"/>
    </a:accent5>
    <a:accent6>
      <a:srgbClr val="131C6B"/>
    </a:accent6>
    <a:hlink>
      <a:srgbClr val="4F6128"/>
    </a:hlink>
    <a:folHlink>
      <a:srgbClr val="4F6128"/>
    </a:folHlink>
  </a:clrScheme>
  <a:fontScheme name="TNS Master Font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TNS Master Colours">
    <a:dk1>
      <a:sysClr val="windowText" lastClr="000000"/>
    </a:dk1>
    <a:lt1>
      <a:sysClr val="window" lastClr="FFFFFF"/>
    </a:lt1>
    <a:dk2>
      <a:srgbClr val="3B0541"/>
    </a:dk2>
    <a:lt2>
      <a:srgbClr val="7A2280"/>
    </a:lt2>
    <a:accent1>
      <a:srgbClr val="F7911E"/>
    </a:accent1>
    <a:accent2>
      <a:srgbClr val="EF5205"/>
    </a:accent2>
    <a:accent3>
      <a:srgbClr val="C50017"/>
    </a:accent3>
    <a:accent4>
      <a:srgbClr val="3EB1CC"/>
    </a:accent4>
    <a:accent5>
      <a:srgbClr val="4655A5"/>
    </a:accent5>
    <a:accent6>
      <a:srgbClr val="131C6B"/>
    </a:accent6>
    <a:hlink>
      <a:srgbClr val="4F6128"/>
    </a:hlink>
    <a:folHlink>
      <a:srgbClr val="4F6128"/>
    </a:folHlink>
  </a:clrScheme>
  <a:fontScheme name="TNS Master Font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B3852-AC0C-4491-9546-47B81663C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TotalTime>
  <Pages>126</Pages>
  <Words>38589</Words>
  <Characters>231540</Characters>
  <Application>Microsoft Office Word</Application>
  <DocSecurity>0</DocSecurity>
  <Lines>1929</Lines>
  <Paragraphs>539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269590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ZDANOWSKA Joanna</dc:creator>
  <cp:lastModifiedBy>Kamiński Daniel</cp:lastModifiedBy>
  <cp:revision>44</cp:revision>
  <dcterms:created xsi:type="dcterms:W3CDTF">2018-02-01T11:24:00Z</dcterms:created>
  <dcterms:modified xsi:type="dcterms:W3CDTF">2018-04-03T19:27:00Z</dcterms:modified>
</cp:coreProperties>
</file>