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5A6E" w14:textId="5F8ACC1C" w:rsidR="00865C99" w:rsidRDefault="0011788B" w:rsidP="00F368E1">
      <w:pPr>
        <w:rPr>
          <w:b/>
          <w:bCs/>
        </w:rPr>
      </w:pPr>
      <w:r>
        <w:rPr>
          <w:b/>
          <w:bCs/>
        </w:rPr>
        <w:t xml:space="preserve">Załącznik nr </w:t>
      </w:r>
      <w:r w:rsidR="0002316C">
        <w:rPr>
          <w:b/>
          <w:bCs/>
        </w:rPr>
        <w:t>4</w:t>
      </w:r>
      <w:r>
        <w:rPr>
          <w:b/>
          <w:bCs/>
        </w:rPr>
        <w:t xml:space="preserve"> do OPZ</w:t>
      </w:r>
    </w:p>
    <w:p w14:paraId="2F52CDE5" w14:textId="5C29C52C" w:rsidR="0011788B" w:rsidRDefault="0011788B" w:rsidP="00F368E1">
      <w:pPr>
        <w:rPr>
          <w:b/>
          <w:bCs/>
        </w:rPr>
      </w:pPr>
      <w:r w:rsidRPr="0011788B">
        <w:rPr>
          <w:b/>
          <w:bCs/>
        </w:rPr>
        <w:t>Pozostałe postanowienia związane z przedmiotem zamówienia</w:t>
      </w:r>
    </w:p>
    <w:p w14:paraId="3F8D30D2" w14:textId="2696B7CA" w:rsidR="0011788B" w:rsidRDefault="0011788B" w:rsidP="00F368E1">
      <w:pPr>
        <w:rPr>
          <w:b/>
          <w:bCs/>
        </w:rPr>
      </w:pPr>
    </w:p>
    <w:p w14:paraId="792F40DF" w14:textId="77777777" w:rsidR="0011788B" w:rsidRPr="003C0C07" w:rsidRDefault="0011788B" w:rsidP="0011788B">
      <w:pPr>
        <w:pStyle w:val="Akapitzlist"/>
        <w:numPr>
          <w:ilvl w:val="0"/>
          <w:numId w:val="33"/>
        </w:numPr>
        <w:contextualSpacing w:val="0"/>
      </w:pPr>
      <w:r w:rsidRPr="003C0C07">
        <w:t>Wykonawca zobowiązuje się do monitoringu realizacji Kampanii przez cały czas jej trwania i udzielania Zamawiającemu informacji na temat aktualnego stanu realizacji przedmiotu zamówienia, w szczególności poprzez:</w:t>
      </w:r>
    </w:p>
    <w:p w14:paraId="24D89257" w14:textId="77777777" w:rsidR="0011788B" w:rsidRPr="003C0C07" w:rsidRDefault="0011788B" w:rsidP="0011788B">
      <w:pPr>
        <w:pStyle w:val="Akapitzlist"/>
        <w:numPr>
          <w:ilvl w:val="1"/>
          <w:numId w:val="33"/>
        </w:numPr>
        <w:contextualSpacing w:val="0"/>
      </w:pPr>
      <w:r w:rsidRPr="003C0C07">
        <w:t>przedstawianie Zamawiającemu cotygodniowych raportów z przeprowadzonych działań w ramach realizacji Kampanii, z zastosowaniem określonych przez Zamawiającego wskaźników;</w:t>
      </w:r>
    </w:p>
    <w:p w14:paraId="2372D9AA" w14:textId="77777777" w:rsidR="0011788B" w:rsidRPr="003C0C07" w:rsidRDefault="0011788B" w:rsidP="0011788B">
      <w:pPr>
        <w:pStyle w:val="Akapitzlist"/>
        <w:numPr>
          <w:ilvl w:val="1"/>
          <w:numId w:val="33"/>
        </w:numPr>
        <w:contextualSpacing w:val="0"/>
      </w:pPr>
      <w:r w:rsidRPr="003C0C07">
        <w:t>przedstawienie Zamawiającemu do akceptacji, po zakończeniu realizacji poszczególnych części przedmiotu zamówienia, raportu cząstkowego dotyczącego realizacji danej wykonanej części;</w:t>
      </w:r>
    </w:p>
    <w:p w14:paraId="0815223B" w14:textId="77777777" w:rsidR="0011788B" w:rsidRPr="003C0C07" w:rsidRDefault="0011788B" w:rsidP="0011788B">
      <w:pPr>
        <w:pStyle w:val="Akapitzlist"/>
        <w:numPr>
          <w:ilvl w:val="1"/>
          <w:numId w:val="33"/>
        </w:numPr>
        <w:contextualSpacing w:val="0"/>
      </w:pPr>
      <w:r w:rsidRPr="003C0C07">
        <w:t>przedstawienie Zamawiającemu do akceptacji po zakończeniu realizacji ostatniej części przedmiotu zamówienia zbiorczego raportu końcowego.</w:t>
      </w:r>
    </w:p>
    <w:p w14:paraId="2DCEF23F" w14:textId="77777777" w:rsidR="0011788B" w:rsidRPr="003C0C07" w:rsidRDefault="0011788B" w:rsidP="0011788B">
      <w:pPr>
        <w:pStyle w:val="Akapitzlist"/>
        <w:numPr>
          <w:ilvl w:val="0"/>
          <w:numId w:val="33"/>
        </w:numPr>
        <w:contextualSpacing w:val="0"/>
      </w:pPr>
      <w:r w:rsidRPr="003C0C07">
        <w:t xml:space="preserve">Wykonawca przeniesie na Zamawiającego autorskie prawa majątkowe do Utworów w rozumieniu ustawy z dnia 4 lutego 1994 o Prawie autorskim i prawach pokrewnych (tj. Dz. U. z 2019 r. poz. 1231 ze zm.) powstałych w ramach realizacji Umowy (zwanych dalej: </w:t>
      </w:r>
      <w:r w:rsidRPr="003C0C07">
        <w:rPr>
          <w:b/>
          <w:bCs/>
        </w:rPr>
        <w:t>„Utworami”</w:t>
      </w:r>
      <w:r w:rsidRPr="003C0C07">
        <w:t>). Przeniesienie majątkowych praw autorskich na Zamawiającego nastąpi z chwilą akceptacji przez Zamawiającego projektów Utworów i obejmie następujące pola eksploatacji:</w:t>
      </w:r>
    </w:p>
    <w:p w14:paraId="7730394B" w14:textId="77777777" w:rsidR="0011788B" w:rsidRPr="003C0C07" w:rsidRDefault="0011788B" w:rsidP="0011788B">
      <w:pPr>
        <w:pStyle w:val="Akapitzlist"/>
        <w:numPr>
          <w:ilvl w:val="1"/>
          <w:numId w:val="33"/>
        </w:numPr>
        <w:contextualSpacing w:val="0"/>
      </w:pPr>
      <w:r w:rsidRPr="003C0C07">
        <w:t xml:space="preserve">wszelkie utrwalanie i zwielokrotnianie, w tym w celach nadawczych, obejmujące  wytwarzanie każdą dowolną techniką dowolnej liczby egzemplarzy, w tym techniką drukarską, kserograficzną, zapisu magnetycznego, mechanicznego lub innego, techniką analogową lub cyfrową, laserową, elektroniczną, fotograficzną, optyczną, w dowolnym systemie lub formacie, na wszelkich nośnikach, w tym nośnikach audio lub video, światłoczułych, magnetycznych, optycznych, dyskach, kościach pamięci, nośnikach komputerowych i innych nośnikach zapisów i pamięci; </w:t>
      </w:r>
    </w:p>
    <w:p w14:paraId="1012ED5B" w14:textId="77777777" w:rsidR="0011788B" w:rsidRPr="003C0C07" w:rsidRDefault="0011788B" w:rsidP="0011788B">
      <w:pPr>
        <w:pStyle w:val="Akapitzlist"/>
        <w:numPr>
          <w:ilvl w:val="1"/>
          <w:numId w:val="33"/>
        </w:numPr>
        <w:contextualSpacing w:val="0"/>
      </w:pPr>
      <w:r w:rsidRPr="003C0C07">
        <w:t>wprowadzenie do obrotu oryginałów lub egzemplarzy, bez żadnych ograniczeń ilościowych;</w:t>
      </w:r>
    </w:p>
    <w:p w14:paraId="41288052" w14:textId="77777777" w:rsidR="0011788B" w:rsidRPr="003C0C07" w:rsidRDefault="0011788B" w:rsidP="0011788B">
      <w:pPr>
        <w:pStyle w:val="Akapitzlist"/>
        <w:numPr>
          <w:ilvl w:val="1"/>
          <w:numId w:val="33"/>
        </w:numPr>
        <w:contextualSpacing w:val="0"/>
      </w:pPr>
      <w:r w:rsidRPr="003C0C07">
        <w:t>użyczenie, najem, odpłatne lub nieodpłatne udostępnienie oryginału lub egzemplarzy osobom trzecim;</w:t>
      </w:r>
    </w:p>
    <w:p w14:paraId="49CF8F79" w14:textId="77777777" w:rsidR="0011788B" w:rsidRPr="003C0C07" w:rsidRDefault="0011788B" w:rsidP="0011788B">
      <w:pPr>
        <w:pStyle w:val="Akapitzlist"/>
        <w:numPr>
          <w:ilvl w:val="1"/>
          <w:numId w:val="33"/>
        </w:numPr>
        <w:contextualSpacing w:val="0"/>
      </w:pPr>
      <w:r w:rsidRPr="003C0C07">
        <w:t>wprowadzanie do pamięci komputera, w tym spełniających rolę serwerów oraz do sieci multimedialnych;</w:t>
      </w:r>
    </w:p>
    <w:p w14:paraId="3ABFEBF3" w14:textId="77777777" w:rsidR="0011788B" w:rsidRPr="003C0C07" w:rsidRDefault="0011788B" w:rsidP="0011788B">
      <w:pPr>
        <w:pStyle w:val="Akapitzlist"/>
        <w:numPr>
          <w:ilvl w:val="1"/>
          <w:numId w:val="33"/>
        </w:numPr>
        <w:contextualSpacing w:val="0"/>
      </w:pPr>
      <w:r w:rsidRPr="003C0C07">
        <w:t xml:space="preserve">wszelkie nadawanie i reemitowanie, w tym za pomocą wizji lub fonii przewodowej lub bezprzewodowej, przez stacje naziemne, za pośrednictwem satelity, w sieciach kablowych, telekomunikacyjnych lub multimedialnych lub innych systemach przekazu (w tym tzw. </w:t>
      </w:r>
      <w:proofErr w:type="spellStart"/>
      <w:r w:rsidRPr="003C0C07">
        <w:t>simulcasting</w:t>
      </w:r>
      <w:proofErr w:type="spellEnd"/>
      <w:r w:rsidRPr="003C0C07">
        <w:t xml:space="preserve"> lub </w:t>
      </w:r>
      <w:proofErr w:type="spellStart"/>
      <w:r w:rsidRPr="003C0C07">
        <w:t>webcasting</w:t>
      </w:r>
      <w:proofErr w:type="spellEnd"/>
      <w:r w:rsidRPr="003C0C07">
        <w:t>), w sposób niekodowany lub kodowany, w obiegu otwartym lub zamkniętym, w jakiejkolwiek technice (w tym analogowej lub cyfrowej), systemie lub formacie, z lub bez możliwości zapisu, w tym także w serwisach tekstowych, multimedialnych, internetowych, telefonicznych lub telekomunikacyjnych;</w:t>
      </w:r>
    </w:p>
    <w:p w14:paraId="6FCB9EB1" w14:textId="77777777" w:rsidR="0011788B" w:rsidRPr="003C0C07" w:rsidRDefault="0011788B" w:rsidP="0011788B">
      <w:pPr>
        <w:pStyle w:val="Akapitzlist"/>
        <w:numPr>
          <w:ilvl w:val="1"/>
          <w:numId w:val="33"/>
        </w:numPr>
        <w:contextualSpacing w:val="0"/>
      </w:pPr>
      <w:r w:rsidRPr="003C0C07">
        <w:lastRenderedPageBreak/>
        <w:t>rozpowszechnianie w inny sposób, w tym wszelkie publiczne udostępnianie w taki sposób, aby każdy mógł mieć do nich dostęp w miejscu i czasie przez siebie wybranym, w tym poprzez stacje naziemne, za pośrednictwem satelity, sieci kablowych, telekomunikacyjnych lub multimedialnych, baz danych, serwerów lub innych urządzeń i systemów, w tym także osób trzecich, w obiegu otwartym lub zamkniętym, w jakiejkolwiek technice, systemie lub formacie, z lub bez możliwości zapisu, w tym też w serwisach, o których mowa w lit. e;</w:t>
      </w:r>
    </w:p>
    <w:p w14:paraId="7193EF33" w14:textId="77777777" w:rsidR="0011788B" w:rsidRPr="003C0C07" w:rsidRDefault="0011788B" w:rsidP="0011788B">
      <w:pPr>
        <w:pStyle w:val="Akapitzlist"/>
        <w:numPr>
          <w:ilvl w:val="1"/>
          <w:numId w:val="33"/>
        </w:numPr>
        <w:contextualSpacing w:val="0"/>
      </w:pPr>
      <w:r w:rsidRPr="003C0C07">
        <w:t>tłumaczenie, przystosowywanie, zmiany układu lub jakiekolwiek inne zmiany utworów będących programami komputerowymi.</w:t>
      </w:r>
    </w:p>
    <w:p w14:paraId="534C5DF4" w14:textId="77777777" w:rsidR="0011788B" w:rsidRPr="003C0C07" w:rsidRDefault="0011788B" w:rsidP="0011788B">
      <w:pPr>
        <w:pStyle w:val="Akapitzlist"/>
        <w:numPr>
          <w:ilvl w:val="0"/>
          <w:numId w:val="33"/>
        </w:numPr>
        <w:contextualSpacing w:val="0"/>
      </w:pPr>
      <w:r w:rsidRPr="003C0C07">
        <w:t>W ramach Wynagrodzenia, Wykonawca zezwoli Zamawiającemu na rozporządzanie i korzystanie z opracowań Utworów oraz przeniesie na Zamawiającego prawo zezwalania na wykonywanie zależnych praw autorskich do nich, na polach eksploatacji wymienionych w ust. 2.</w:t>
      </w:r>
    </w:p>
    <w:p w14:paraId="33BD3F2B" w14:textId="77777777" w:rsidR="0011788B" w:rsidRPr="003C0C07" w:rsidRDefault="0011788B" w:rsidP="0011788B">
      <w:pPr>
        <w:pStyle w:val="Akapitzlist"/>
        <w:numPr>
          <w:ilvl w:val="0"/>
          <w:numId w:val="33"/>
        </w:numPr>
        <w:contextualSpacing w:val="0"/>
      </w:pPr>
      <w:r w:rsidRPr="003C0C07">
        <w:t>Wykonawca oświadczy, że Utwory nie będą naruszać niczyich praw, w szczególności praw własności intelektualnej, w tym praw autorskich i praw pokrewnych, oraz że w chwili przejścia na Zamawiającego praw autorskich do tych Utworów będą one wolne od obciążeń prawami na rzecz osób trzecich, a także, że osoby uprawnione z tytułu osobistych praw autorskich i praw pokrewnych zobowiązały się do niewykonywania przysługujących im praw w stosunku do Zamawiającego lub jego następców prawnych i upoważnią Zamawiającego do:</w:t>
      </w:r>
    </w:p>
    <w:p w14:paraId="7E2D332D" w14:textId="77777777" w:rsidR="0011788B" w:rsidRPr="003C0C07" w:rsidRDefault="0011788B" w:rsidP="0011788B">
      <w:pPr>
        <w:pStyle w:val="Akapitzlist"/>
        <w:numPr>
          <w:ilvl w:val="1"/>
          <w:numId w:val="33"/>
        </w:numPr>
        <w:contextualSpacing w:val="0"/>
      </w:pPr>
      <w:r w:rsidRPr="003C0C07">
        <w:t>decydowania w imieniu autora o pierwszym publicznym udostępnieniu Utworów;</w:t>
      </w:r>
    </w:p>
    <w:p w14:paraId="27114E65" w14:textId="77777777" w:rsidR="0011788B" w:rsidRPr="003C0C07" w:rsidRDefault="0011788B" w:rsidP="0011788B">
      <w:pPr>
        <w:pStyle w:val="Akapitzlist"/>
        <w:numPr>
          <w:ilvl w:val="1"/>
          <w:numId w:val="33"/>
        </w:numPr>
        <w:contextualSpacing w:val="0"/>
      </w:pPr>
      <w:r w:rsidRPr="003C0C07">
        <w:t>przeprowadzenia w imieniu autora nadzoru autorskiego nad sposobem korzystania z Utworów;</w:t>
      </w:r>
    </w:p>
    <w:p w14:paraId="5DF934B5" w14:textId="77777777" w:rsidR="0011788B" w:rsidRPr="003C0C07" w:rsidRDefault="0011788B" w:rsidP="0011788B">
      <w:pPr>
        <w:pStyle w:val="Akapitzlist"/>
        <w:numPr>
          <w:ilvl w:val="1"/>
          <w:numId w:val="33"/>
        </w:numPr>
        <w:contextualSpacing w:val="0"/>
      </w:pPr>
      <w:r w:rsidRPr="003C0C07">
        <w:t>udostępniania Utworów anonimowo.</w:t>
      </w:r>
    </w:p>
    <w:p w14:paraId="3C67F08D" w14:textId="77777777" w:rsidR="0011788B" w:rsidRPr="003C0C07" w:rsidRDefault="0011788B" w:rsidP="0011788B">
      <w:pPr>
        <w:pStyle w:val="Akapitzlist"/>
        <w:numPr>
          <w:ilvl w:val="0"/>
          <w:numId w:val="33"/>
        </w:numPr>
        <w:contextualSpacing w:val="0"/>
      </w:pPr>
      <w:r w:rsidRPr="003C0C07">
        <w:t>Przeniesienie autorskich praw majątkowych, o którym mowa w ust. 2, udzielenie zezwolenia, o którym mowa w ust. 3, oraz upoważnień, o których mowa w ust. 4, nie jest limitowane co do terytorium i obejmuje rozporządzanie i korzystanie z Utworów i ich opracowań zarówno w całości, jak i w częściach, samodzielnie, jak i w ramach materiałów wydawanych przez Zamawiającego.</w:t>
      </w:r>
    </w:p>
    <w:p w14:paraId="7A84212B" w14:textId="54F6C188" w:rsidR="0011788B" w:rsidRPr="003C0C07" w:rsidRDefault="0011788B" w:rsidP="0011788B">
      <w:pPr>
        <w:pStyle w:val="Akapitzlist"/>
        <w:numPr>
          <w:ilvl w:val="0"/>
          <w:numId w:val="33"/>
        </w:numPr>
        <w:contextualSpacing w:val="0"/>
      </w:pPr>
      <w:r w:rsidRPr="003C0C07">
        <w:t>Przeniesienie autorskich praw majątkowych oraz udzielenie zezwolenia</w:t>
      </w:r>
      <w:bookmarkStart w:id="0" w:name="_Hlk70693685"/>
      <w:r w:rsidRPr="003C0C07">
        <w:t xml:space="preserve">, o którym mowa w ust. 3 i upoważnienia, o którym mowa w ust. 4, </w:t>
      </w:r>
      <w:bookmarkEnd w:id="0"/>
      <w:r w:rsidR="00B432AE">
        <w:t>jest limitowane okresem 5 lat dla utworów uwzględniających wykorzystanie wizerunku. Przeniesienie praw majątkowych oraz udzielenie zezwolenia</w:t>
      </w:r>
      <w:r w:rsidR="00B432AE" w:rsidRPr="00B432AE">
        <w:t xml:space="preserve">, o którym mowa w ust. 3 i upoważnienia, o którym mowa w ust. 4, </w:t>
      </w:r>
      <w:r w:rsidRPr="003C0C07">
        <w:t>nie jest limitowane co do czasu</w:t>
      </w:r>
      <w:r w:rsidR="00B432AE">
        <w:t xml:space="preserve"> dla pozostałych utworów</w:t>
      </w:r>
      <w:r w:rsidRPr="003C0C07">
        <w:t>.</w:t>
      </w:r>
    </w:p>
    <w:p w14:paraId="39F9678E" w14:textId="77777777" w:rsidR="0011788B" w:rsidRPr="003C0C07" w:rsidRDefault="0011788B" w:rsidP="0011788B">
      <w:pPr>
        <w:pStyle w:val="Akapitzlist"/>
        <w:numPr>
          <w:ilvl w:val="0"/>
          <w:numId w:val="33"/>
        </w:numPr>
        <w:contextualSpacing w:val="0"/>
      </w:pPr>
      <w:r w:rsidRPr="003C0C07">
        <w:t xml:space="preserve">Wykonawca zapewni, że rozpowszechnianie wizerunków osób występujących w Utworach, jako integralnej części Utworów lub ich fragmentów, nie będzie naruszało praw tych osób. Na żądanie Zamawiającego Wykonawca przedstawi pisemną zgodę osób, których wizerunek został utrwalony w Utworach, na rozpowszechnianie ich wizerunku lub dowód uiszczenia tym osobom opłaty za pozowanie, chyba że zachodzą okoliczności wskazane w art. 81 ust. 2 ustawy z dnia 4 lutego 1994 r. o Prawie autorskim i prawach pokrewnych. </w:t>
      </w:r>
    </w:p>
    <w:p w14:paraId="30069305" w14:textId="77777777" w:rsidR="0011788B" w:rsidRPr="003C0C07" w:rsidRDefault="0011788B" w:rsidP="0011788B">
      <w:pPr>
        <w:pStyle w:val="Akapitzlist"/>
        <w:numPr>
          <w:ilvl w:val="0"/>
          <w:numId w:val="33"/>
        </w:numPr>
        <w:contextualSpacing w:val="0"/>
      </w:pPr>
      <w:r w:rsidRPr="003C0C07">
        <w:t xml:space="preserve">Wykonawca zapewni Zamawiającemu wszelkie niezbędne licencje do oprogramowania stworzonego przez strony trzecie, a wykorzystywanego przez Wykonawcę przy tworzeniu Utworów. W tym zakresie Wykonawca zobowiązuje się nabyć wszelkie niezbędne licencje z prawem udzielania dalszych licencji lub zapewni bezpośrednio od producenta lub dystrybutora oprogramowania, które zostało użyte przy tworzeniu Utworu. </w:t>
      </w:r>
    </w:p>
    <w:p w14:paraId="0742F7E5" w14:textId="77777777" w:rsidR="0011788B" w:rsidRPr="003C0C07" w:rsidRDefault="0011788B" w:rsidP="0011788B">
      <w:pPr>
        <w:pStyle w:val="Akapitzlist"/>
        <w:numPr>
          <w:ilvl w:val="0"/>
          <w:numId w:val="33"/>
        </w:numPr>
        <w:contextualSpacing w:val="0"/>
      </w:pPr>
      <w:r w:rsidRPr="003C0C07">
        <w:lastRenderedPageBreak/>
        <w:t>Wykonawca, w ramach Wynagrodzenia, przeniesie na Zamawiającego prawo własności do wszelkich nośników (dyski, płyty CD, płyty DVD itp.), na których utrwalono Utwory bądź jakiekolwiek ich elementy.</w:t>
      </w:r>
    </w:p>
    <w:p w14:paraId="2F2CADD6" w14:textId="77777777" w:rsidR="0011788B" w:rsidRPr="003C0C07" w:rsidRDefault="0011788B" w:rsidP="0011788B">
      <w:pPr>
        <w:pStyle w:val="Akapitzlist"/>
        <w:numPr>
          <w:ilvl w:val="0"/>
          <w:numId w:val="33"/>
        </w:numPr>
        <w:contextualSpacing w:val="0"/>
      </w:pPr>
      <w:r w:rsidRPr="003C0C07">
        <w:t xml:space="preserve">Wykonawca zapewni, że zakres posiadanych przez niego praw autorskich do Utworów jest lub najpóźniej w momencie zaakceptowania przez Zamawiającego danego Utworu będzie wystarczający do należytego wykonania Przedmiotu Umowy i przeniesienia na Zamawiającego praw autorskich majątkowych, praw zależnych do Utworów, upoważnień, o których mowa w ust. 4 oraz prawa do korzystania i rozporządzania Utworami w zakresie uregulowanym Umową. </w:t>
      </w:r>
    </w:p>
    <w:p w14:paraId="6015B392" w14:textId="77777777" w:rsidR="0011788B" w:rsidRPr="003C0C07" w:rsidRDefault="0011788B" w:rsidP="0011788B">
      <w:pPr>
        <w:pStyle w:val="Akapitzlist"/>
        <w:numPr>
          <w:ilvl w:val="0"/>
          <w:numId w:val="33"/>
        </w:numPr>
        <w:contextualSpacing w:val="0"/>
      </w:pPr>
      <w:r w:rsidRPr="003C0C07">
        <w:t>Wykonawca zapewni sobie przeniesienie autorskich praw majątkowych i praw zależnych, na polach eksploatacji wskazanych w ust. 2, oraz uzyska upoważnienie, o którym mowa w ust. 4, oraz zgody lub dowody uiszczenia zapłaty za pozowanie, o których mowa w ust. 7, od Podwykonawców. Do praw tych stosuje się ust. 2-10.</w:t>
      </w:r>
    </w:p>
    <w:p w14:paraId="3B96D729" w14:textId="77777777" w:rsidR="0011788B" w:rsidRPr="003C0C07" w:rsidRDefault="0011788B" w:rsidP="0011788B">
      <w:pPr>
        <w:pStyle w:val="Akapitzlist"/>
        <w:numPr>
          <w:ilvl w:val="0"/>
          <w:numId w:val="33"/>
        </w:numPr>
        <w:contextualSpacing w:val="0"/>
      </w:pPr>
      <w:r w:rsidRPr="003C0C07">
        <w:t>Na wszystkich Utworach powstałych w ramach Kampanii oraz materiałach wytworzonych w ramach Kampanii Wykonawca zamieści następujące oznaczenia:</w:t>
      </w:r>
    </w:p>
    <w:p w14:paraId="24C901AF" w14:textId="77777777" w:rsidR="0011788B" w:rsidRPr="003C0C07" w:rsidRDefault="0011788B" w:rsidP="0011788B">
      <w:pPr>
        <w:pStyle w:val="Akapitzlist"/>
        <w:numPr>
          <w:ilvl w:val="1"/>
          <w:numId w:val="33"/>
        </w:numPr>
        <w:contextualSpacing w:val="0"/>
      </w:pPr>
      <w:r w:rsidRPr="003C0C07">
        <w:t>logotyp Ministerstwa Klimatu i Środowiska</w:t>
      </w:r>
      <w:r w:rsidRPr="003C0C07">
        <w:rPr>
          <w:rStyle w:val="Odwoanieprzypisudolnego"/>
        </w:rPr>
        <w:footnoteReference w:id="1"/>
      </w:r>
      <w:r w:rsidRPr="003C0C07">
        <w:t>,</w:t>
      </w:r>
    </w:p>
    <w:p w14:paraId="4E525C7B" w14:textId="77777777" w:rsidR="0011788B" w:rsidRPr="003C0C07" w:rsidRDefault="0011788B" w:rsidP="0011788B">
      <w:pPr>
        <w:pStyle w:val="Akapitzlist"/>
        <w:numPr>
          <w:ilvl w:val="1"/>
          <w:numId w:val="33"/>
        </w:numPr>
        <w:contextualSpacing w:val="0"/>
      </w:pPr>
      <w:r w:rsidRPr="003C0C07">
        <w:t>logotyp Narodowego Funduszu Ochrony Środowiska i Gospodarki Wodnej</w:t>
      </w:r>
      <w:r w:rsidRPr="003C0C07">
        <w:rPr>
          <w:rStyle w:val="Odwoanieprzypisudolnego"/>
        </w:rPr>
        <w:footnoteReference w:id="2"/>
      </w:r>
      <w:r w:rsidRPr="003C0C07">
        <w:t xml:space="preserve"> wraz z informacją: „Sfinansowano ze środków Narodowego Funduszu Ochrony Środowiska i Gospodarki Wodnej”,</w:t>
      </w:r>
    </w:p>
    <w:p w14:paraId="48B2C695" w14:textId="77777777" w:rsidR="0011788B" w:rsidRPr="003C0C07" w:rsidRDefault="0011788B" w:rsidP="0011788B">
      <w:pPr>
        <w:pStyle w:val="Akapitzlist"/>
        <w:numPr>
          <w:ilvl w:val="1"/>
          <w:numId w:val="33"/>
        </w:numPr>
        <w:contextualSpacing w:val="0"/>
      </w:pPr>
      <w:r w:rsidRPr="003C0C07">
        <w:t>logotyp PEP2040,</w:t>
      </w:r>
    </w:p>
    <w:p w14:paraId="0D790B30" w14:textId="266894FA" w:rsidR="0011788B" w:rsidRPr="003C0C07" w:rsidRDefault="0011788B" w:rsidP="0011788B">
      <w:pPr>
        <w:pStyle w:val="Akapitzlist"/>
        <w:numPr>
          <w:ilvl w:val="1"/>
          <w:numId w:val="33"/>
        </w:numPr>
        <w:contextualSpacing w:val="0"/>
      </w:pPr>
      <w:r w:rsidRPr="003C0C07">
        <w:t xml:space="preserve">logotyp i hasło Kampanii oraz link do </w:t>
      </w:r>
      <w:r w:rsidR="00864D46">
        <w:t>strony</w:t>
      </w:r>
      <w:r w:rsidRPr="003C0C07">
        <w:t xml:space="preserve"> internetowej Zamawiającego (</w:t>
      </w:r>
      <w:hyperlink r:id="rId8" w:history="1">
        <w:r w:rsidRPr="003C0C07">
          <w:rPr>
            <w:rStyle w:val="Hipercze"/>
          </w:rPr>
          <w:t>www.gov.pl/klimat</w:t>
        </w:r>
      </w:hyperlink>
      <w:r w:rsidRPr="003C0C07">
        <w:t>).</w:t>
      </w:r>
    </w:p>
    <w:p w14:paraId="77AEE7BB" w14:textId="77777777" w:rsidR="0011788B" w:rsidRPr="003C0C07" w:rsidRDefault="0011788B" w:rsidP="0011788B">
      <w:pPr>
        <w:pStyle w:val="Akapitzlist"/>
        <w:numPr>
          <w:ilvl w:val="0"/>
          <w:numId w:val="33"/>
        </w:numPr>
        <w:contextualSpacing w:val="0"/>
      </w:pPr>
      <w:r w:rsidRPr="003C0C07">
        <w:t>Obowiązek Wykonawcy, o którym mowa w ust. 12, nie dotyczy wyjątkowych sytuacji, jeśli na danym Utworze lub materiale wytworzonym lub używanym w ramach Kampanii nie ma możliwości zamieszczenia oznaczeń, o których mowa w ust. 12, a Zamawiający wyrazi zgodę na niezamieszczanie przez Wykonawcę wskazanego oznaczenia na danym Utworze lub materiale.</w:t>
      </w:r>
    </w:p>
    <w:p w14:paraId="0BFCF316" w14:textId="77777777" w:rsidR="0011788B" w:rsidRPr="003C0C07" w:rsidRDefault="0011788B" w:rsidP="0011788B">
      <w:pPr>
        <w:pStyle w:val="Akapitzlist"/>
        <w:numPr>
          <w:ilvl w:val="0"/>
          <w:numId w:val="33"/>
        </w:numPr>
        <w:contextualSpacing w:val="0"/>
      </w:pPr>
      <w:r w:rsidRPr="003C0C07">
        <w:t xml:space="preserve">Wykonawca nie może: </w:t>
      </w:r>
    </w:p>
    <w:p w14:paraId="02065A1A" w14:textId="77777777" w:rsidR="0011788B" w:rsidRPr="003C0C07" w:rsidRDefault="0011788B" w:rsidP="0011788B">
      <w:pPr>
        <w:pStyle w:val="Akapitzlist"/>
        <w:numPr>
          <w:ilvl w:val="1"/>
          <w:numId w:val="33"/>
        </w:numPr>
        <w:contextualSpacing w:val="0"/>
      </w:pPr>
      <w:r w:rsidRPr="003C0C07">
        <w:t>stosować form marketingu, które są niezgodne z obowiązującymi przepisami prawa oraz Kodeksem Etyki Reklamy;</w:t>
      </w:r>
    </w:p>
    <w:p w14:paraId="48BB5962" w14:textId="77777777" w:rsidR="0011788B" w:rsidRPr="003C0C07" w:rsidRDefault="0011788B" w:rsidP="0011788B">
      <w:pPr>
        <w:pStyle w:val="Akapitzlist"/>
        <w:numPr>
          <w:ilvl w:val="1"/>
          <w:numId w:val="33"/>
        </w:numPr>
        <w:contextualSpacing w:val="0"/>
      </w:pPr>
      <w:r w:rsidRPr="003C0C07">
        <w:t>przekazywać dziennikarzom środków pieniężnych ani innych form wynagrodzenia w zamian za przygotowanie i publikowanie treści odredakcyjnych w mediach;</w:t>
      </w:r>
    </w:p>
    <w:p w14:paraId="5660D873" w14:textId="77777777" w:rsidR="0011788B" w:rsidRPr="003C0C07" w:rsidRDefault="0011788B" w:rsidP="0011788B">
      <w:pPr>
        <w:pStyle w:val="Akapitzlist"/>
        <w:numPr>
          <w:ilvl w:val="1"/>
          <w:numId w:val="33"/>
        </w:numPr>
        <w:contextualSpacing w:val="0"/>
      </w:pPr>
      <w:r w:rsidRPr="003C0C07">
        <w:t>promować konkretnych produktów i marek oraz łączyć wizerunku Zamawiającego z działalnością podmiotów komercyjnych (m.in. poprzez używanie nazw własnych produktów, ich opisów lub zdjęć);</w:t>
      </w:r>
    </w:p>
    <w:p w14:paraId="5C5C8812" w14:textId="77777777" w:rsidR="0011788B" w:rsidRPr="003C0C07" w:rsidRDefault="0011788B" w:rsidP="0011788B">
      <w:pPr>
        <w:pStyle w:val="Akapitzlist"/>
        <w:numPr>
          <w:ilvl w:val="1"/>
          <w:numId w:val="33"/>
        </w:numPr>
        <w:contextualSpacing w:val="0"/>
      </w:pPr>
      <w:r w:rsidRPr="003C0C07">
        <w:t>sztucznie generować wejść efektywnych na stronę internetową oraz na profile Zmawiającego w mediach społecznościowych.</w:t>
      </w:r>
    </w:p>
    <w:p w14:paraId="64DD01A3" w14:textId="77777777" w:rsidR="0011788B" w:rsidRPr="003C0C07" w:rsidRDefault="0011788B" w:rsidP="0011788B">
      <w:pPr>
        <w:pStyle w:val="Akapitzlist"/>
        <w:numPr>
          <w:ilvl w:val="0"/>
          <w:numId w:val="33"/>
        </w:numPr>
        <w:contextualSpacing w:val="0"/>
      </w:pPr>
      <w:r w:rsidRPr="003C0C07">
        <w:t>Wszelkie materiały i działania zrealizowane przez Wykonawcę w ramach Umowy będą wymagały uprzedniej akceptacji Zamawiającego.</w:t>
      </w:r>
    </w:p>
    <w:p w14:paraId="0D94C806" w14:textId="77777777" w:rsidR="0011788B" w:rsidRPr="003C0C07" w:rsidRDefault="0011788B" w:rsidP="0011788B">
      <w:pPr>
        <w:pStyle w:val="Akapitzlist"/>
        <w:numPr>
          <w:ilvl w:val="0"/>
          <w:numId w:val="33"/>
        </w:numPr>
        <w:contextualSpacing w:val="0"/>
      </w:pPr>
      <w:r w:rsidRPr="003C0C07">
        <w:lastRenderedPageBreak/>
        <w:t>Wszelkie materiały i działania zrealizowane przez Wykonawcę w ramach Umowy będą oparte na rzetelnej informacji pochodzącej wyłącznie ze sprawdzonych i niekomercyjnych źródeł, tj. m.in. ze stron rządowych, państwowych instytutów badawczych, państwowych instytucji naukowych i organizacji pozarządowych. Wykonawca zapewni weryfikację materiałów pod kątem merytorycznym przez ekspertów, w szczególności eksperta z zakresu energetyki, w tym działań na rzecz sprawiedliwej transformacji energetycznej</w:t>
      </w:r>
    </w:p>
    <w:p w14:paraId="1FCA40AF" w14:textId="77777777" w:rsidR="0011788B" w:rsidRPr="003C0C07" w:rsidRDefault="0011788B" w:rsidP="0011788B">
      <w:pPr>
        <w:pStyle w:val="Akapitzlist"/>
        <w:contextualSpacing w:val="0"/>
      </w:pPr>
      <w:r w:rsidRPr="003C0C07">
        <w:t>Wykonawca przedstawi Zamawiającemu do akceptacji propozycje ww. ekspertów.</w:t>
      </w:r>
    </w:p>
    <w:p w14:paraId="2D203D63" w14:textId="77777777" w:rsidR="0011788B" w:rsidRPr="003C0C07" w:rsidRDefault="0011788B" w:rsidP="0011788B">
      <w:pPr>
        <w:pStyle w:val="Akapitzlist"/>
        <w:numPr>
          <w:ilvl w:val="0"/>
          <w:numId w:val="33"/>
        </w:numPr>
        <w:contextualSpacing w:val="0"/>
      </w:pPr>
      <w:r w:rsidRPr="003C0C07">
        <w:t xml:space="preserve">Materiały przygotowywane przez Wykonawcę w ramach Kampanii w wersji elektronicznej i przeznaczone do publikacji na stronie www Zamawiającego (www.gov.pl/klimat) w zakładce będą spełniać warunek dostępności, zgodnie z obowiązującymi przepisami (ustawa z dnia 4 kwietnia 2019 r. o dostępności cyfrowej stron internetowych i aplikacji mobilnych podmiotów publicznych – Dz.U. 2019 poz.848 ze zm.). Materiały będą miały napisy, </w:t>
      </w:r>
      <w:proofErr w:type="spellStart"/>
      <w:r w:rsidRPr="003C0C07">
        <w:t>audiodyskrypcję</w:t>
      </w:r>
      <w:proofErr w:type="spellEnd"/>
      <w:r w:rsidRPr="003C0C07">
        <w:t>, a grafiki, jeśli nie są dostępne - opisy alternatywne. Wykonawca zapewni weryfikację materiałów przez eksperta od dostępności cyfrowej, w szczególności pod kątem zgodności z wymaganiami standardu WCAG 2.1.</w:t>
      </w:r>
    </w:p>
    <w:p w14:paraId="48DFC134" w14:textId="77777777" w:rsidR="0011788B" w:rsidRPr="003C0C07" w:rsidRDefault="0011788B" w:rsidP="0011788B">
      <w:pPr>
        <w:pStyle w:val="Akapitzlist"/>
        <w:numPr>
          <w:ilvl w:val="0"/>
          <w:numId w:val="33"/>
        </w:numPr>
        <w:contextualSpacing w:val="0"/>
      </w:pPr>
      <w:r w:rsidRPr="003C0C07">
        <w:t xml:space="preserve">Wykonawca zapozna się z treścią Polityki Środowiskowej, zamieszczonej na stronie internetowej Zamawiającego oraz oświadczy, że jest świadomy znaczenia zgodności z Polityką Środowiskową przy realizacji Kampanii. Oznacza to, że podczas realizacji zamówienia Wykonawca powinien np.: </w:t>
      </w:r>
    </w:p>
    <w:p w14:paraId="4B03B13F" w14:textId="77777777" w:rsidR="0011788B" w:rsidRPr="003C0C07" w:rsidRDefault="0011788B" w:rsidP="0011788B">
      <w:pPr>
        <w:pStyle w:val="Akapitzlist"/>
        <w:numPr>
          <w:ilvl w:val="1"/>
          <w:numId w:val="33"/>
        </w:numPr>
        <w:contextualSpacing w:val="0"/>
      </w:pPr>
      <w:r w:rsidRPr="003C0C07">
        <w:t>gospodarować odpadami, powstałych w wyniku realizacji zamówienia, zgodnie z obowiązującymi w tym zakresie przepisami;</w:t>
      </w:r>
    </w:p>
    <w:p w14:paraId="67B3910E" w14:textId="77777777" w:rsidR="0011788B" w:rsidRPr="003C0C07" w:rsidRDefault="0011788B" w:rsidP="0011788B">
      <w:pPr>
        <w:pStyle w:val="Akapitzlist"/>
        <w:numPr>
          <w:ilvl w:val="1"/>
          <w:numId w:val="33"/>
        </w:numPr>
        <w:contextualSpacing w:val="0"/>
      </w:pPr>
      <w:r w:rsidRPr="003C0C07">
        <w:t>prowadzić transport sprzętu i innych artykułów dla celów realizacji zamówienia w pojemnikach transportowych wielokrotnego użytku;</w:t>
      </w:r>
    </w:p>
    <w:p w14:paraId="6ED0B7C0" w14:textId="77777777" w:rsidR="0011788B" w:rsidRPr="003C0C07" w:rsidRDefault="0011788B" w:rsidP="0011788B">
      <w:pPr>
        <w:pStyle w:val="Akapitzlist"/>
        <w:numPr>
          <w:ilvl w:val="1"/>
          <w:numId w:val="33"/>
        </w:numPr>
        <w:contextualSpacing w:val="0"/>
      </w:pPr>
      <w:r w:rsidRPr="003C0C07">
        <w:t>przeprowadzać dostawy realizowane w ramach zamówienia poza godzinami szczytu, przez które rozumie się godziny od 7.00 do 9.00 i od 15.00 do 18.00 w dni robocze;</w:t>
      </w:r>
    </w:p>
    <w:p w14:paraId="58262FA5" w14:textId="77777777" w:rsidR="0011788B" w:rsidRPr="003C0C07" w:rsidRDefault="0011788B" w:rsidP="0011788B">
      <w:pPr>
        <w:pStyle w:val="Akapitzlist"/>
        <w:numPr>
          <w:ilvl w:val="1"/>
          <w:numId w:val="33"/>
        </w:numPr>
        <w:contextualSpacing w:val="0"/>
      </w:pPr>
      <w:r w:rsidRPr="003C0C07">
        <w:t>przygotować materiały prasowe wyłącznie w wersji elektronicznej (na nośniku lub udostępnione na stronie internetowej);</w:t>
      </w:r>
    </w:p>
    <w:p w14:paraId="4BFEA030" w14:textId="77777777" w:rsidR="0011788B" w:rsidRPr="003C0C07" w:rsidRDefault="0011788B" w:rsidP="0011788B">
      <w:pPr>
        <w:pStyle w:val="Akapitzlist"/>
        <w:numPr>
          <w:ilvl w:val="1"/>
          <w:numId w:val="33"/>
        </w:numPr>
        <w:contextualSpacing w:val="0"/>
      </w:pPr>
      <w:r w:rsidRPr="003C0C07">
        <w:t>organizować spotkania w miejscach, do których łatwo dojechać transportem publicznym.</w:t>
      </w:r>
    </w:p>
    <w:p w14:paraId="025423B6" w14:textId="77777777" w:rsidR="0011788B" w:rsidRPr="003C0C07" w:rsidRDefault="0011788B" w:rsidP="0011788B">
      <w:pPr>
        <w:pStyle w:val="Akapitzlist"/>
        <w:numPr>
          <w:ilvl w:val="0"/>
          <w:numId w:val="33"/>
        </w:numPr>
        <w:contextualSpacing w:val="0"/>
      </w:pPr>
      <w:r w:rsidRPr="003C0C07">
        <w:t xml:space="preserve">Informujemy, że wszelkie informacje na temat przetwarzania danych osobowych udostępnione są na stronie internetowej Ministerstwa Klimatu i Środowiska pod adresem: </w:t>
      </w:r>
      <w:hyperlink r:id="rId9" w:history="1">
        <w:r w:rsidRPr="003C0C07">
          <w:rPr>
            <w:rStyle w:val="Hipercze"/>
          </w:rPr>
          <w:t>www.gov.pl/web/klimat/dla-mediow</w:t>
        </w:r>
      </w:hyperlink>
      <w:r w:rsidRPr="003C0C07">
        <w:t>.</w:t>
      </w:r>
    </w:p>
    <w:p w14:paraId="7F158F81" w14:textId="77777777" w:rsidR="0011788B" w:rsidRPr="00CD3B4B" w:rsidRDefault="0011788B" w:rsidP="00F368E1"/>
    <w:sectPr w:rsidR="0011788B" w:rsidRPr="00CD3B4B" w:rsidSect="00C74C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2B04E" w14:textId="77777777" w:rsidR="00B22A78" w:rsidRDefault="00B22A78">
      <w:pPr>
        <w:spacing w:after="0" w:line="240" w:lineRule="auto"/>
      </w:pPr>
      <w:r>
        <w:separator/>
      </w:r>
    </w:p>
  </w:endnote>
  <w:endnote w:type="continuationSeparator" w:id="0">
    <w:p w14:paraId="60F3F081" w14:textId="77777777" w:rsidR="00B22A78" w:rsidRDefault="00B2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6C73" w14:textId="77777777" w:rsidR="00F368E1" w:rsidRDefault="00F368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3FE9" w14:textId="77777777" w:rsidR="00772F2A" w:rsidRDefault="00772F2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B00920D" w14:textId="77777777" w:rsidR="00772F2A" w:rsidRDefault="00772F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53A3" w14:textId="508E9607" w:rsidR="00772F2A" w:rsidRPr="000A3EFD" w:rsidRDefault="00772F2A" w:rsidP="00C74C90">
    <w:pPr>
      <w:pStyle w:val="Stopka"/>
      <w:spacing w:after="0"/>
      <w:jc w:val="center"/>
      <w:rPr>
        <w:rFonts w:cs="Times New Roman"/>
        <w:sz w:val="20"/>
        <w:szCs w:val="20"/>
      </w:rPr>
    </w:pPr>
    <w:r w:rsidRPr="000A3EFD">
      <w:rPr>
        <w:rFonts w:cs="Times New Roman"/>
        <w:sz w:val="20"/>
        <w:szCs w:val="20"/>
      </w:rPr>
      <w:t>ul. Wawelska 52/</w:t>
    </w:r>
    <w:r w:rsidR="00F368E1" w:rsidRPr="000A3EFD">
      <w:rPr>
        <w:rFonts w:cs="Times New Roman"/>
        <w:sz w:val="20"/>
        <w:szCs w:val="20"/>
      </w:rPr>
      <w:t>54, 00</w:t>
    </w:r>
    <w:r w:rsidRPr="000A3EFD">
      <w:rPr>
        <w:rFonts w:cs="Times New Roman"/>
        <w:sz w:val="20"/>
        <w:szCs w:val="20"/>
      </w:rPr>
      <w:t xml:space="preserve">-922 </w:t>
    </w:r>
    <w:proofErr w:type="gramStart"/>
    <w:r w:rsidRPr="000A3EFD">
      <w:rPr>
        <w:rFonts w:cs="Times New Roman"/>
        <w:sz w:val="20"/>
        <w:szCs w:val="20"/>
      </w:rPr>
      <w:t xml:space="preserve">Warszawa;  </w:t>
    </w:r>
    <w:r w:rsidRPr="00864B6B">
      <w:rPr>
        <w:rFonts w:cs="Times New Roman"/>
        <w:sz w:val="20"/>
        <w:szCs w:val="20"/>
      </w:rPr>
      <w:t>tel.</w:t>
    </w:r>
    <w:proofErr w:type="gramEnd"/>
    <w:r w:rsidRPr="00864B6B">
      <w:rPr>
        <w:rFonts w:cs="Times New Roman"/>
        <w:sz w:val="20"/>
        <w:szCs w:val="20"/>
      </w:rPr>
      <w:t xml:space="preserve"> (22) 36-92-350, faks: (22) 36-92-387</w:t>
    </w:r>
    <w:r w:rsidRPr="000A3EFD">
      <w:rPr>
        <w:rFonts w:cs="Times New Roman"/>
        <w:sz w:val="20"/>
        <w:szCs w:val="20"/>
      </w:rPr>
      <w:t>,  www.gov.pl/klimat</w:t>
    </w:r>
  </w:p>
  <w:p w14:paraId="0938570E" w14:textId="77777777" w:rsidR="00772F2A" w:rsidRPr="000A3EFD" w:rsidRDefault="00772F2A" w:rsidP="00C74C90">
    <w:pPr>
      <w:pStyle w:val="Stopka"/>
      <w:spacing w:after="0"/>
      <w:jc w:val="center"/>
      <w:rPr>
        <w:rFonts w:cs="Times New Roman"/>
      </w:rPr>
    </w:pPr>
    <w:r w:rsidRPr="000A3EFD">
      <w:rPr>
        <w:rFonts w:cs="Times New Roman"/>
        <w:sz w:val="20"/>
        <w:szCs w:val="20"/>
      </w:rPr>
      <w:t>Działamy zgodnie z EMAS - zarządzając instytucją dbamy o środowisko</w:t>
    </w:r>
  </w:p>
  <w:p w14:paraId="51706876" w14:textId="77777777" w:rsidR="00772F2A" w:rsidRPr="000A3EFD" w:rsidRDefault="00772F2A" w:rsidP="00C74C90">
    <w:pPr>
      <w:pStyle w:val="Stopka"/>
      <w:rPr>
        <w:rFonts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B2BE" w14:textId="77777777" w:rsidR="00B22A78" w:rsidRDefault="00B22A78">
      <w:pPr>
        <w:spacing w:after="0" w:line="240" w:lineRule="auto"/>
      </w:pPr>
      <w:r>
        <w:separator/>
      </w:r>
    </w:p>
  </w:footnote>
  <w:footnote w:type="continuationSeparator" w:id="0">
    <w:p w14:paraId="3A0CE9DA" w14:textId="77777777" w:rsidR="00B22A78" w:rsidRDefault="00B22A78">
      <w:pPr>
        <w:spacing w:after="0" w:line="240" w:lineRule="auto"/>
      </w:pPr>
      <w:r>
        <w:continuationSeparator/>
      </w:r>
    </w:p>
  </w:footnote>
  <w:footnote w:id="1">
    <w:p w14:paraId="70EAC186" w14:textId="77777777" w:rsidR="0011788B" w:rsidRDefault="0011788B" w:rsidP="0011788B">
      <w:pPr>
        <w:pStyle w:val="Tekstprzypisudolnego"/>
      </w:pPr>
      <w:r>
        <w:rPr>
          <w:rStyle w:val="Odwoanieprzypisudolnego"/>
        </w:rPr>
        <w:footnoteRef/>
      </w:r>
      <w:r>
        <w:t xml:space="preserve"> Zgodnie z księgą znaku: </w:t>
      </w:r>
      <w:r w:rsidRPr="00665B04">
        <w:t>https://www.gov.pl/web/klimat/logo-ministerstwa</w:t>
      </w:r>
    </w:p>
  </w:footnote>
  <w:footnote w:id="2">
    <w:p w14:paraId="790F2BAA" w14:textId="77777777" w:rsidR="0011788B" w:rsidRDefault="0011788B" w:rsidP="0011788B">
      <w:pPr>
        <w:pStyle w:val="Tekstprzypisudolnego"/>
      </w:pPr>
      <w:r>
        <w:rPr>
          <w:rStyle w:val="Odwoanieprzypisudolnego"/>
        </w:rPr>
        <w:footnoteRef/>
      </w:r>
      <w:r>
        <w:t xml:space="preserve"> Zgodnie z księgą znaku: </w:t>
      </w:r>
      <w:r w:rsidRPr="00665B04">
        <w:t>www.nfosigw.gov.pl/o-nfosigw/dla-mediow/logotypy/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7688" w14:textId="77777777" w:rsidR="00F368E1" w:rsidRDefault="00F36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5991" w14:textId="77777777" w:rsidR="00F368E1" w:rsidRDefault="00F368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4C82" w14:textId="77777777" w:rsidR="00772F2A" w:rsidRPr="00FE7408" w:rsidRDefault="00772F2A" w:rsidP="00C74C90">
    <w:pPr>
      <w:pStyle w:val="Nagwek"/>
      <w:tabs>
        <w:tab w:val="clear" w:pos="4536"/>
      </w:tabs>
      <w:ind w:left="-142"/>
      <w:rPr>
        <w:rFonts w:cs="Times New Roman"/>
        <w:color w:val="0D0D0D" w:themeColor="text1" w:themeTint="F2"/>
      </w:rPr>
    </w:pPr>
  </w:p>
  <w:p w14:paraId="6BFBC707" w14:textId="77777777" w:rsidR="00772F2A" w:rsidRPr="00FE7408" w:rsidRDefault="00772F2A" w:rsidP="00C74C90">
    <w:pPr>
      <w:pStyle w:val="Nagwek"/>
      <w:tabs>
        <w:tab w:val="clear" w:pos="4536"/>
      </w:tabs>
      <w:ind w:left="-142"/>
      <w:rPr>
        <w:rFonts w:cs="Times New Roman"/>
        <w:color w:val="0D0D0D" w:themeColor="text1" w:themeTint="F2"/>
        <w:sz w:val="16"/>
        <w:szCs w:val="16"/>
      </w:rPr>
    </w:pPr>
    <w:r>
      <w:rPr>
        <w:rFonts w:cs="Times New Roman"/>
        <w:noProof/>
        <w:color w:val="0D0D0D" w:themeColor="text1" w:themeTint="F2"/>
        <w:sz w:val="16"/>
        <w:szCs w:val="16"/>
      </w:rPr>
      <w:drawing>
        <wp:inline distT="0" distB="0" distL="0" distR="0" wp14:anchorId="018B83DA" wp14:editId="604DE3B0">
          <wp:extent cx="3105150" cy="66770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 Klimatu_B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0178" cy="6795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multilevel"/>
    <w:tmpl w:val="208AB94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927E01"/>
    <w:multiLevelType w:val="hybridMultilevel"/>
    <w:tmpl w:val="8D94EB68"/>
    <w:lvl w:ilvl="0" w:tplc="FE04AE0A">
      <w:start w:val="1"/>
      <w:numFmt w:val="decimal"/>
      <w:lvlText w:val="%1."/>
      <w:lvlJc w:val="left"/>
      <w:pPr>
        <w:ind w:left="1440" w:hanging="360"/>
      </w:pPr>
    </w:lvl>
    <w:lvl w:ilvl="1" w:tplc="39025660" w:tentative="1">
      <w:start w:val="1"/>
      <w:numFmt w:val="lowerLetter"/>
      <w:lvlText w:val="%2."/>
      <w:lvlJc w:val="left"/>
      <w:pPr>
        <w:ind w:left="2160" w:hanging="360"/>
      </w:pPr>
    </w:lvl>
    <w:lvl w:ilvl="2" w:tplc="2BD28222" w:tentative="1">
      <w:start w:val="1"/>
      <w:numFmt w:val="lowerRoman"/>
      <w:lvlText w:val="%3."/>
      <w:lvlJc w:val="right"/>
      <w:pPr>
        <w:ind w:left="2880" w:hanging="180"/>
      </w:pPr>
    </w:lvl>
    <w:lvl w:ilvl="3" w:tplc="CAFA726A" w:tentative="1">
      <w:start w:val="1"/>
      <w:numFmt w:val="decimal"/>
      <w:lvlText w:val="%4."/>
      <w:lvlJc w:val="left"/>
      <w:pPr>
        <w:ind w:left="3600" w:hanging="360"/>
      </w:pPr>
    </w:lvl>
    <w:lvl w:ilvl="4" w:tplc="D1345AE2" w:tentative="1">
      <w:start w:val="1"/>
      <w:numFmt w:val="lowerLetter"/>
      <w:lvlText w:val="%5."/>
      <w:lvlJc w:val="left"/>
      <w:pPr>
        <w:ind w:left="4320" w:hanging="360"/>
      </w:pPr>
    </w:lvl>
    <w:lvl w:ilvl="5" w:tplc="0B46001E" w:tentative="1">
      <w:start w:val="1"/>
      <w:numFmt w:val="lowerRoman"/>
      <w:lvlText w:val="%6."/>
      <w:lvlJc w:val="right"/>
      <w:pPr>
        <w:ind w:left="5040" w:hanging="180"/>
      </w:pPr>
    </w:lvl>
    <w:lvl w:ilvl="6" w:tplc="CF4C55C8" w:tentative="1">
      <w:start w:val="1"/>
      <w:numFmt w:val="decimal"/>
      <w:lvlText w:val="%7."/>
      <w:lvlJc w:val="left"/>
      <w:pPr>
        <w:ind w:left="5760" w:hanging="360"/>
      </w:pPr>
    </w:lvl>
    <w:lvl w:ilvl="7" w:tplc="3C30565A" w:tentative="1">
      <w:start w:val="1"/>
      <w:numFmt w:val="lowerLetter"/>
      <w:lvlText w:val="%8."/>
      <w:lvlJc w:val="left"/>
      <w:pPr>
        <w:ind w:left="6480" w:hanging="360"/>
      </w:pPr>
    </w:lvl>
    <w:lvl w:ilvl="8" w:tplc="31920A2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AD676E"/>
    <w:multiLevelType w:val="hybridMultilevel"/>
    <w:tmpl w:val="B1023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C6D19"/>
    <w:multiLevelType w:val="hybridMultilevel"/>
    <w:tmpl w:val="0B5AF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D6755"/>
    <w:multiLevelType w:val="hybridMultilevel"/>
    <w:tmpl w:val="0520D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22BC"/>
    <w:multiLevelType w:val="hybridMultilevel"/>
    <w:tmpl w:val="5BE4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20812"/>
    <w:multiLevelType w:val="hybridMultilevel"/>
    <w:tmpl w:val="963C0A2A"/>
    <w:lvl w:ilvl="0" w:tplc="050AC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34D140" w:tentative="1">
      <w:start w:val="1"/>
      <w:numFmt w:val="lowerLetter"/>
      <w:lvlText w:val="%2."/>
      <w:lvlJc w:val="left"/>
      <w:pPr>
        <w:ind w:left="1440" w:hanging="360"/>
      </w:pPr>
    </w:lvl>
    <w:lvl w:ilvl="2" w:tplc="2FE4C98E" w:tentative="1">
      <w:start w:val="1"/>
      <w:numFmt w:val="lowerRoman"/>
      <w:lvlText w:val="%3."/>
      <w:lvlJc w:val="right"/>
      <w:pPr>
        <w:ind w:left="2160" w:hanging="180"/>
      </w:pPr>
    </w:lvl>
    <w:lvl w:ilvl="3" w:tplc="0608BD52" w:tentative="1">
      <w:start w:val="1"/>
      <w:numFmt w:val="decimal"/>
      <w:lvlText w:val="%4."/>
      <w:lvlJc w:val="left"/>
      <w:pPr>
        <w:ind w:left="2880" w:hanging="360"/>
      </w:pPr>
    </w:lvl>
    <w:lvl w:ilvl="4" w:tplc="AABEB6FC" w:tentative="1">
      <w:start w:val="1"/>
      <w:numFmt w:val="lowerLetter"/>
      <w:lvlText w:val="%5."/>
      <w:lvlJc w:val="left"/>
      <w:pPr>
        <w:ind w:left="3600" w:hanging="360"/>
      </w:pPr>
    </w:lvl>
    <w:lvl w:ilvl="5" w:tplc="89CCDF48" w:tentative="1">
      <w:start w:val="1"/>
      <w:numFmt w:val="lowerRoman"/>
      <w:lvlText w:val="%6."/>
      <w:lvlJc w:val="right"/>
      <w:pPr>
        <w:ind w:left="4320" w:hanging="180"/>
      </w:pPr>
    </w:lvl>
    <w:lvl w:ilvl="6" w:tplc="631452D6" w:tentative="1">
      <w:start w:val="1"/>
      <w:numFmt w:val="decimal"/>
      <w:lvlText w:val="%7."/>
      <w:lvlJc w:val="left"/>
      <w:pPr>
        <w:ind w:left="5040" w:hanging="360"/>
      </w:pPr>
    </w:lvl>
    <w:lvl w:ilvl="7" w:tplc="6B3A16D0" w:tentative="1">
      <w:start w:val="1"/>
      <w:numFmt w:val="lowerLetter"/>
      <w:lvlText w:val="%8."/>
      <w:lvlJc w:val="left"/>
      <w:pPr>
        <w:ind w:left="5760" w:hanging="360"/>
      </w:pPr>
    </w:lvl>
    <w:lvl w:ilvl="8" w:tplc="8ABA7E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85010"/>
    <w:multiLevelType w:val="hybridMultilevel"/>
    <w:tmpl w:val="905A65B0"/>
    <w:lvl w:ilvl="0" w:tplc="AA10925A">
      <w:start w:val="1"/>
      <w:numFmt w:val="decimal"/>
      <w:lvlText w:val="%1."/>
      <w:lvlJc w:val="left"/>
      <w:pPr>
        <w:ind w:left="2421" w:hanging="360"/>
      </w:pPr>
    </w:lvl>
    <w:lvl w:ilvl="1" w:tplc="1A48B5B6" w:tentative="1">
      <w:start w:val="1"/>
      <w:numFmt w:val="lowerLetter"/>
      <w:lvlText w:val="%2."/>
      <w:lvlJc w:val="left"/>
      <w:pPr>
        <w:ind w:left="3141" w:hanging="360"/>
      </w:pPr>
    </w:lvl>
    <w:lvl w:ilvl="2" w:tplc="73B8E7A4" w:tentative="1">
      <w:start w:val="1"/>
      <w:numFmt w:val="lowerRoman"/>
      <w:lvlText w:val="%3."/>
      <w:lvlJc w:val="right"/>
      <w:pPr>
        <w:ind w:left="3861" w:hanging="180"/>
      </w:pPr>
    </w:lvl>
    <w:lvl w:ilvl="3" w:tplc="38C2F484" w:tentative="1">
      <w:start w:val="1"/>
      <w:numFmt w:val="decimal"/>
      <w:lvlText w:val="%4."/>
      <w:lvlJc w:val="left"/>
      <w:pPr>
        <w:ind w:left="4581" w:hanging="360"/>
      </w:pPr>
    </w:lvl>
    <w:lvl w:ilvl="4" w:tplc="0F349F3E" w:tentative="1">
      <w:start w:val="1"/>
      <w:numFmt w:val="lowerLetter"/>
      <w:lvlText w:val="%5."/>
      <w:lvlJc w:val="left"/>
      <w:pPr>
        <w:ind w:left="5301" w:hanging="360"/>
      </w:pPr>
    </w:lvl>
    <w:lvl w:ilvl="5" w:tplc="8782072E" w:tentative="1">
      <w:start w:val="1"/>
      <w:numFmt w:val="lowerRoman"/>
      <w:lvlText w:val="%6."/>
      <w:lvlJc w:val="right"/>
      <w:pPr>
        <w:ind w:left="6021" w:hanging="180"/>
      </w:pPr>
    </w:lvl>
    <w:lvl w:ilvl="6" w:tplc="C304EF06" w:tentative="1">
      <w:start w:val="1"/>
      <w:numFmt w:val="decimal"/>
      <w:lvlText w:val="%7."/>
      <w:lvlJc w:val="left"/>
      <w:pPr>
        <w:ind w:left="6741" w:hanging="360"/>
      </w:pPr>
    </w:lvl>
    <w:lvl w:ilvl="7" w:tplc="6908DDE6" w:tentative="1">
      <w:start w:val="1"/>
      <w:numFmt w:val="lowerLetter"/>
      <w:lvlText w:val="%8."/>
      <w:lvlJc w:val="left"/>
      <w:pPr>
        <w:ind w:left="7461" w:hanging="360"/>
      </w:pPr>
    </w:lvl>
    <w:lvl w:ilvl="8" w:tplc="45B0E4EE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1174521F"/>
    <w:multiLevelType w:val="hybridMultilevel"/>
    <w:tmpl w:val="FB8E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376D4"/>
    <w:multiLevelType w:val="hybridMultilevel"/>
    <w:tmpl w:val="E83A8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0747B"/>
    <w:multiLevelType w:val="hybridMultilevel"/>
    <w:tmpl w:val="A1FC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B053C"/>
    <w:multiLevelType w:val="hybridMultilevel"/>
    <w:tmpl w:val="0E06476A"/>
    <w:lvl w:ilvl="0" w:tplc="C85AC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22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84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8BA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28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940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E9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2CA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05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801BF"/>
    <w:multiLevelType w:val="hybridMultilevel"/>
    <w:tmpl w:val="72FA5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91CB2"/>
    <w:multiLevelType w:val="hybridMultilevel"/>
    <w:tmpl w:val="29D4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A0966"/>
    <w:multiLevelType w:val="hybridMultilevel"/>
    <w:tmpl w:val="5CBC12BA"/>
    <w:lvl w:ilvl="0" w:tplc="2C8C6E3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82B54"/>
    <w:multiLevelType w:val="hybridMultilevel"/>
    <w:tmpl w:val="FA68349E"/>
    <w:lvl w:ilvl="0" w:tplc="5456DB0A">
      <w:start w:val="1"/>
      <w:numFmt w:val="decimal"/>
      <w:lvlText w:val="%1."/>
      <w:lvlJc w:val="left"/>
      <w:pPr>
        <w:ind w:left="720" w:hanging="360"/>
      </w:pPr>
    </w:lvl>
    <w:lvl w:ilvl="1" w:tplc="8E1C4D12" w:tentative="1">
      <w:start w:val="1"/>
      <w:numFmt w:val="lowerLetter"/>
      <w:lvlText w:val="%2."/>
      <w:lvlJc w:val="left"/>
      <w:pPr>
        <w:ind w:left="1440" w:hanging="360"/>
      </w:pPr>
    </w:lvl>
    <w:lvl w:ilvl="2" w:tplc="3B2EE69E" w:tentative="1">
      <w:start w:val="1"/>
      <w:numFmt w:val="lowerRoman"/>
      <w:lvlText w:val="%3."/>
      <w:lvlJc w:val="right"/>
      <w:pPr>
        <w:ind w:left="2160" w:hanging="180"/>
      </w:pPr>
    </w:lvl>
    <w:lvl w:ilvl="3" w:tplc="E5EE8FC8" w:tentative="1">
      <w:start w:val="1"/>
      <w:numFmt w:val="decimal"/>
      <w:lvlText w:val="%4."/>
      <w:lvlJc w:val="left"/>
      <w:pPr>
        <w:ind w:left="2880" w:hanging="360"/>
      </w:pPr>
    </w:lvl>
    <w:lvl w:ilvl="4" w:tplc="52E0D0FC" w:tentative="1">
      <w:start w:val="1"/>
      <w:numFmt w:val="lowerLetter"/>
      <w:lvlText w:val="%5."/>
      <w:lvlJc w:val="left"/>
      <w:pPr>
        <w:ind w:left="3600" w:hanging="360"/>
      </w:pPr>
    </w:lvl>
    <w:lvl w:ilvl="5" w:tplc="CAFA6752" w:tentative="1">
      <w:start w:val="1"/>
      <w:numFmt w:val="lowerRoman"/>
      <w:lvlText w:val="%6."/>
      <w:lvlJc w:val="right"/>
      <w:pPr>
        <w:ind w:left="4320" w:hanging="180"/>
      </w:pPr>
    </w:lvl>
    <w:lvl w:ilvl="6" w:tplc="19089602" w:tentative="1">
      <w:start w:val="1"/>
      <w:numFmt w:val="decimal"/>
      <w:lvlText w:val="%7."/>
      <w:lvlJc w:val="left"/>
      <w:pPr>
        <w:ind w:left="5040" w:hanging="360"/>
      </w:pPr>
    </w:lvl>
    <w:lvl w:ilvl="7" w:tplc="419ECEF4" w:tentative="1">
      <w:start w:val="1"/>
      <w:numFmt w:val="lowerLetter"/>
      <w:lvlText w:val="%8."/>
      <w:lvlJc w:val="left"/>
      <w:pPr>
        <w:ind w:left="5760" w:hanging="360"/>
      </w:pPr>
    </w:lvl>
    <w:lvl w:ilvl="8" w:tplc="09962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35B3D"/>
    <w:multiLevelType w:val="hybridMultilevel"/>
    <w:tmpl w:val="1D743876"/>
    <w:lvl w:ilvl="0" w:tplc="93ACB744">
      <w:start w:val="1"/>
      <w:numFmt w:val="decimal"/>
      <w:lvlText w:val="%1."/>
      <w:lvlJc w:val="left"/>
      <w:pPr>
        <w:ind w:left="1440" w:hanging="360"/>
      </w:pPr>
    </w:lvl>
    <w:lvl w:ilvl="1" w:tplc="5844A6B2" w:tentative="1">
      <w:start w:val="1"/>
      <w:numFmt w:val="lowerLetter"/>
      <w:lvlText w:val="%2."/>
      <w:lvlJc w:val="left"/>
      <w:pPr>
        <w:ind w:left="2160" w:hanging="360"/>
      </w:pPr>
    </w:lvl>
    <w:lvl w:ilvl="2" w:tplc="7BD65226" w:tentative="1">
      <w:start w:val="1"/>
      <w:numFmt w:val="lowerRoman"/>
      <w:lvlText w:val="%3."/>
      <w:lvlJc w:val="right"/>
      <w:pPr>
        <w:ind w:left="2880" w:hanging="180"/>
      </w:pPr>
    </w:lvl>
    <w:lvl w:ilvl="3" w:tplc="D5F25EF4" w:tentative="1">
      <w:start w:val="1"/>
      <w:numFmt w:val="decimal"/>
      <w:lvlText w:val="%4."/>
      <w:lvlJc w:val="left"/>
      <w:pPr>
        <w:ind w:left="3600" w:hanging="360"/>
      </w:pPr>
    </w:lvl>
    <w:lvl w:ilvl="4" w:tplc="09C65EB6" w:tentative="1">
      <w:start w:val="1"/>
      <w:numFmt w:val="lowerLetter"/>
      <w:lvlText w:val="%5."/>
      <w:lvlJc w:val="left"/>
      <w:pPr>
        <w:ind w:left="4320" w:hanging="360"/>
      </w:pPr>
    </w:lvl>
    <w:lvl w:ilvl="5" w:tplc="F3A82F66" w:tentative="1">
      <w:start w:val="1"/>
      <w:numFmt w:val="lowerRoman"/>
      <w:lvlText w:val="%6."/>
      <w:lvlJc w:val="right"/>
      <w:pPr>
        <w:ind w:left="5040" w:hanging="180"/>
      </w:pPr>
    </w:lvl>
    <w:lvl w:ilvl="6" w:tplc="E5C0A600" w:tentative="1">
      <w:start w:val="1"/>
      <w:numFmt w:val="decimal"/>
      <w:lvlText w:val="%7."/>
      <w:lvlJc w:val="left"/>
      <w:pPr>
        <w:ind w:left="5760" w:hanging="360"/>
      </w:pPr>
    </w:lvl>
    <w:lvl w:ilvl="7" w:tplc="BCB02B62" w:tentative="1">
      <w:start w:val="1"/>
      <w:numFmt w:val="lowerLetter"/>
      <w:lvlText w:val="%8."/>
      <w:lvlJc w:val="left"/>
      <w:pPr>
        <w:ind w:left="6480" w:hanging="360"/>
      </w:pPr>
    </w:lvl>
    <w:lvl w:ilvl="8" w:tplc="D7765E7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513A03"/>
    <w:multiLevelType w:val="hybridMultilevel"/>
    <w:tmpl w:val="77B2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D34E1"/>
    <w:multiLevelType w:val="hybridMultilevel"/>
    <w:tmpl w:val="2AAEAF3A"/>
    <w:lvl w:ilvl="0" w:tplc="D6E23B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E1CB3"/>
    <w:multiLevelType w:val="hybridMultilevel"/>
    <w:tmpl w:val="A6DA8BAC"/>
    <w:lvl w:ilvl="0" w:tplc="4F9A39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E1EE1"/>
    <w:multiLevelType w:val="hybridMultilevel"/>
    <w:tmpl w:val="E32E1736"/>
    <w:lvl w:ilvl="0" w:tplc="D9A2D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47A0F"/>
    <w:multiLevelType w:val="hybridMultilevel"/>
    <w:tmpl w:val="E71A6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C6324"/>
    <w:multiLevelType w:val="hybridMultilevel"/>
    <w:tmpl w:val="3B303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42E1E"/>
    <w:multiLevelType w:val="hybridMultilevel"/>
    <w:tmpl w:val="2F3A2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032B1"/>
    <w:multiLevelType w:val="hybridMultilevel"/>
    <w:tmpl w:val="C722D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C6FD1"/>
    <w:multiLevelType w:val="multilevel"/>
    <w:tmpl w:val="455E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6" w15:restartNumberingAfterBreak="0">
    <w:nsid w:val="55E27AFD"/>
    <w:multiLevelType w:val="hybridMultilevel"/>
    <w:tmpl w:val="F986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A4B34"/>
    <w:multiLevelType w:val="hybridMultilevel"/>
    <w:tmpl w:val="2F3A2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1189C"/>
    <w:multiLevelType w:val="hybridMultilevel"/>
    <w:tmpl w:val="EBF2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00F7D"/>
    <w:multiLevelType w:val="hybridMultilevel"/>
    <w:tmpl w:val="434E8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248CF"/>
    <w:multiLevelType w:val="hybridMultilevel"/>
    <w:tmpl w:val="D804C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823BE"/>
    <w:multiLevelType w:val="hybridMultilevel"/>
    <w:tmpl w:val="0A664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15DEB"/>
    <w:multiLevelType w:val="hybridMultilevel"/>
    <w:tmpl w:val="CC162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64498"/>
    <w:multiLevelType w:val="hybridMultilevel"/>
    <w:tmpl w:val="7B781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B5995"/>
    <w:multiLevelType w:val="hybridMultilevel"/>
    <w:tmpl w:val="CD5A99EC"/>
    <w:lvl w:ilvl="0" w:tplc="3648B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65F6064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C72E4"/>
    <w:multiLevelType w:val="hybridMultilevel"/>
    <w:tmpl w:val="A5369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E34A4"/>
    <w:multiLevelType w:val="hybridMultilevel"/>
    <w:tmpl w:val="4F444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87C67"/>
    <w:multiLevelType w:val="hybridMultilevel"/>
    <w:tmpl w:val="98429E0E"/>
    <w:lvl w:ilvl="0" w:tplc="3F9A7892">
      <w:start w:val="1"/>
      <w:numFmt w:val="decimal"/>
      <w:lvlText w:val="%1."/>
      <w:lvlJc w:val="left"/>
      <w:pPr>
        <w:ind w:left="1440" w:hanging="360"/>
      </w:pPr>
    </w:lvl>
    <w:lvl w:ilvl="1" w:tplc="0A500DF2" w:tentative="1">
      <w:start w:val="1"/>
      <w:numFmt w:val="lowerLetter"/>
      <w:lvlText w:val="%2."/>
      <w:lvlJc w:val="left"/>
      <w:pPr>
        <w:ind w:left="2160" w:hanging="360"/>
      </w:pPr>
    </w:lvl>
    <w:lvl w:ilvl="2" w:tplc="57163B34" w:tentative="1">
      <w:start w:val="1"/>
      <w:numFmt w:val="lowerRoman"/>
      <w:lvlText w:val="%3."/>
      <w:lvlJc w:val="right"/>
      <w:pPr>
        <w:ind w:left="2880" w:hanging="180"/>
      </w:pPr>
    </w:lvl>
    <w:lvl w:ilvl="3" w:tplc="845410BC" w:tentative="1">
      <w:start w:val="1"/>
      <w:numFmt w:val="decimal"/>
      <w:lvlText w:val="%4."/>
      <w:lvlJc w:val="left"/>
      <w:pPr>
        <w:ind w:left="3600" w:hanging="360"/>
      </w:pPr>
    </w:lvl>
    <w:lvl w:ilvl="4" w:tplc="828A8608" w:tentative="1">
      <w:start w:val="1"/>
      <w:numFmt w:val="lowerLetter"/>
      <w:lvlText w:val="%5."/>
      <w:lvlJc w:val="left"/>
      <w:pPr>
        <w:ind w:left="4320" w:hanging="360"/>
      </w:pPr>
    </w:lvl>
    <w:lvl w:ilvl="5" w:tplc="51EA07A6" w:tentative="1">
      <w:start w:val="1"/>
      <w:numFmt w:val="lowerRoman"/>
      <w:lvlText w:val="%6."/>
      <w:lvlJc w:val="right"/>
      <w:pPr>
        <w:ind w:left="5040" w:hanging="180"/>
      </w:pPr>
    </w:lvl>
    <w:lvl w:ilvl="6" w:tplc="B2F61F48" w:tentative="1">
      <w:start w:val="1"/>
      <w:numFmt w:val="decimal"/>
      <w:lvlText w:val="%7."/>
      <w:lvlJc w:val="left"/>
      <w:pPr>
        <w:ind w:left="5760" w:hanging="360"/>
      </w:pPr>
    </w:lvl>
    <w:lvl w:ilvl="7" w:tplc="5E30ADCE" w:tentative="1">
      <w:start w:val="1"/>
      <w:numFmt w:val="lowerLetter"/>
      <w:lvlText w:val="%8."/>
      <w:lvlJc w:val="left"/>
      <w:pPr>
        <w:ind w:left="6480" w:hanging="360"/>
      </w:pPr>
    </w:lvl>
    <w:lvl w:ilvl="8" w:tplc="57E421CE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3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</w:num>
  <w:num w:numId="11">
    <w:abstractNumId w:val="18"/>
  </w:num>
  <w:num w:numId="12">
    <w:abstractNumId w:val="9"/>
  </w:num>
  <w:num w:numId="13">
    <w:abstractNumId w:val="35"/>
  </w:num>
  <w:num w:numId="14">
    <w:abstractNumId w:val="32"/>
  </w:num>
  <w:num w:numId="15">
    <w:abstractNumId w:val="30"/>
  </w:num>
  <w:num w:numId="16">
    <w:abstractNumId w:val="19"/>
  </w:num>
  <w:num w:numId="17">
    <w:abstractNumId w:val="21"/>
  </w:num>
  <w:num w:numId="18">
    <w:abstractNumId w:val="23"/>
  </w:num>
  <w:num w:numId="19">
    <w:abstractNumId w:val="26"/>
  </w:num>
  <w:num w:numId="20">
    <w:abstractNumId w:val="0"/>
  </w:num>
  <w:num w:numId="21">
    <w:abstractNumId w:val="25"/>
  </w:num>
  <w:num w:numId="22">
    <w:abstractNumId w:val="14"/>
  </w:num>
  <w:num w:numId="23">
    <w:abstractNumId w:val="28"/>
  </w:num>
  <w:num w:numId="24">
    <w:abstractNumId w:val="33"/>
  </w:num>
  <w:num w:numId="25">
    <w:abstractNumId w:val="5"/>
  </w:num>
  <w:num w:numId="26">
    <w:abstractNumId w:val="36"/>
  </w:num>
  <w:num w:numId="27">
    <w:abstractNumId w:val="4"/>
  </w:num>
  <w:num w:numId="28">
    <w:abstractNumId w:val="13"/>
  </w:num>
  <w:num w:numId="29">
    <w:abstractNumId w:val="22"/>
  </w:num>
  <w:num w:numId="30">
    <w:abstractNumId w:val="34"/>
  </w:num>
  <w:num w:numId="31">
    <w:abstractNumId w:val="17"/>
  </w:num>
  <w:num w:numId="32">
    <w:abstractNumId w:val="27"/>
  </w:num>
  <w:num w:numId="33">
    <w:abstractNumId w:val="3"/>
  </w:num>
  <w:num w:numId="34">
    <w:abstractNumId w:val="2"/>
  </w:num>
  <w:num w:numId="35">
    <w:abstractNumId w:val="20"/>
  </w:num>
  <w:num w:numId="36">
    <w:abstractNumId w:val="31"/>
  </w:num>
  <w:num w:numId="37">
    <w:abstractNumId w:val="8"/>
  </w:num>
  <w:num w:numId="38">
    <w:abstractNumId w:val="29"/>
  </w:num>
  <w:num w:numId="39">
    <w:abstractNumId w:val="10"/>
  </w:num>
  <w:num w:numId="40">
    <w:abstractNumId w:val="12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74"/>
    <w:rsid w:val="0000726B"/>
    <w:rsid w:val="000157A1"/>
    <w:rsid w:val="0001581A"/>
    <w:rsid w:val="00021FDF"/>
    <w:rsid w:val="0002316C"/>
    <w:rsid w:val="00063315"/>
    <w:rsid w:val="00072C1A"/>
    <w:rsid w:val="000858F3"/>
    <w:rsid w:val="000A7FCD"/>
    <w:rsid w:val="000C44DD"/>
    <w:rsid w:val="000F177F"/>
    <w:rsid w:val="0011788B"/>
    <w:rsid w:val="00154CE6"/>
    <w:rsid w:val="0016038B"/>
    <w:rsid w:val="00172A9A"/>
    <w:rsid w:val="00195AA6"/>
    <w:rsid w:val="00196384"/>
    <w:rsid w:val="00197B3A"/>
    <w:rsid w:val="001B5B79"/>
    <w:rsid w:val="001C305B"/>
    <w:rsid w:val="001C662A"/>
    <w:rsid w:val="0025047D"/>
    <w:rsid w:val="00264E4B"/>
    <w:rsid w:val="00265387"/>
    <w:rsid w:val="002A4F84"/>
    <w:rsid w:val="002B434F"/>
    <w:rsid w:val="002D0753"/>
    <w:rsid w:val="002D1F90"/>
    <w:rsid w:val="00323D56"/>
    <w:rsid w:val="003B4AB5"/>
    <w:rsid w:val="003C0C07"/>
    <w:rsid w:val="003D3160"/>
    <w:rsid w:val="003E182C"/>
    <w:rsid w:val="003E78D9"/>
    <w:rsid w:val="00477775"/>
    <w:rsid w:val="004C4832"/>
    <w:rsid w:val="004E45B8"/>
    <w:rsid w:val="00567DF6"/>
    <w:rsid w:val="0058646A"/>
    <w:rsid w:val="005B1584"/>
    <w:rsid w:val="005B3ED8"/>
    <w:rsid w:val="005C3680"/>
    <w:rsid w:val="006605A3"/>
    <w:rsid w:val="00662670"/>
    <w:rsid w:val="00665B04"/>
    <w:rsid w:val="006662BF"/>
    <w:rsid w:val="00687399"/>
    <w:rsid w:val="006927B4"/>
    <w:rsid w:val="006A0B8D"/>
    <w:rsid w:val="006B4EBF"/>
    <w:rsid w:val="006B64F3"/>
    <w:rsid w:val="006C1466"/>
    <w:rsid w:val="006C40A4"/>
    <w:rsid w:val="006C4326"/>
    <w:rsid w:val="006F1205"/>
    <w:rsid w:val="006F1F84"/>
    <w:rsid w:val="007272B1"/>
    <w:rsid w:val="00733682"/>
    <w:rsid w:val="00761EC3"/>
    <w:rsid w:val="00772F2A"/>
    <w:rsid w:val="0078444C"/>
    <w:rsid w:val="00826349"/>
    <w:rsid w:val="00835C22"/>
    <w:rsid w:val="0084160A"/>
    <w:rsid w:val="00864D46"/>
    <w:rsid w:val="00865C99"/>
    <w:rsid w:val="00866328"/>
    <w:rsid w:val="0088504C"/>
    <w:rsid w:val="008D5C30"/>
    <w:rsid w:val="0093212A"/>
    <w:rsid w:val="00934585"/>
    <w:rsid w:val="00940974"/>
    <w:rsid w:val="00945F1F"/>
    <w:rsid w:val="0099045C"/>
    <w:rsid w:val="0099191A"/>
    <w:rsid w:val="009B1EA7"/>
    <w:rsid w:val="009B44C3"/>
    <w:rsid w:val="00A2112E"/>
    <w:rsid w:val="00A26099"/>
    <w:rsid w:val="00A302EC"/>
    <w:rsid w:val="00A31E03"/>
    <w:rsid w:val="00A40F0B"/>
    <w:rsid w:val="00A525AE"/>
    <w:rsid w:val="00A566CB"/>
    <w:rsid w:val="00A73F06"/>
    <w:rsid w:val="00AB3778"/>
    <w:rsid w:val="00AE509D"/>
    <w:rsid w:val="00AF2B28"/>
    <w:rsid w:val="00B04B2E"/>
    <w:rsid w:val="00B22A78"/>
    <w:rsid w:val="00B432AE"/>
    <w:rsid w:val="00B6020F"/>
    <w:rsid w:val="00BB3693"/>
    <w:rsid w:val="00BC2905"/>
    <w:rsid w:val="00C02274"/>
    <w:rsid w:val="00C31811"/>
    <w:rsid w:val="00C32417"/>
    <w:rsid w:val="00C40B4F"/>
    <w:rsid w:val="00C74C90"/>
    <w:rsid w:val="00C90C57"/>
    <w:rsid w:val="00CD3B4B"/>
    <w:rsid w:val="00CE468E"/>
    <w:rsid w:val="00CF6B11"/>
    <w:rsid w:val="00D44631"/>
    <w:rsid w:val="00DC4F9D"/>
    <w:rsid w:val="00DC6EA5"/>
    <w:rsid w:val="00DD7B05"/>
    <w:rsid w:val="00DF09DA"/>
    <w:rsid w:val="00E069C3"/>
    <w:rsid w:val="00E07D02"/>
    <w:rsid w:val="00E52CE6"/>
    <w:rsid w:val="00E57F44"/>
    <w:rsid w:val="00E6068A"/>
    <w:rsid w:val="00E61747"/>
    <w:rsid w:val="00E630AB"/>
    <w:rsid w:val="00E653F4"/>
    <w:rsid w:val="00E77E92"/>
    <w:rsid w:val="00EC2D2A"/>
    <w:rsid w:val="00ED0529"/>
    <w:rsid w:val="00ED292C"/>
    <w:rsid w:val="00F24941"/>
    <w:rsid w:val="00F368E1"/>
    <w:rsid w:val="00F71741"/>
    <w:rsid w:val="00F75AF3"/>
    <w:rsid w:val="00FB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D65FD"/>
  <w15:docId w15:val="{5B2D4D3A-52CA-413C-A9E4-9955F7D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25AE"/>
    <w:pPr>
      <w:suppressAutoHyphens/>
      <w:spacing w:after="120" w:line="276" w:lineRule="auto"/>
      <w:jc w:val="both"/>
    </w:pPr>
    <w:rPr>
      <w:rFonts w:eastAsia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662BF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31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926381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662BF"/>
    <w:rPr>
      <w:rFonts w:eastAsiaTheme="majorEastAsia" w:cstheme="majorBidi"/>
      <w:b/>
      <w:sz w:val="24"/>
      <w:szCs w:val="32"/>
      <w:lang w:eastAsia="ar-SA"/>
    </w:rPr>
  </w:style>
  <w:style w:type="paragraph" w:styleId="Tytu">
    <w:name w:val="Title"/>
    <w:basedOn w:val="Normalny"/>
    <w:next w:val="Normalny"/>
    <w:link w:val="TytuZnak"/>
    <w:qFormat/>
    <w:rsid w:val="006662BF"/>
    <w:pPr>
      <w:spacing w:before="240" w:after="48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6662BF"/>
    <w:rPr>
      <w:rFonts w:eastAsiaTheme="majorEastAsia" w:cstheme="majorBidi"/>
      <w:b/>
      <w:spacing w:val="-10"/>
      <w:kern w:val="28"/>
      <w:sz w:val="24"/>
      <w:szCs w:val="5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27B4"/>
    <w:rPr>
      <w:rFonts w:eastAsia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2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27B4"/>
    <w:rPr>
      <w:rFonts w:eastAsia="Calibri" w:cs="Calibri"/>
      <w:b/>
      <w:bCs/>
      <w:lang w:eastAsia="ar-SA"/>
    </w:rPr>
  </w:style>
  <w:style w:type="paragraph" w:styleId="Akapitzlist">
    <w:name w:val="List Paragraph"/>
    <w:aliases w:val="Numerowanie,L1,Akapit z listą5,Akapit z listą BS,Kolorowa lista — akcent 11,List Paragraph2,List Paragraph21,Sl_Akapit z listą"/>
    <w:basedOn w:val="Normalny"/>
    <w:uiPriority w:val="34"/>
    <w:qFormat/>
    <w:rsid w:val="006927B4"/>
    <w:pPr>
      <w:ind w:left="720"/>
      <w:contextualSpacing/>
    </w:pPr>
  </w:style>
  <w:style w:type="character" w:styleId="Nierozpoznanawzmianka">
    <w:name w:val="Unresolved Mention"/>
    <w:basedOn w:val="Domylnaczcionkaakapitu"/>
    <w:rsid w:val="006927B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3D31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835C22"/>
    <w:rPr>
      <w:rFonts w:cs="Times New Roman"/>
      <w:lang w:val="x-none" w:eastAsia="ar-SA" w:bidi="ar-SA"/>
    </w:rPr>
  </w:style>
  <w:style w:type="paragraph" w:customStyle="1" w:styleId="Default">
    <w:name w:val="Default"/>
    <w:rsid w:val="00835C2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odtytu">
    <w:name w:val="Subtitle"/>
    <w:basedOn w:val="Normalny"/>
    <w:next w:val="Normalny"/>
    <w:link w:val="PodtytuZnak"/>
    <w:qFormat/>
    <w:rsid w:val="009321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93212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665B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B04"/>
    <w:rPr>
      <w:rFonts w:eastAsia="Calibri" w:cs="Calibri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665B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lim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klimat/dla-mediow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109D-6748-4A1E-8412-B57E6302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1534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Edukacji i Komunikacji</vt:lpstr>
    </vt:vector>
  </TitlesOfParts>
  <Company>Ministerstwo Klimatu i Środowiska</Company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Edukacji i Komunikacji</dc:title>
  <dc:subject>standard</dc:subject>
  <dc:creator>GAJEWSKA Maria</dc:creator>
  <cp:keywords>PL</cp:keywords>
  <dc:description>Wersja 3, dostępny od 11.01.2021</dc:description>
  <cp:lastModifiedBy>Maria Gajewska</cp:lastModifiedBy>
  <cp:revision>10</cp:revision>
  <cp:lastPrinted>2009-06-17T10:52:00Z</cp:lastPrinted>
  <dcterms:created xsi:type="dcterms:W3CDTF">2021-04-27T14:18:00Z</dcterms:created>
  <dcterms:modified xsi:type="dcterms:W3CDTF">2021-05-04T07:20:00Z</dcterms:modified>
  <cp:category>DEPARTAMENTY</cp:category>
</cp:coreProperties>
</file>