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7BE9" w14:textId="77777777" w:rsidR="004F37BD" w:rsidRPr="00EB7AE1" w:rsidRDefault="004F37BD" w:rsidP="004F37BD">
      <w:pPr>
        <w:keepNext/>
        <w:keepLines/>
        <w:spacing w:before="240" w:after="0"/>
        <w:outlineLvl w:val="0"/>
        <w:rPr>
          <w:rFonts w:ascii="Cambria" w:eastAsia="Times New Roman" w:hAnsi="Cambria"/>
          <w:color w:val="365F91"/>
          <w:sz w:val="32"/>
          <w:szCs w:val="32"/>
          <w:lang w:val="en-GB"/>
        </w:rPr>
      </w:pPr>
      <w:bookmarkStart w:id="0" w:name="_Toc528083185"/>
    </w:p>
    <w:p w14:paraId="29DE5DC2" w14:textId="77777777" w:rsidR="004F37BD" w:rsidRPr="00EB7AE1" w:rsidRDefault="004F37BD" w:rsidP="004F37BD">
      <w:pPr>
        <w:keepNext/>
        <w:keepLines/>
        <w:spacing w:before="240" w:after="0"/>
        <w:outlineLvl w:val="0"/>
        <w:rPr>
          <w:rFonts w:ascii="Cambria" w:eastAsia="Times New Roman" w:hAnsi="Cambria"/>
          <w:color w:val="365F91"/>
          <w:sz w:val="32"/>
          <w:szCs w:val="32"/>
          <w:lang w:val="en-GB"/>
        </w:rPr>
      </w:pPr>
    </w:p>
    <w:p w14:paraId="52BF9339" w14:textId="6E64E6AD" w:rsidR="004F37BD" w:rsidRPr="00EB7AE1" w:rsidRDefault="004F37BD" w:rsidP="004F37BD">
      <w:pPr>
        <w:keepNext/>
        <w:keepLines/>
        <w:spacing w:before="120" w:after="0"/>
        <w:jc w:val="center"/>
        <w:outlineLvl w:val="0"/>
        <w:rPr>
          <w:rFonts w:ascii="Cambria" w:eastAsia="Times New Roman" w:hAnsi="Cambria"/>
          <w:i/>
          <w:color w:val="365F91"/>
          <w:sz w:val="88"/>
          <w:szCs w:val="88"/>
          <w:lang w:val="en-GB"/>
        </w:rPr>
      </w:pPr>
      <w:r w:rsidRPr="00EB7AE1">
        <w:rPr>
          <w:rFonts w:ascii="Cambria" w:eastAsia="Times New Roman" w:hAnsi="Cambria"/>
          <w:color w:val="365F91"/>
          <w:sz w:val="32"/>
          <w:szCs w:val="32"/>
          <w:lang w:val="en-GB"/>
        </w:rPr>
        <w:t xml:space="preserve">Appendix 2: Summary of the implementation of the </w:t>
      </w:r>
      <w:r w:rsidR="00814B40" w:rsidRPr="00EB7AE1">
        <w:rPr>
          <w:rFonts w:ascii="Cambria" w:eastAsia="Times New Roman" w:hAnsi="Cambria"/>
          <w:color w:val="365F91"/>
          <w:sz w:val="32"/>
          <w:szCs w:val="32"/>
          <w:lang w:val="en-GB"/>
        </w:rPr>
        <w:t>S</w:t>
      </w:r>
      <w:r w:rsidR="00030482" w:rsidRPr="00EB7AE1">
        <w:rPr>
          <w:rFonts w:ascii="Cambria" w:eastAsia="Times New Roman" w:hAnsi="Cambria"/>
          <w:color w:val="365F91"/>
          <w:sz w:val="32"/>
          <w:szCs w:val="32"/>
          <w:lang w:val="en-GB"/>
        </w:rPr>
        <w:t xml:space="preserve">trategy </w:t>
      </w:r>
      <w:r w:rsidRPr="00EB7AE1">
        <w:rPr>
          <w:rFonts w:ascii="Cambria" w:eastAsia="Times New Roman" w:hAnsi="Cambria"/>
          <w:color w:val="365F91"/>
          <w:sz w:val="32"/>
          <w:szCs w:val="32"/>
          <w:lang w:val="en-GB"/>
        </w:rPr>
        <w:t>"</w:t>
      </w:r>
      <w:r w:rsidR="00030482" w:rsidRPr="00EB7AE1">
        <w:rPr>
          <w:rFonts w:ascii="Cambria" w:eastAsia="Times New Roman" w:hAnsi="Cambria"/>
          <w:color w:val="365F91"/>
          <w:sz w:val="32"/>
          <w:szCs w:val="32"/>
          <w:lang w:val="en-GB"/>
        </w:rPr>
        <w:t xml:space="preserve">Energy Security and Environment </w:t>
      </w:r>
      <w:r w:rsidR="00956D23">
        <w:rPr>
          <w:rFonts w:ascii="Cambria" w:eastAsia="Times New Roman" w:hAnsi="Cambria"/>
          <w:color w:val="365F91"/>
          <w:sz w:val="32"/>
          <w:szCs w:val="32"/>
          <w:lang w:val="en-GB"/>
        </w:rPr>
        <w:t>–</w:t>
      </w:r>
      <w:r w:rsidR="00030482" w:rsidRPr="00EB7AE1">
        <w:rPr>
          <w:rFonts w:ascii="Cambria" w:eastAsia="Times New Roman" w:hAnsi="Cambria"/>
          <w:color w:val="365F91"/>
          <w:sz w:val="32"/>
          <w:szCs w:val="32"/>
          <w:lang w:val="en-GB"/>
        </w:rPr>
        <w:t xml:space="preserve"> perspective to 2020</w:t>
      </w:r>
      <w:r w:rsidRPr="00EB7AE1">
        <w:rPr>
          <w:rFonts w:ascii="Cambria" w:eastAsia="Times New Roman" w:hAnsi="Cambria"/>
          <w:color w:val="365F91"/>
          <w:sz w:val="32"/>
          <w:szCs w:val="32"/>
          <w:lang w:val="en-GB"/>
        </w:rPr>
        <w:t>" (</w:t>
      </w:r>
      <w:r w:rsidR="00030482" w:rsidRPr="00EB7AE1">
        <w:rPr>
          <w:rFonts w:ascii="Cambria" w:eastAsia="Times New Roman" w:hAnsi="Cambria"/>
          <w:color w:val="365F91"/>
          <w:sz w:val="32"/>
          <w:szCs w:val="32"/>
          <w:lang w:val="en-GB"/>
        </w:rPr>
        <w:t>BEiŚ</w:t>
      </w:r>
      <w:r w:rsidRPr="00EB7AE1">
        <w:rPr>
          <w:rFonts w:ascii="Cambria" w:eastAsia="Times New Roman" w:hAnsi="Cambria"/>
          <w:color w:val="365F91"/>
          <w:sz w:val="32"/>
          <w:szCs w:val="32"/>
          <w:lang w:val="en-GB"/>
        </w:rPr>
        <w:t>) in the environmental part</w:t>
      </w:r>
    </w:p>
    <w:p w14:paraId="1A7FD0F2" w14:textId="77777777" w:rsidR="004F37BD" w:rsidRPr="00EB7AE1" w:rsidRDefault="004F37BD" w:rsidP="004F37BD">
      <w:pPr>
        <w:spacing w:after="240" w:line="216" w:lineRule="auto"/>
        <w:ind w:left="255"/>
        <w:rPr>
          <w:rFonts w:ascii="Cambria" w:eastAsia="Times New Roman" w:hAnsi="Cambria"/>
          <w:i/>
          <w:sz w:val="88"/>
          <w:szCs w:val="88"/>
          <w:lang w:val="en-GB" w:eastAsia="pl-PL"/>
        </w:rPr>
      </w:pPr>
    </w:p>
    <w:p w14:paraId="347F8239" w14:textId="77777777" w:rsidR="004F37BD" w:rsidRPr="00EB7AE1" w:rsidRDefault="004F37BD" w:rsidP="004F37BD">
      <w:pPr>
        <w:spacing w:after="240"/>
        <w:rPr>
          <w:lang w:val="en-GB"/>
        </w:rPr>
      </w:pPr>
    </w:p>
    <w:p w14:paraId="1AB381ED" w14:textId="77777777" w:rsidR="004F37BD" w:rsidRPr="00EB7AE1" w:rsidRDefault="004F37BD" w:rsidP="004F37BD">
      <w:pPr>
        <w:spacing w:after="240"/>
        <w:rPr>
          <w:lang w:val="en-GB"/>
        </w:rPr>
      </w:pPr>
    </w:p>
    <w:p w14:paraId="738C23EE" w14:textId="77777777" w:rsidR="004F37BD" w:rsidRPr="00EB7AE1" w:rsidRDefault="004F37BD" w:rsidP="004F37BD">
      <w:pPr>
        <w:spacing w:after="240"/>
        <w:rPr>
          <w:lang w:val="en-GB"/>
        </w:rPr>
      </w:pPr>
    </w:p>
    <w:p w14:paraId="624B6290" w14:textId="77777777" w:rsidR="004F37BD" w:rsidRPr="00EB7AE1" w:rsidRDefault="004F37BD" w:rsidP="004F37BD">
      <w:pPr>
        <w:tabs>
          <w:tab w:val="left" w:pos="3495"/>
        </w:tabs>
        <w:spacing w:after="240"/>
        <w:rPr>
          <w:lang w:val="en-GB"/>
        </w:rPr>
      </w:pPr>
      <w:r w:rsidRPr="00EB7AE1">
        <w:rPr>
          <w:noProof/>
          <w:lang w:eastAsia="pl-PL"/>
        </w:rPr>
        <mc:AlternateContent>
          <mc:Choice Requires="wps">
            <w:drawing>
              <wp:anchor distT="0" distB="0" distL="114300" distR="114300" simplePos="0" relativeHeight="251660288" behindDoc="0" locked="0" layoutInCell="1" allowOverlap="1" wp14:anchorId="3227F5A0" wp14:editId="4206DA6F">
                <wp:simplePos x="0" y="0"/>
                <wp:positionH relativeFrom="column">
                  <wp:posOffset>1395730</wp:posOffset>
                </wp:positionH>
                <wp:positionV relativeFrom="paragraph">
                  <wp:posOffset>2284095</wp:posOffset>
                </wp:positionV>
                <wp:extent cx="3019425" cy="352425"/>
                <wp:effectExtent l="0" t="0" r="0" b="0"/>
                <wp:wrapNone/>
                <wp:docPr id="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52425"/>
                        </a:xfrm>
                        <a:prstGeom prst="rect">
                          <a:avLst/>
                        </a:prstGeom>
                        <a:noFill/>
                        <a:ln w="6350">
                          <a:noFill/>
                        </a:ln>
                        <a:effectLst/>
                      </wps:spPr>
                      <wps:txbx>
                        <w:txbxContent>
                          <w:p w14:paraId="3F672071" w14:textId="1916DF5D" w:rsidR="004F37BD" w:rsidRPr="00CB6296" w:rsidRDefault="004F37BD" w:rsidP="004F37BD">
                            <w:pPr>
                              <w:jc w:val="center"/>
                              <w:rPr>
                                <w:sz w:val="24"/>
                                <w:szCs w:val="24"/>
                              </w:rPr>
                            </w:pPr>
                            <w:r w:rsidRPr="00CB6296">
                              <w:rPr>
                                <w:sz w:val="24"/>
                                <w:szCs w:val="24"/>
                                <w:lang w:val="en"/>
                              </w:rPr>
                              <w:t>Warsa</w:t>
                            </w:r>
                            <w:r w:rsidR="00F50BA2">
                              <w:rPr>
                                <w:sz w:val="24"/>
                                <w:szCs w:val="24"/>
                                <w:lang w:val="en"/>
                              </w:rPr>
                              <w:t>w</w:t>
                            </w:r>
                            <w:r w:rsidRPr="00CB6296">
                              <w:rPr>
                                <w:sz w:val="24"/>
                                <w:szCs w:val="24"/>
                                <w:lang w:val="en"/>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27F5A0" id="_x0000_t202" coordsize="21600,21600" o:spt="202" path="m,l,21600r21600,l21600,xe">
                <v:stroke joinstyle="miter"/>
                <v:path gradientshapeok="t" o:connecttype="rect"/>
              </v:shapetype>
              <v:shape id="Pole tekstowe 2" o:spid="_x0000_s1026" type="#_x0000_t202" style="position:absolute;margin-left:109.9pt;margin-top:179.85pt;width:23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" filled="f" stroked="f" strokeweight=".5pt">
                <v:path arrowok="t"/>
                <v:textbox>
                  <w:txbxContent>
                    <w:p w14:paraId="3F672071" w14:textId="1916DF5D" w:rsidR="004F37BD" w:rsidRPr="00CB6296" w:rsidRDefault="004F37BD" w:rsidP="004F37BD">
                      <w:pPr>
                        <w:jc w:val="center"/>
                        <w:rPr>
                          <w:sz w:val="24"/>
                          <w:szCs w:val="24"/>
                        </w:rPr>
                      </w:pPr>
                      <w:r w:rsidRPr="00CB6296">
                        <w:rPr>
                          <w:sz w:val="24"/>
                          <w:szCs w:val="24"/>
                          <w:lang w:val="en"/>
                        </w:rPr>
                        <w:t>Warsa</w:t>
                      </w:r>
                      <w:r w:rsidR="00F50BA2">
                        <w:rPr>
                          <w:sz w:val="24"/>
                          <w:szCs w:val="24"/>
                          <w:lang w:val="en"/>
                        </w:rPr>
                        <w:t>w</w:t>
                      </w:r>
                      <w:r w:rsidRPr="00CB6296">
                        <w:rPr>
                          <w:sz w:val="24"/>
                          <w:szCs w:val="24"/>
                          <w:lang w:val="en"/>
                        </w:rPr>
                        <w:t>, 2019</w:t>
                      </w:r>
                    </w:p>
                  </w:txbxContent>
                </v:textbox>
              </v:shape>
            </w:pict>
          </mc:Fallback>
        </mc:AlternateContent>
      </w:r>
      <w:r w:rsidRPr="00EB7AE1">
        <w:rPr>
          <w:lang w:val="en-GB"/>
        </w:rPr>
        <w:tab/>
      </w:r>
    </w:p>
    <w:p w14:paraId="011106F5" w14:textId="77777777" w:rsidR="004F37BD" w:rsidRPr="00EB7AE1" w:rsidRDefault="004F37BD" w:rsidP="004F37BD">
      <w:pPr>
        <w:spacing w:after="240"/>
        <w:rPr>
          <w:lang w:val="en-GB"/>
        </w:rPr>
      </w:pPr>
    </w:p>
    <w:p w14:paraId="054493EA" w14:textId="77777777" w:rsidR="004F37BD" w:rsidRPr="00EB7AE1" w:rsidRDefault="004F37BD" w:rsidP="004F37BD">
      <w:pPr>
        <w:spacing w:after="240"/>
        <w:rPr>
          <w:lang w:val="en-GB"/>
        </w:rPr>
      </w:pPr>
    </w:p>
    <w:p w14:paraId="32EB203F" w14:textId="6FD68926" w:rsidR="004F37BD" w:rsidRPr="00EB7AE1" w:rsidRDefault="004F37BD" w:rsidP="004F37BD">
      <w:pPr>
        <w:spacing w:after="240"/>
        <w:rPr>
          <w:lang w:val="en-GB"/>
        </w:rPr>
      </w:pPr>
    </w:p>
    <w:p w14:paraId="0140E49E" w14:textId="145858AA" w:rsidR="004F37BD" w:rsidRPr="00EB7AE1" w:rsidRDefault="004F37BD" w:rsidP="004F37BD">
      <w:pPr>
        <w:spacing w:after="240"/>
        <w:rPr>
          <w:lang w:val="en-GB"/>
        </w:rPr>
      </w:pPr>
      <w:r w:rsidRPr="00EB7AE1">
        <w:rPr>
          <w:noProof/>
          <w:lang w:eastAsia="pl-PL"/>
        </w:rPr>
        <w:drawing>
          <wp:anchor distT="0" distB="0" distL="114300" distR="114300" simplePos="0" relativeHeight="251659264" behindDoc="0" locked="0" layoutInCell="1" allowOverlap="1" wp14:anchorId="1BF6AFF7" wp14:editId="4EA35DF7">
            <wp:simplePos x="0" y="0"/>
            <wp:positionH relativeFrom="margin">
              <wp:posOffset>1851025</wp:posOffset>
            </wp:positionH>
            <wp:positionV relativeFrom="margin">
              <wp:posOffset>5024755</wp:posOffset>
            </wp:positionV>
            <wp:extent cx="2008505" cy="695960"/>
            <wp:effectExtent l="0" t="0" r="0" b="8890"/>
            <wp:wrapNone/>
            <wp:docPr id="85" name="Obraz 1" descr="http://info.mos.gov.pl/cms/g4/big/2009_06/6a401eea905e49a0fe2422d5c54c4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fo.mos.gov.pl/cms/g4/big/2009_06/6a401eea905e49a0fe2422d5c54c4cb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08505" cy="6959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318F3FC7" w14:textId="41EDE93E" w:rsidR="004F37BD" w:rsidRPr="00EB7AE1" w:rsidRDefault="004F37BD" w:rsidP="004F37BD">
      <w:pPr>
        <w:spacing w:after="240"/>
        <w:rPr>
          <w:lang w:val="en-GB"/>
        </w:rPr>
      </w:pPr>
    </w:p>
    <w:p w14:paraId="5F8E843B" w14:textId="6612FBA1" w:rsidR="004F37BD" w:rsidRPr="00EB7AE1" w:rsidRDefault="004F37BD" w:rsidP="004F37BD">
      <w:pPr>
        <w:spacing w:after="240"/>
        <w:rPr>
          <w:lang w:val="en-GB"/>
        </w:rPr>
      </w:pPr>
    </w:p>
    <w:p w14:paraId="7973AB57" w14:textId="5EA57673" w:rsidR="004F37BD" w:rsidRPr="00EB7AE1" w:rsidRDefault="004F37BD" w:rsidP="004F37BD">
      <w:pPr>
        <w:spacing w:after="240"/>
        <w:rPr>
          <w:lang w:val="en-GB"/>
        </w:rPr>
      </w:pPr>
    </w:p>
    <w:p w14:paraId="658115A0" w14:textId="77777777" w:rsidR="004F37BD" w:rsidRPr="00EB7AE1" w:rsidRDefault="004F37BD" w:rsidP="004F37BD">
      <w:pPr>
        <w:spacing w:after="240"/>
        <w:rPr>
          <w:lang w:val="en-GB"/>
        </w:rPr>
      </w:pPr>
    </w:p>
    <w:p w14:paraId="2427800E" w14:textId="77777777" w:rsidR="004F37BD" w:rsidRPr="00EB7AE1" w:rsidRDefault="004F37BD" w:rsidP="004F37BD">
      <w:pPr>
        <w:spacing w:after="240"/>
        <w:rPr>
          <w:lang w:val="en-GB"/>
        </w:rPr>
      </w:pPr>
    </w:p>
    <w:p w14:paraId="1A686644" w14:textId="77777777" w:rsidR="004F37BD" w:rsidRPr="00EB7AE1" w:rsidRDefault="004F37BD" w:rsidP="004F37BD">
      <w:pPr>
        <w:tabs>
          <w:tab w:val="left" w:pos="5295"/>
        </w:tabs>
        <w:spacing w:after="240"/>
        <w:rPr>
          <w:lang w:val="en-GB"/>
        </w:rPr>
      </w:pPr>
      <w:r w:rsidRPr="00EB7AE1">
        <w:rPr>
          <w:lang w:val="en-GB"/>
        </w:rPr>
        <w:tab/>
      </w:r>
    </w:p>
    <w:p w14:paraId="55A2A65A" w14:textId="77777777" w:rsidR="004F37BD" w:rsidRPr="00EB7AE1" w:rsidRDefault="004F37BD" w:rsidP="00C60880">
      <w:pPr>
        <w:pStyle w:val="Nagwek1"/>
        <w:spacing w:after="240"/>
        <w:jc w:val="both"/>
        <w:rPr>
          <w:lang w:val="en-GB"/>
        </w:rPr>
      </w:pPr>
    </w:p>
    <w:bookmarkEnd w:id="0"/>
    <w:p w14:paraId="7E44B177" w14:textId="77777777" w:rsidR="004F37BD" w:rsidRPr="00EB7AE1" w:rsidRDefault="004F37BD" w:rsidP="00BB7332">
      <w:pPr>
        <w:tabs>
          <w:tab w:val="left" w:pos="2816"/>
        </w:tabs>
        <w:jc w:val="both"/>
        <w:rPr>
          <w:lang w:val="en-GB"/>
        </w:rPr>
      </w:pPr>
    </w:p>
    <w:p w14:paraId="658A9F09" w14:textId="42B63ADA" w:rsidR="00BB7332" w:rsidRPr="00EB7AE1" w:rsidRDefault="00BB7332" w:rsidP="00E10EDC">
      <w:pPr>
        <w:tabs>
          <w:tab w:val="left" w:pos="2816"/>
        </w:tabs>
        <w:spacing w:after="240"/>
        <w:jc w:val="both"/>
        <w:rPr>
          <w:lang w:val="en-GB"/>
        </w:rPr>
      </w:pPr>
      <w:r w:rsidRPr="00EB7AE1">
        <w:rPr>
          <w:lang w:val="en-GB"/>
        </w:rPr>
        <w:lastRenderedPageBreak/>
        <w:t>The</w:t>
      </w:r>
      <w:r w:rsidR="00030482" w:rsidRPr="00EB7AE1">
        <w:rPr>
          <w:lang w:val="en-GB"/>
        </w:rPr>
        <w:t xml:space="preserve"> </w:t>
      </w:r>
      <w:r w:rsidR="00814B40" w:rsidRPr="00EB7AE1">
        <w:rPr>
          <w:lang w:val="en-GB"/>
        </w:rPr>
        <w:t>S</w:t>
      </w:r>
      <w:r w:rsidR="00030482" w:rsidRPr="00EB7AE1">
        <w:rPr>
          <w:lang w:val="en-GB"/>
        </w:rPr>
        <w:t>trategy</w:t>
      </w:r>
      <w:r w:rsidRPr="00EB7AE1">
        <w:rPr>
          <w:i/>
          <w:iCs/>
          <w:lang w:val="en-GB"/>
        </w:rPr>
        <w:t xml:space="preserve"> </w:t>
      </w:r>
      <w:bookmarkStart w:id="1" w:name="_Hlk22131000"/>
      <w:r w:rsidRPr="00EB7AE1">
        <w:rPr>
          <w:i/>
          <w:iCs/>
          <w:lang w:val="en-GB"/>
        </w:rPr>
        <w:t>"</w:t>
      </w:r>
      <w:bookmarkEnd w:id="1"/>
      <w:r w:rsidR="00030482" w:rsidRPr="00EB7AE1">
        <w:rPr>
          <w:i/>
          <w:iCs/>
          <w:lang w:val="en-GB"/>
        </w:rPr>
        <w:t xml:space="preserve">Energy Security and Environment </w:t>
      </w:r>
      <w:r w:rsidR="00956D23">
        <w:rPr>
          <w:i/>
          <w:iCs/>
          <w:lang w:val="en-GB"/>
        </w:rPr>
        <w:t>–</w:t>
      </w:r>
      <w:r w:rsidR="00030482" w:rsidRPr="00EB7AE1">
        <w:rPr>
          <w:i/>
          <w:iCs/>
          <w:lang w:val="en-GB"/>
        </w:rPr>
        <w:t xml:space="preserve"> perspective to 2020</w:t>
      </w:r>
      <w:r w:rsidRPr="00EB7AE1">
        <w:rPr>
          <w:i/>
          <w:iCs/>
          <w:lang w:val="en-GB"/>
        </w:rPr>
        <w:t xml:space="preserve">" </w:t>
      </w:r>
      <w:r w:rsidRPr="00EB7AE1">
        <w:rPr>
          <w:lang w:val="en-GB"/>
        </w:rPr>
        <w:t>(</w:t>
      </w:r>
      <w:r w:rsidR="00030482" w:rsidRPr="00EB7AE1">
        <w:rPr>
          <w:lang w:val="en-GB"/>
        </w:rPr>
        <w:t>BEiŚ</w:t>
      </w:r>
      <w:r w:rsidRPr="00EB7AE1">
        <w:rPr>
          <w:lang w:val="en-GB"/>
        </w:rPr>
        <w:t>) was adopted by the Council of Ministers on 15 April 2014</w:t>
      </w:r>
      <w:r w:rsidR="002B304D" w:rsidRPr="00EB7AE1">
        <w:rPr>
          <w:lang w:val="en-GB"/>
        </w:rPr>
        <w:t xml:space="preserve"> </w:t>
      </w:r>
      <w:r w:rsidRPr="00EB7AE1">
        <w:rPr>
          <w:vertAlign w:val="superscript"/>
          <w:lang w:val="en-GB"/>
        </w:rPr>
        <w:footnoteReference w:id="1"/>
      </w:r>
      <w:r w:rsidR="002B304D" w:rsidRPr="00EB7AE1">
        <w:rPr>
          <w:lang w:val="en-GB"/>
        </w:rPr>
        <w:t>.</w:t>
      </w:r>
      <w:r w:rsidR="00193660" w:rsidRPr="00EB7AE1">
        <w:rPr>
          <w:lang w:val="en-GB"/>
        </w:rPr>
        <w:t xml:space="preserve"> </w:t>
      </w:r>
      <w:r w:rsidRPr="00EB7AE1">
        <w:rPr>
          <w:lang w:val="en-GB"/>
        </w:rPr>
        <w:t>It was one of nine integrated strategies entering the system of managing the development of Poland, which was based on the Act on the principles of conducting the development policy</w:t>
      </w:r>
      <w:r w:rsidRPr="00EB7AE1">
        <w:rPr>
          <w:vertAlign w:val="superscript"/>
          <w:lang w:val="en-GB"/>
        </w:rPr>
        <w:footnoteReference w:id="2"/>
      </w:r>
      <w:r w:rsidR="002B304D" w:rsidRPr="00EB7AE1">
        <w:rPr>
          <w:lang w:val="en-GB"/>
        </w:rPr>
        <w:t>.</w:t>
      </w:r>
      <w:r w:rsidRPr="00EB7AE1">
        <w:rPr>
          <w:lang w:val="en-GB"/>
        </w:rPr>
        <w:t xml:space="preserve"> On 14 February 2017, the Council of Ministers adopted </w:t>
      </w:r>
      <w:bookmarkStart w:id="2" w:name="_Hlk22138953"/>
      <w:r w:rsidR="009A6FE5">
        <w:rPr>
          <w:lang w:val="en-GB"/>
        </w:rPr>
        <w:t xml:space="preserve">the </w:t>
      </w:r>
      <w:r w:rsidR="00C63343" w:rsidRPr="009A6FE5">
        <w:rPr>
          <w:i/>
          <w:lang w:val="en-GB"/>
        </w:rPr>
        <w:t>Responsible Development Strategy until 2020 (with an Outlook until 2030)</w:t>
      </w:r>
      <w:r w:rsidR="00193660" w:rsidRPr="00EB7AE1">
        <w:rPr>
          <w:i/>
          <w:iCs/>
          <w:lang w:val="en-GB"/>
        </w:rPr>
        <w:t xml:space="preserve"> </w:t>
      </w:r>
      <w:bookmarkEnd w:id="2"/>
      <w:r w:rsidR="00193660" w:rsidRPr="00EB7AE1">
        <w:rPr>
          <w:i/>
          <w:iCs/>
          <w:lang w:val="en-GB"/>
        </w:rPr>
        <w:t xml:space="preserve">– </w:t>
      </w:r>
      <w:r w:rsidR="00C63343">
        <w:rPr>
          <w:i/>
          <w:iCs/>
          <w:lang w:val="en-GB"/>
        </w:rPr>
        <w:t>SOR</w:t>
      </w:r>
      <w:r w:rsidRPr="00EB7AE1">
        <w:rPr>
          <w:lang w:val="en-GB"/>
        </w:rPr>
        <w:t xml:space="preserve">, which replaced the medium-term </w:t>
      </w:r>
      <w:r w:rsidRPr="00EB7AE1">
        <w:rPr>
          <w:i/>
          <w:iCs/>
          <w:lang w:val="en-GB"/>
        </w:rPr>
        <w:t>National Development Strategy 2020</w:t>
      </w:r>
      <w:r w:rsidRPr="00EB7AE1">
        <w:rPr>
          <w:lang w:val="en-GB"/>
        </w:rPr>
        <w:t>. As a result of the adoption of the S</w:t>
      </w:r>
      <w:r w:rsidR="009A6FE5">
        <w:rPr>
          <w:lang w:val="en-GB"/>
        </w:rPr>
        <w:t>OR</w:t>
      </w:r>
      <w:r w:rsidRPr="00EB7AE1">
        <w:rPr>
          <w:lang w:val="en-GB"/>
        </w:rPr>
        <w:t xml:space="preserve">, nine integrated strategies had to be updated. The Coordination Committee for Development Policy decided to replace </w:t>
      </w:r>
      <w:r w:rsidR="00030482" w:rsidRPr="00EB7AE1">
        <w:rPr>
          <w:lang w:val="en-GB"/>
        </w:rPr>
        <w:t>BEiŚ</w:t>
      </w:r>
      <w:r w:rsidRPr="00EB7AE1">
        <w:rPr>
          <w:lang w:val="en-GB"/>
        </w:rPr>
        <w:t xml:space="preserve"> with two separate strategies: </w:t>
      </w:r>
      <w:r w:rsidR="00D86DF3" w:rsidRPr="00EB7AE1">
        <w:rPr>
          <w:i/>
          <w:iCs/>
          <w:lang w:val="en-GB"/>
        </w:rPr>
        <w:t>2030 National Environmental Policy – the Development Strategy  in the Area of the Environment and Water Management</w:t>
      </w:r>
      <w:r w:rsidR="00E10EDC" w:rsidRPr="00EB7AE1">
        <w:rPr>
          <w:i/>
          <w:iCs/>
          <w:lang w:val="en-GB"/>
        </w:rPr>
        <w:t xml:space="preserve"> (</w:t>
      </w:r>
      <w:r w:rsidR="003B0AEE" w:rsidRPr="00EB7AE1">
        <w:rPr>
          <w:i/>
          <w:iCs/>
          <w:lang w:val="en-GB"/>
        </w:rPr>
        <w:t>PEP</w:t>
      </w:r>
      <w:r w:rsidR="00E10EDC" w:rsidRPr="00EB7AE1">
        <w:rPr>
          <w:i/>
          <w:iCs/>
          <w:lang w:val="en-GB"/>
        </w:rPr>
        <w:t>2030)</w:t>
      </w:r>
      <w:r w:rsidRPr="00EB7AE1">
        <w:rPr>
          <w:lang w:val="en-GB"/>
        </w:rPr>
        <w:t xml:space="preserve"> and </w:t>
      </w:r>
      <w:r w:rsidR="003B0AEE" w:rsidRPr="00EB7AE1">
        <w:rPr>
          <w:i/>
          <w:iCs/>
          <w:lang w:val="en-GB"/>
        </w:rPr>
        <w:t>t</w:t>
      </w:r>
      <w:r w:rsidR="00E10EDC" w:rsidRPr="00EB7AE1">
        <w:rPr>
          <w:i/>
          <w:iCs/>
          <w:lang w:val="en-GB"/>
        </w:rPr>
        <w:t>he Energy Policy of Poland until 2040 (</w:t>
      </w:r>
      <w:r w:rsidR="003B0AEE" w:rsidRPr="00EB7AE1">
        <w:rPr>
          <w:i/>
          <w:iCs/>
          <w:lang w:val="en-GB"/>
        </w:rPr>
        <w:t>PEP</w:t>
      </w:r>
      <w:r w:rsidR="00E10EDC" w:rsidRPr="00EB7AE1">
        <w:rPr>
          <w:i/>
          <w:iCs/>
          <w:lang w:val="en-GB"/>
        </w:rPr>
        <w:t>2040)</w:t>
      </w:r>
      <w:r w:rsidRPr="00EB7AE1">
        <w:rPr>
          <w:lang w:val="en-GB"/>
        </w:rPr>
        <w:t>.</w:t>
      </w:r>
    </w:p>
    <w:p w14:paraId="1203F822" w14:textId="63132A85" w:rsidR="00BB7332" w:rsidRPr="00EB7AE1" w:rsidRDefault="00BB7332" w:rsidP="00E10EDC">
      <w:pPr>
        <w:tabs>
          <w:tab w:val="left" w:pos="2816"/>
        </w:tabs>
        <w:spacing w:after="240"/>
        <w:jc w:val="both"/>
        <w:rPr>
          <w:lang w:val="en-GB"/>
        </w:rPr>
      </w:pPr>
      <w:r w:rsidRPr="00EB7AE1">
        <w:rPr>
          <w:lang w:val="en-GB"/>
        </w:rPr>
        <w:t xml:space="preserve">The </w:t>
      </w:r>
      <w:r w:rsidR="00030482" w:rsidRPr="00EB7AE1">
        <w:rPr>
          <w:lang w:val="en-GB"/>
        </w:rPr>
        <w:t>BEiŚ</w:t>
      </w:r>
      <w:r w:rsidRPr="00EB7AE1">
        <w:rPr>
          <w:lang w:val="en-GB"/>
        </w:rPr>
        <w:t xml:space="preserve"> Strategy integrated the environmental policy with the energy policy, setting out the directions of power industry development and indicating the priorities in environmental protection. The main objective of </w:t>
      </w:r>
      <w:r w:rsidR="00030482" w:rsidRPr="00EB7AE1">
        <w:rPr>
          <w:lang w:val="en-GB"/>
        </w:rPr>
        <w:t>BEiŚ</w:t>
      </w:r>
      <w:r w:rsidRPr="00EB7AE1">
        <w:rPr>
          <w:lang w:val="en-GB"/>
        </w:rPr>
        <w:t xml:space="preserve"> was to ensure a high quality of life for present and future generations, taking into account environmental protection, and to create conditions for sustainable development of a modern energy sector capable of ensuring energy security as well as competitive and efficient economy for Poland. Two of the three specific objectives were directly related to environmental issues: objective 1 – sustainable management of environmental resources and objective 3 – improvement of the condition of the environment.</w:t>
      </w:r>
    </w:p>
    <w:p w14:paraId="3D52FE5A" w14:textId="1E459DD4" w:rsidR="00BB7332" w:rsidRPr="00EB7AE1" w:rsidRDefault="00BB7332" w:rsidP="00E10EDC">
      <w:pPr>
        <w:tabs>
          <w:tab w:val="left" w:pos="2816"/>
        </w:tabs>
        <w:spacing w:after="240"/>
        <w:jc w:val="both"/>
        <w:rPr>
          <w:lang w:val="en-GB"/>
        </w:rPr>
      </w:pPr>
      <w:r w:rsidRPr="00EB7AE1">
        <w:rPr>
          <w:lang w:val="en-GB"/>
        </w:rPr>
        <w:t xml:space="preserve">The level of implementation of </w:t>
      </w:r>
      <w:r w:rsidR="00030482" w:rsidRPr="00EB7AE1">
        <w:rPr>
          <w:lang w:val="en-GB"/>
        </w:rPr>
        <w:t>BEiŚ</w:t>
      </w:r>
      <w:r w:rsidRPr="00EB7AE1">
        <w:rPr>
          <w:lang w:val="en-GB"/>
        </w:rPr>
        <w:t xml:space="preserve"> was measured by a set of indicators assigned to specific objectives. The base year for the indicators was 2010. The analysis of the data available in 2018 indicates that the targets were met for six out of 15 indicators. The value of two indicators, despite the activities carried out within the framework of </w:t>
      </w:r>
      <w:r w:rsidR="00030482" w:rsidRPr="00EB7AE1">
        <w:rPr>
          <w:lang w:val="en-GB"/>
        </w:rPr>
        <w:t>BEiŚ</w:t>
      </w:r>
      <w:r w:rsidRPr="00EB7AE1">
        <w:rPr>
          <w:lang w:val="en-GB"/>
        </w:rPr>
        <w:t>, deteriorated in comparison with 2010. Six indicators came close to the 2020 objective, but the dynamics of changes do not guarantee that the objective will be met. One indicator had the same value as in 2010.</w:t>
      </w:r>
    </w:p>
    <w:p w14:paraId="0FE8AAA4" w14:textId="76F92FDB" w:rsidR="009F2326" w:rsidRPr="00EB7AE1" w:rsidRDefault="00030482" w:rsidP="00E10EDC">
      <w:pPr>
        <w:tabs>
          <w:tab w:val="left" w:pos="2816"/>
        </w:tabs>
        <w:spacing w:after="240"/>
        <w:jc w:val="both"/>
        <w:rPr>
          <w:lang w:val="en-GB"/>
        </w:rPr>
      </w:pPr>
      <w:r w:rsidRPr="00EB7AE1">
        <w:rPr>
          <w:lang w:val="en-GB"/>
        </w:rPr>
        <w:t>BEiŚ</w:t>
      </w:r>
      <w:r w:rsidR="009F2326" w:rsidRPr="00EB7AE1">
        <w:rPr>
          <w:lang w:val="en-GB"/>
        </w:rPr>
        <w:t xml:space="preserve"> implementation and monitoring should be evaluated as not effective if most of the indicators for achieving the objectives </w:t>
      </w:r>
      <w:r w:rsidR="00E10EDC" w:rsidRPr="00EB7AE1">
        <w:rPr>
          <w:lang w:val="en-GB"/>
        </w:rPr>
        <w:t>will be</w:t>
      </w:r>
      <w:r w:rsidR="009F2326" w:rsidRPr="00EB7AE1">
        <w:rPr>
          <w:lang w:val="en-GB"/>
        </w:rPr>
        <w:t xml:space="preserve"> not met by 2020. Some tasks and activities within the framework of </w:t>
      </w:r>
      <w:r w:rsidRPr="00EB7AE1">
        <w:rPr>
          <w:lang w:val="en-GB"/>
        </w:rPr>
        <w:t>BEiŚ</w:t>
      </w:r>
      <w:r w:rsidR="009F2326" w:rsidRPr="00EB7AE1">
        <w:rPr>
          <w:lang w:val="en-GB"/>
        </w:rPr>
        <w:t xml:space="preserve"> were formulated in a vague way or did not clearly define the entity responsible for them and for initiating inter-ministerial cooperation. Another problem was the low level of awareness of the </w:t>
      </w:r>
      <w:r w:rsidRPr="00EB7AE1">
        <w:rPr>
          <w:lang w:val="en-GB"/>
        </w:rPr>
        <w:t>BEiŚ</w:t>
      </w:r>
      <w:r w:rsidR="009F2326" w:rsidRPr="00EB7AE1">
        <w:rPr>
          <w:lang w:val="en-GB"/>
        </w:rPr>
        <w:t xml:space="preserve"> Strategy as a government document, even in the departments responsible for its implementation. This resulted in a lack of prioritisation of activities. Actions taken in previous years have rarely been referred to the priorities of </w:t>
      </w:r>
      <w:r w:rsidRPr="00EB7AE1">
        <w:rPr>
          <w:lang w:val="en-GB"/>
        </w:rPr>
        <w:t>BEiŚ</w:t>
      </w:r>
      <w:r w:rsidR="009F2326" w:rsidRPr="00EB7AE1">
        <w:rPr>
          <w:lang w:val="en-GB"/>
        </w:rPr>
        <w:t xml:space="preserve">. This was also apparent in the lack of full consistency between the existing financial instruments and the types of interventions that should be undertaken on the basis of </w:t>
      </w:r>
      <w:r w:rsidRPr="00EB7AE1">
        <w:rPr>
          <w:lang w:val="en-GB"/>
        </w:rPr>
        <w:t>BEiŚ</w:t>
      </w:r>
      <w:r w:rsidR="009F2326" w:rsidRPr="00EB7AE1">
        <w:rPr>
          <w:lang w:val="en-GB"/>
        </w:rPr>
        <w:t>. The inefficiency of the system of state institutions also contributed to the unsatisfactory level of performance.</w:t>
      </w:r>
    </w:p>
    <w:p w14:paraId="5B34EDC3" w14:textId="18923FFD" w:rsidR="00E10EDC" w:rsidRPr="00EB7AE1" w:rsidRDefault="00E10EDC" w:rsidP="00E10EDC">
      <w:pPr>
        <w:tabs>
          <w:tab w:val="left" w:pos="2816"/>
        </w:tabs>
        <w:spacing w:after="240"/>
        <w:jc w:val="both"/>
        <w:rPr>
          <w:lang w:val="en-GB"/>
        </w:rPr>
      </w:pPr>
    </w:p>
    <w:p w14:paraId="3DAD80D6" w14:textId="77777777" w:rsidR="00E10EDC" w:rsidRPr="00EB7AE1" w:rsidRDefault="00E10EDC" w:rsidP="00E10EDC">
      <w:pPr>
        <w:tabs>
          <w:tab w:val="left" w:pos="2816"/>
        </w:tabs>
        <w:spacing w:after="240"/>
        <w:jc w:val="both"/>
        <w:rPr>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5"/>
        <w:gridCol w:w="3105"/>
        <w:gridCol w:w="1838"/>
        <w:gridCol w:w="1978"/>
        <w:gridCol w:w="1708"/>
      </w:tblGrid>
      <w:tr w:rsidR="00BB7332" w:rsidRPr="00EB7AE1" w14:paraId="01DD3EA1" w14:textId="77777777" w:rsidTr="00E10EDC">
        <w:trPr>
          <w:trHeight w:hRule="exact" w:val="859"/>
          <w:jc w:val="center"/>
        </w:trPr>
        <w:tc>
          <w:tcPr>
            <w:tcW w:w="240" w:type="pct"/>
            <w:shd w:val="clear" w:color="auto" w:fill="FFFFFF"/>
            <w:vAlign w:val="center"/>
          </w:tcPr>
          <w:p w14:paraId="33F49FE8" w14:textId="77777777" w:rsidR="00BB7332" w:rsidRPr="00EB7AE1" w:rsidRDefault="00BB7332" w:rsidP="00886E7D">
            <w:pPr>
              <w:tabs>
                <w:tab w:val="left" w:pos="2816"/>
              </w:tabs>
              <w:spacing w:after="0"/>
              <w:jc w:val="center"/>
              <w:rPr>
                <w:sz w:val="20"/>
                <w:szCs w:val="20"/>
                <w:lang w:val="en-GB"/>
              </w:rPr>
            </w:pPr>
            <w:r w:rsidRPr="00EB7AE1">
              <w:rPr>
                <w:b/>
                <w:bCs/>
                <w:sz w:val="20"/>
                <w:szCs w:val="20"/>
                <w:lang w:val="en-GB"/>
              </w:rPr>
              <w:t>No.</w:t>
            </w:r>
          </w:p>
        </w:tc>
        <w:tc>
          <w:tcPr>
            <w:tcW w:w="1713" w:type="pct"/>
            <w:shd w:val="clear" w:color="auto" w:fill="FFFFFF"/>
            <w:vAlign w:val="center"/>
          </w:tcPr>
          <w:p w14:paraId="4AA75F9F" w14:textId="77777777" w:rsidR="00BB7332" w:rsidRPr="00EB7AE1" w:rsidRDefault="00BB7332" w:rsidP="00886E7D">
            <w:pPr>
              <w:pStyle w:val="Akapitzlist"/>
              <w:tabs>
                <w:tab w:val="left" w:pos="2816"/>
              </w:tabs>
              <w:spacing w:after="0"/>
              <w:rPr>
                <w:sz w:val="20"/>
                <w:szCs w:val="20"/>
                <w:lang w:val="en-GB"/>
              </w:rPr>
            </w:pPr>
            <w:r w:rsidRPr="00EB7AE1">
              <w:rPr>
                <w:b/>
                <w:bCs/>
                <w:sz w:val="20"/>
                <w:szCs w:val="20"/>
                <w:lang w:val="en-GB"/>
              </w:rPr>
              <w:t>Indicator</w:t>
            </w:r>
          </w:p>
        </w:tc>
        <w:tc>
          <w:tcPr>
            <w:tcW w:w="1014" w:type="pct"/>
            <w:shd w:val="clear" w:color="auto" w:fill="FFFFFF"/>
            <w:vAlign w:val="center"/>
          </w:tcPr>
          <w:p w14:paraId="120C3686" w14:textId="77777777" w:rsidR="00BB7332" w:rsidRPr="00EB7AE1" w:rsidRDefault="00BB7332" w:rsidP="00886E7D">
            <w:pPr>
              <w:tabs>
                <w:tab w:val="left" w:pos="2816"/>
              </w:tabs>
              <w:spacing w:after="0"/>
              <w:jc w:val="center"/>
              <w:rPr>
                <w:b/>
                <w:bCs/>
                <w:sz w:val="20"/>
                <w:szCs w:val="20"/>
                <w:lang w:val="en-GB"/>
              </w:rPr>
            </w:pPr>
            <w:r w:rsidRPr="00EB7AE1">
              <w:rPr>
                <w:b/>
                <w:bCs/>
                <w:sz w:val="20"/>
                <w:szCs w:val="20"/>
                <w:lang w:val="en-GB"/>
              </w:rPr>
              <w:t>Base value in 2010</w:t>
            </w:r>
          </w:p>
        </w:tc>
        <w:tc>
          <w:tcPr>
            <w:tcW w:w="1091" w:type="pct"/>
            <w:shd w:val="clear" w:color="auto" w:fill="FFFFFF"/>
            <w:vAlign w:val="center"/>
          </w:tcPr>
          <w:p w14:paraId="79946B66" w14:textId="77777777" w:rsidR="00BB7332" w:rsidRPr="00EB7AE1" w:rsidRDefault="00BB7332" w:rsidP="00886E7D">
            <w:pPr>
              <w:tabs>
                <w:tab w:val="left" w:pos="2816"/>
              </w:tabs>
              <w:spacing w:after="0"/>
              <w:jc w:val="center"/>
              <w:rPr>
                <w:b/>
                <w:bCs/>
                <w:sz w:val="20"/>
                <w:szCs w:val="20"/>
                <w:lang w:val="en-GB"/>
              </w:rPr>
            </w:pPr>
            <w:r w:rsidRPr="00EB7AE1">
              <w:rPr>
                <w:b/>
                <w:bCs/>
                <w:sz w:val="20"/>
                <w:szCs w:val="20"/>
                <w:lang w:val="en-GB"/>
              </w:rPr>
              <w:t>Value achieved in 2014/2015/2016</w:t>
            </w:r>
          </w:p>
        </w:tc>
        <w:tc>
          <w:tcPr>
            <w:tcW w:w="942" w:type="pct"/>
            <w:shd w:val="clear" w:color="auto" w:fill="FFFFFF"/>
            <w:vAlign w:val="center"/>
          </w:tcPr>
          <w:p w14:paraId="4DE91526" w14:textId="77777777" w:rsidR="00BB7332" w:rsidRPr="00EB7AE1" w:rsidRDefault="00BB7332" w:rsidP="00886E7D">
            <w:pPr>
              <w:tabs>
                <w:tab w:val="left" w:pos="2816"/>
              </w:tabs>
              <w:spacing w:after="0"/>
              <w:jc w:val="center"/>
              <w:rPr>
                <w:sz w:val="20"/>
                <w:szCs w:val="20"/>
                <w:lang w:val="en-GB"/>
              </w:rPr>
            </w:pPr>
            <w:r w:rsidRPr="00EB7AE1">
              <w:rPr>
                <w:b/>
                <w:bCs/>
                <w:sz w:val="20"/>
                <w:szCs w:val="20"/>
                <w:lang w:val="en-GB"/>
              </w:rPr>
              <w:t>Value expected in 2020</w:t>
            </w:r>
          </w:p>
        </w:tc>
      </w:tr>
      <w:tr w:rsidR="00BB7332" w:rsidRPr="00370D0E" w14:paraId="0090B131" w14:textId="77777777" w:rsidTr="00E10EDC">
        <w:trPr>
          <w:trHeight w:hRule="exact" w:val="787"/>
          <w:jc w:val="center"/>
        </w:trPr>
        <w:tc>
          <w:tcPr>
            <w:tcW w:w="5000" w:type="pct"/>
            <w:gridSpan w:val="5"/>
            <w:shd w:val="clear" w:color="auto" w:fill="FFFFFF"/>
            <w:vAlign w:val="center"/>
          </w:tcPr>
          <w:p w14:paraId="1FB86894" w14:textId="77777777" w:rsidR="00BB7332" w:rsidRPr="00EB7AE1" w:rsidRDefault="00BB7332" w:rsidP="00886E7D">
            <w:pPr>
              <w:pStyle w:val="Akapitzlist"/>
              <w:tabs>
                <w:tab w:val="left" w:pos="2816"/>
              </w:tabs>
              <w:spacing w:after="0"/>
              <w:jc w:val="center"/>
              <w:rPr>
                <w:sz w:val="20"/>
                <w:szCs w:val="20"/>
                <w:lang w:val="en-GB"/>
              </w:rPr>
            </w:pPr>
            <w:r w:rsidRPr="00EB7AE1">
              <w:rPr>
                <w:b/>
                <w:bCs/>
                <w:sz w:val="20"/>
                <w:szCs w:val="20"/>
                <w:lang w:val="en-GB"/>
              </w:rPr>
              <w:t>Objective 1. Sustainable management of environmental resources</w:t>
            </w:r>
          </w:p>
        </w:tc>
      </w:tr>
      <w:tr w:rsidR="00BB7332" w:rsidRPr="00EB7AE1" w14:paraId="5A81AAF9" w14:textId="77777777" w:rsidTr="00E10EDC">
        <w:trPr>
          <w:trHeight w:hRule="exact" w:val="1085"/>
          <w:jc w:val="center"/>
        </w:trPr>
        <w:tc>
          <w:tcPr>
            <w:tcW w:w="240" w:type="pct"/>
            <w:shd w:val="clear" w:color="auto" w:fill="FFFFFF"/>
            <w:vAlign w:val="center"/>
          </w:tcPr>
          <w:p w14:paraId="49EA4A7D" w14:textId="3E439ED7" w:rsidR="00BB7332" w:rsidRPr="00EB7AE1" w:rsidRDefault="00BB7332" w:rsidP="00886E7D">
            <w:pPr>
              <w:tabs>
                <w:tab w:val="left" w:pos="2816"/>
              </w:tabs>
              <w:jc w:val="center"/>
              <w:rPr>
                <w:sz w:val="20"/>
                <w:szCs w:val="20"/>
                <w:lang w:val="en-GB"/>
              </w:rPr>
            </w:pPr>
            <w:r w:rsidRPr="00EB7AE1">
              <w:rPr>
                <w:sz w:val="20"/>
                <w:szCs w:val="20"/>
                <w:lang w:val="en-GB"/>
              </w:rPr>
              <w:t>1</w:t>
            </w:r>
          </w:p>
        </w:tc>
        <w:tc>
          <w:tcPr>
            <w:tcW w:w="1713" w:type="pct"/>
            <w:shd w:val="clear" w:color="auto" w:fill="FFFFFF"/>
            <w:vAlign w:val="center"/>
          </w:tcPr>
          <w:p w14:paraId="3C388543" w14:textId="77777777" w:rsidR="00BB7332" w:rsidRPr="00EB7AE1" w:rsidRDefault="00BB7332" w:rsidP="00886E7D">
            <w:pPr>
              <w:tabs>
                <w:tab w:val="left" w:pos="2816"/>
              </w:tabs>
              <w:rPr>
                <w:sz w:val="20"/>
                <w:szCs w:val="20"/>
                <w:lang w:val="en-GB"/>
              </w:rPr>
            </w:pPr>
            <w:r w:rsidRPr="00EB7AE1">
              <w:rPr>
                <w:sz w:val="20"/>
                <w:szCs w:val="20"/>
                <w:lang w:val="en-GB"/>
              </w:rPr>
              <w:t>Water consumption for the needs of national economy and general population in hm</w:t>
            </w:r>
            <w:r w:rsidRPr="00EB7AE1">
              <w:rPr>
                <w:sz w:val="20"/>
                <w:szCs w:val="20"/>
                <w:vertAlign w:val="superscript"/>
                <w:lang w:val="en-GB"/>
              </w:rPr>
              <w:t>3</w:t>
            </w:r>
            <w:r w:rsidRPr="00EB7AE1">
              <w:rPr>
                <w:sz w:val="20"/>
                <w:szCs w:val="20"/>
                <w:lang w:val="en-GB"/>
              </w:rPr>
              <w:t xml:space="preserve"> (cubic hectometres)</w:t>
            </w:r>
          </w:p>
        </w:tc>
        <w:tc>
          <w:tcPr>
            <w:tcW w:w="1014" w:type="pct"/>
            <w:shd w:val="clear" w:color="auto" w:fill="FFFFFF"/>
            <w:vAlign w:val="center"/>
          </w:tcPr>
          <w:p w14:paraId="5F5D3733" w14:textId="256D6D19" w:rsidR="00BB7332" w:rsidRPr="00EB7AE1" w:rsidRDefault="00BB7332" w:rsidP="00886E7D">
            <w:pPr>
              <w:pStyle w:val="Akapitzlist"/>
              <w:tabs>
                <w:tab w:val="left" w:pos="2816"/>
              </w:tabs>
              <w:ind w:left="0"/>
              <w:jc w:val="center"/>
              <w:rPr>
                <w:sz w:val="20"/>
                <w:szCs w:val="20"/>
                <w:lang w:val="en-GB"/>
              </w:rPr>
            </w:pPr>
            <w:r w:rsidRPr="00EB7AE1">
              <w:rPr>
                <w:sz w:val="20"/>
                <w:szCs w:val="20"/>
                <w:lang w:val="en-GB"/>
              </w:rPr>
              <w:t>10</w:t>
            </w:r>
            <w:r w:rsidR="00E10EDC" w:rsidRPr="00EB7AE1">
              <w:rPr>
                <w:sz w:val="20"/>
                <w:szCs w:val="20"/>
                <w:lang w:val="en-GB"/>
              </w:rPr>
              <w:t xml:space="preserve"> </w:t>
            </w:r>
            <w:r w:rsidRPr="00EB7AE1">
              <w:rPr>
                <w:sz w:val="20"/>
                <w:szCs w:val="20"/>
                <w:lang w:val="en-GB"/>
              </w:rPr>
              <w:t>356.5 hm</w:t>
            </w:r>
            <w:r w:rsidRPr="00EB7AE1">
              <w:rPr>
                <w:sz w:val="20"/>
                <w:szCs w:val="20"/>
                <w:vertAlign w:val="superscript"/>
                <w:lang w:val="en-GB"/>
              </w:rPr>
              <w:t>3</w:t>
            </w:r>
          </w:p>
        </w:tc>
        <w:tc>
          <w:tcPr>
            <w:tcW w:w="1091" w:type="pct"/>
            <w:shd w:val="clear" w:color="auto" w:fill="92D050"/>
            <w:vAlign w:val="center"/>
          </w:tcPr>
          <w:p w14:paraId="161B93E5"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9656.3 hm</w:t>
            </w:r>
            <w:r w:rsidRPr="00EB7AE1">
              <w:rPr>
                <w:sz w:val="20"/>
                <w:szCs w:val="20"/>
                <w:vertAlign w:val="superscript"/>
                <w:lang w:val="en-GB"/>
              </w:rPr>
              <w:t>3</w:t>
            </w:r>
            <w:r w:rsidRPr="00EB7AE1">
              <w:rPr>
                <w:sz w:val="20"/>
                <w:szCs w:val="20"/>
                <w:lang w:val="en-GB"/>
              </w:rPr>
              <w:t xml:space="preserve"> [2017]</w:t>
            </w:r>
          </w:p>
        </w:tc>
        <w:tc>
          <w:tcPr>
            <w:tcW w:w="942" w:type="pct"/>
            <w:shd w:val="clear" w:color="auto" w:fill="FFFFFF"/>
            <w:vAlign w:val="center"/>
          </w:tcPr>
          <w:p w14:paraId="3B056F0A" w14:textId="612EB5D3"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10</w:t>
            </w:r>
            <w:r w:rsidR="00E10EDC" w:rsidRPr="00EB7AE1">
              <w:rPr>
                <w:sz w:val="20"/>
                <w:szCs w:val="20"/>
                <w:lang w:val="en-GB"/>
              </w:rPr>
              <w:t xml:space="preserve"> </w:t>
            </w:r>
            <w:r w:rsidRPr="00EB7AE1">
              <w:rPr>
                <w:sz w:val="20"/>
                <w:szCs w:val="20"/>
                <w:lang w:val="en-GB"/>
              </w:rPr>
              <w:t>100.0 hm</w:t>
            </w:r>
            <w:r w:rsidRPr="00EB7AE1">
              <w:rPr>
                <w:sz w:val="20"/>
                <w:szCs w:val="20"/>
                <w:vertAlign w:val="superscript"/>
                <w:lang w:val="en-GB"/>
              </w:rPr>
              <w:t>3</w:t>
            </w:r>
          </w:p>
        </w:tc>
      </w:tr>
      <w:tr w:rsidR="00BB7332" w:rsidRPr="00EB7AE1" w14:paraId="47E00CD8" w14:textId="77777777" w:rsidTr="00E10EDC">
        <w:trPr>
          <w:trHeight w:hRule="exact" w:val="586"/>
          <w:jc w:val="center"/>
        </w:trPr>
        <w:tc>
          <w:tcPr>
            <w:tcW w:w="240" w:type="pct"/>
            <w:shd w:val="clear" w:color="auto" w:fill="FFFFFF"/>
            <w:vAlign w:val="center"/>
          </w:tcPr>
          <w:p w14:paraId="3B88F237" w14:textId="4331844F" w:rsidR="00BB7332" w:rsidRPr="00EB7AE1" w:rsidRDefault="00BB7332" w:rsidP="00886E7D">
            <w:pPr>
              <w:tabs>
                <w:tab w:val="left" w:pos="2816"/>
              </w:tabs>
              <w:jc w:val="center"/>
              <w:rPr>
                <w:sz w:val="20"/>
                <w:szCs w:val="20"/>
                <w:lang w:val="en-GB"/>
              </w:rPr>
            </w:pPr>
            <w:r w:rsidRPr="00EB7AE1">
              <w:rPr>
                <w:sz w:val="20"/>
                <w:szCs w:val="20"/>
                <w:lang w:val="en-GB"/>
              </w:rPr>
              <w:t>2</w:t>
            </w:r>
          </w:p>
        </w:tc>
        <w:tc>
          <w:tcPr>
            <w:tcW w:w="1713" w:type="pct"/>
            <w:shd w:val="clear" w:color="auto" w:fill="FFFFFF"/>
            <w:vAlign w:val="center"/>
          </w:tcPr>
          <w:p w14:paraId="0FC10711" w14:textId="77777777" w:rsidR="00BB7332" w:rsidRPr="00EB7AE1" w:rsidRDefault="00BB7332" w:rsidP="00886E7D">
            <w:pPr>
              <w:tabs>
                <w:tab w:val="left" w:pos="2816"/>
              </w:tabs>
              <w:rPr>
                <w:sz w:val="20"/>
                <w:szCs w:val="20"/>
                <w:lang w:val="en-GB"/>
              </w:rPr>
            </w:pPr>
            <w:r w:rsidRPr="00EB7AE1">
              <w:rPr>
                <w:sz w:val="20"/>
                <w:szCs w:val="20"/>
                <w:lang w:val="en-GB"/>
              </w:rPr>
              <w:t>Industry share in total water consumption (%)</w:t>
            </w:r>
          </w:p>
        </w:tc>
        <w:tc>
          <w:tcPr>
            <w:tcW w:w="1014" w:type="pct"/>
            <w:shd w:val="clear" w:color="auto" w:fill="FFFFFF"/>
            <w:vAlign w:val="center"/>
          </w:tcPr>
          <w:p w14:paraId="7B38DDE8" w14:textId="77777777" w:rsidR="00BB7332" w:rsidRPr="00EB7AE1" w:rsidRDefault="00BB7332" w:rsidP="00886E7D">
            <w:pPr>
              <w:pStyle w:val="Akapitzlist"/>
              <w:tabs>
                <w:tab w:val="left" w:pos="2816"/>
              </w:tabs>
              <w:ind w:left="0"/>
              <w:jc w:val="center"/>
              <w:rPr>
                <w:sz w:val="20"/>
                <w:szCs w:val="20"/>
                <w:lang w:val="en-GB"/>
              </w:rPr>
            </w:pPr>
            <w:r w:rsidRPr="00EB7AE1">
              <w:rPr>
                <w:sz w:val="20"/>
                <w:szCs w:val="20"/>
                <w:lang w:val="en-GB"/>
              </w:rPr>
              <w:t>74%</w:t>
            </w:r>
          </w:p>
        </w:tc>
        <w:tc>
          <w:tcPr>
            <w:tcW w:w="1091" w:type="pct"/>
            <w:shd w:val="clear" w:color="auto" w:fill="FFC000"/>
            <w:vAlign w:val="center"/>
          </w:tcPr>
          <w:p w14:paraId="4FA5F91A"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73% [2017]</w:t>
            </w:r>
          </w:p>
        </w:tc>
        <w:tc>
          <w:tcPr>
            <w:tcW w:w="942" w:type="pct"/>
            <w:shd w:val="clear" w:color="auto" w:fill="FFFFFF"/>
            <w:vAlign w:val="center"/>
          </w:tcPr>
          <w:p w14:paraId="2D5242F9"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65%</w:t>
            </w:r>
          </w:p>
        </w:tc>
      </w:tr>
      <w:tr w:rsidR="00BB7332" w:rsidRPr="00EB7AE1" w14:paraId="2B97CD37" w14:textId="77777777" w:rsidTr="00E10EDC">
        <w:trPr>
          <w:trHeight w:hRule="exact" w:val="581"/>
          <w:jc w:val="center"/>
        </w:trPr>
        <w:tc>
          <w:tcPr>
            <w:tcW w:w="240" w:type="pct"/>
            <w:shd w:val="clear" w:color="auto" w:fill="FFFFFF"/>
            <w:vAlign w:val="center"/>
          </w:tcPr>
          <w:p w14:paraId="795991C2" w14:textId="5DAD9B3F" w:rsidR="00BB7332" w:rsidRPr="00EB7AE1" w:rsidRDefault="00BB7332" w:rsidP="00886E7D">
            <w:pPr>
              <w:tabs>
                <w:tab w:val="left" w:pos="2816"/>
              </w:tabs>
              <w:jc w:val="center"/>
              <w:rPr>
                <w:sz w:val="20"/>
                <w:szCs w:val="20"/>
                <w:lang w:val="en-GB"/>
              </w:rPr>
            </w:pPr>
            <w:r w:rsidRPr="00EB7AE1">
              <w:rPr>
                <w:sz w:val="20"/>
                <w:szCs w:val="20"/>
                <w:lang w:val="en-GB"/>
              </w:rPr>
              <w:t>3</w:t>
            </w:r>
          </w:p>
        </w:tc>
        <w:tc>
          <w:tcPr>
            <w:tcW w:w="1713" w:type="pct"/>
            <w:shd w:val="clear" w:color="auto" w:fill="FFFFFF"/>
            <w:vAlign w:val="center"/>
          </w:tcPr>
          <w:p w14:paraId="7C39B0C4" w14:textId="77777777" w:rsidR="00BB7332" w:rsidRPr="00EB7AE1" w:rsidRDefault="00BB7332" w:rsidP="00886E7D">
            <w:pPr>
              <w:tabs>
                <w:tab w:val="left" w:pos="2816"/>
              </w:tabs>
              <w:rPr>
                <w:sz w:val="20"/>
                <w:szCs w:val="20"/>
                <w:lang w:val="en-GB"/>
              </w:rPr>
            </w:pPr>
            <w:r w:rsidRPr="00EB7AE1">
              <w:rPr>
                <w:sz w:val="20"/>
                <w:szCs w:val="20"/>
                <w:lang w:val="en-GB"/>
              </w:rPr>
              <w:t>National forest cover level (%)</w:t>
            </w:r>
          </w:p>
        </w:tc>
        <w:tc>
          <w:tcPr>
            <w:tcW w:w="1014" w:type="pct"/>
            <w:shd w:val="clear" w:color="auto" w:fill="FFFFFF"/>
            <w:vAlign w:val="center"/>
          </w:tcPr>
          <w:p w14:paraId="4C3F419E" w14:textId="77777777" w:rsidR="00BB7332" w:rsidRPr="00EB7AE1" w:rsidRDefault="00BB7332" w:rsidP="00886E7D">
            <w:pPr>
              <w:pStyle w:val="Akapitzlist"/>
              <w:tabs>
                <w:tab w:val="left" w:pos="2816"/>
              </w:tabs>
              <w:ind w:left="0"/>
              <w:jc w:val="center"/>
              <w:rPr>
                <w:sz w:val="20"/>
                <w:szCs w:val="20"/>
                <w:lang w:val="en-GB"/>
              </w:rPr>
            </w:pPr>
            <w:r w:rsidRPr="00EB7AE1">
              <w:rPr>
                <w:sz w:val="20"/>
                <w:szCs w:val="20"/>
                <w:lang w:val="en-GB"/>
              </w:rPr>
              <w:t>29.2%</w:t>
            </w:r>
          </w:p>
        </w:tc>
        <w:tc>
          <w:tcPr>
            <w:tcW w:w="1091" w:type="pct"/>
            <w:shd w:val="clear" w:color="auto" w:fill="FFC000"/>
            <w:vAlign w:val="center"/>
          </w:tcPr>
          <w:p w14:paraId="31C53253"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29.6% [2017]</w:t>
            </w:r>
          </w:p>
        </w:tc>
        <w:tc>
          <w:tcPr>
            <w:tcW w:w="942" w:type="pct"/>
            <w:shd w:val="clear" w:color="auto" w:fill="FFFFFF"/>
            <w:vAlign w:val="center"/>
          </w:tcPr>
          <w:p w14:paraId="75287184"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30%</w:t>
            </w:r>
          </w:p>
        </w:tc>
      </w:tr>
      <w:tr w:rsidR="00BB7332" w:rsidRPr="00EB7AE1" w14:paraId="3A73CB6E" w14:textId="77777777" w:rsidTr="00E10EDC">
        <w:trPr>
          <w:trHeight w:hRule="exact" w:val="1146"/>
          <w:jc w:val="center"/>
        </w:trPr>
        <w:tc>
          <w:tcPr>
            <w:tcW w:w="240" w:type="pct"/>
            <w:shd w:val="clear" w:color="auto" w:fill="FFFFFF"/>
            <w:vAlign w:val="center"/>
          </w:tcPr>
          <w:p w14:paraId="79A87EFC" w14:textId="6829A3D7" w:rsidR="00BB7332" w:rsidRPr="00EB7AE1" w:rsidRDefault="00BB7332" w:rsidP="00886E7D">
            <w:pPr>
              <w:tabs>
                <w:tab w:val="left" w:pos="2816"/>
              </w:tabs>
              <w:jc w:val="center"/>
              <w:rPr>
                <w:sz w:val="20"/>
                <w:szCs w:val="20"/>
                <w:lang w:val="en-GB"/>
              </w:rPr>
            </w:pPr>
            <w:r w:rsidRPr="00EB7AE1">
              <w:rPr>
                <w:sz w:val="20"/>
                <w:szCs w:val="20"/>
                <w:lang w:val="en-GB"/>
              </w:rPr>
              <w:t>4</w:t>
            </w:r>
          </w:p>
        </w:tc>
        <w:tc>
          <w:tcPr>
            <w:tcW w:w="1713" w:type="pct"/>
            <w:shd w:val="clear" w:color="auto" w:fill="FFFFFF"/>
            <w:vAlign w:val="center"/>
          </w:tcPr>
          <w:p w14:paraId="501C78BD" w14:textId="77777777" w:rsidR="00BB7332" w:rsidRPr="00EB7AE1" w:rsidRDefault="00BB7332" w:rsidP="00886E7D">
            <w:pPr>
              <w:tabs>
                <w:tab w:val="left" w:pos="2816"/>
              </w:tabs>
              <w:rPr>
                <w:sz w:val="20"/>
                <w:szCs w:val="20"/>
                <w:lang w:val="en-GB"/>
              </w:rPr>
            </w:pPr>
            <w:r w:rsidRPr="00EB7AE1">
              <w:rPr>
                <w:sz w:val="20"/>
                <w:szCs w:val="20"/>
                <w:lang w:val="en-GB"/>
              </w:rPr>
              <w:t xml:space="preserve">FBI – </w:t>
            </w:r>
            <w:r w:rsidRPr="00EB7AE1">
              <w:rPr>
                <w:i/>
                <w:iCs/>
                <w:sz w:val="20"/>
                <w:szCs w:val="20"/>
                <w:lang w:val="en-GB"/>
              </w:rPr>
              <w:t>Farmland Bird Index</w:t>
            </w:r>
            <w:r w:rsidRPr="00EB7AE1">
              <w:rPr>
                <w:sz w:val="20"/>
                <w:szCs w:val="20"/>
                <w:lang w:val="en-GB"/>
              </w:rPr>
              <w:t xml:space="preserve"> (2000 = 100%)</w:t>
            </w:r>
          </w:p>
        </w:tc>
        <w:tc>
          <w:tcPr>
            <w:tcW w:w="1014" w:type="pct"/>
            <w:shd w:val="clear" w:color="auto" w:fill="FFFFFF"/>
            <w:vAlign w:val="center"/>
          </w:tcPr>
          <w:p w14:paraId="6F50D9C7" w14:textId="77777777" w:rsidR="00BB7332" w:rsidRPr="00EB7AE1" w:rsidRDefault="00BB7332" w:rsidP="00886E7D">
            <w:pPr>
              <w:pStyle w:val="Akapitzlist"/>
              <w:tabs>
                <w:tab w:val="left" w:pos="2816"/>
              </w:tabs>
              <w:ind w:left="0"/>
              <w:jc w:val="center"/>
              <w:rPr>
                <w:sz w:val="20"/>
                <w:szCs w:val="20"/>
                <w:lang w:val="en-GB"/>
              </w:rPr>
            </w:pPr>
            <w:r w:rsidRPr="00EB7AE1">
              <w:rPr>
                <w:sz w:val="20"/>
                <w:szCs w:val="20"/>
                <w:lang w:val="en-GB"/>
              </w:rPr>
              <w:t>88%</w:t>
            </w:r>
          </w:p>
        </w:tc>
        <w:tc>
          <w:tcPr>
            <w:tcW w:w="1091" w:type="pct"/>
            <w:shd w:val="clear" w:color="auto" w:fill="FF0000"/>
            <w:vAlign w:val="center"/>
          </w:tcPr>
          <w:p w14:paraId="0BBF8F72"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79.98% [2017]</w:t>
            </w:r>
          </w:p>
        </w:tc>
        <w:tc>
          <w:tcPr>
            <w:tcW w:w="942" w:type="pct"/>
            <w:shd w:val="clear" w:color="auto" w:fill="FFFFFF"/>
            <w:vAlign w:val="center"/>
          </w:tcPr>
          <w:p w14:paraId="4EEECE79"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90%</w:t>
            </w:r>
          </w:p>
        </w:tc>
      </w:tr>
      <w:tr w:rsidR="00BB7332" w:rsidRPr="00EB7AE1" w14:paraId="2CB0781D" w14:textId="77777777" w:rsidTr="00E10EDC">
        <w:trPr>
          <w:trHeight w:hRule="exact" w:val="1185"/>
          <w:jc w:val="center"/>
        </w:trPr>
        <w:tc>
          <w:tcPr>
            <w:tcW w:w="240" w:type="pct"/>
            <w:shd w:val="clear" w:color="auto" w:fill="FFFFFF"/>
            <w:vAlign w:val="center"/>
          </w:tcPr>
          <w:p w14:paraId="074FFBC7" w14:textId="207F54C9" w:rsidR="00BB7332" w:rsidRPr="00EB7AE1" w:rsidRDefault="00BB7332" w:rsidP="00886E7D">
            <w:pPr>
              <w:tabs>
                <w:tab w:val="left" w:pos="2816"/>
              </w:tabs>
              <w:jc w:val="center"/>
              <w:rPr>
                <w:sz w:val="20"/>
                <w:szCs w:val="20"/>
                <w:lang w:val="en-GB"/>
              </w:rPr>
            </w:pPr>
            <w:r w:rsidRPr="00EB7AE1">
              <w:rPr>
                <w:sz w:val="20"/>
                <w:szCs w:val="20"/>
                <w:lang w:val="en-GB"/>
              </w:rPr>
              <w:t>5</w:t>
            </w:r>
          </w:p>
        </w:tc>
        <w:tc>
          <w:tcPr>
            <w:tcW w:w="1713" w:type="pct"/>
            <w:shd w:val="clear" w:color="auto" w:fill="FFFFFF"/>
            <w:vAlign w:val="center"/>
          </w:tcPr>
          <w:p w14:paraId="227AB957" w14:textId="77777777" w:rsidR="00BB7332" w:rsidRPr="00EB7AE1" w:rsidRDefault="00BB7332" w:rsidP="00886E7D">
            <w:pPr>
              <w:tabs>
                <w:tab w:val="left" w:pos="2816"/>
              </w:tabs>
              <w:rPr>
                <w:sz w:val="20"/>
                <w:szCs w:val="20"/>
                <w:lang w:val="en-GB"/>
              </w:rPr>
            </w:pPr>
            <w:r w:rsidRPr="00EB7AE1">
              <w:rPr>
                <w:sz w:val="20"/>
                <w:szCs w:val="20"/>
                <w:lang w:val="en-GB"/>
              </w:rPr>
              <w:t>Percentage of the areas covered by current spatial development plans in the total surveying area of the country</w:t>
            </w:r>
          </w:p>
        </w:tc>
        <w:tc>
          <w:tcPr>
            <w:tcW w:w="1014" w:type="pct"/>
            <w:shd w:val="clear" w:color="auto" w:fill="FFFFFF"/>
            <w:vAlign w:val="center"/>
          </w:tcPr>
          <w:p w14:paraId="59251359" w14:textId="77777777" w:rsidR="00BB7332" w:rsidRPr="00EB7AE1" w:rsidRDefault="00BB7332" w:rsidP="00886E7D">
            <w:pPr>
              <w:pStyle w:val="Akapitzlist"/>
              <w:tabs>
                <w:tab w:val="left" w:pos="2816"/>
              </w:tabs>
              <w:ind w:left="0"/>
              <w:jc w:val="center"/>
              <w:rPr>
                <w:sz w:val="20"/>
                <w:szCs w:val="20"/>
                <w:lang w:val="en-GB"/>
              </w:rPr>
            </w:pPr>
            <w:r w:rsidRPr="00EB7AE1">
              <w:rPr>
                <w:sz w:val="20"/>
                <w:szCs w:val="20"/>
                <w:lang w:val="en-GB"/>
              </w:rPr>
              <w:t>26.4%</w:t>
            </w:r>
          </w:p>
        </w:tc>
        <w:tc>
          <w:tcPr>
            <w:tcW w:w="1091" w:type="pct"/>
            <w:shd w:val="clear" w:color="auto" w:fill="FFC000"/>
            <w:vAlign w:val="center"/>
          </w:tcPr>
          <w:p w14:paraId="7E6427E0" w14:textId="2F8A0BA5"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30.5% [2017]</w:t>
            </w:r>
          </w:p>
        </w:tc>
        <w:tc>
          <w:tcPr>
            <w:tcW w:w="942" w:type="pct"/>
            <w:shd w:val="clear" w:color="auto" w:fill="FFFFFF"/>
            <w:vAlign w:val="center"/>
          </w:tcPr>
          <w:p w14:paraId="635AC7D1"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35%</w:t>
            </w:r>
          </w:p>
        </w:tc>
      </w:tr>
      <w:tr w:rsidR="00BB7332" w:rsidRPr="00EB7AE1" w14:paraId="653FF2CB" w14:textId="77777777" w:rsidTr="00E10EDC">
        <w:trPr>
          <w:trHeight w:hRule="exact" w:val="787"/>
          <w:jc w:val="center"/>
        </w:trPr>
        <w:tc>
          <w:tcPr>
            <w:tcW w:w="5000" w:type="pct"/>
            <w:gridSpan w:val="5"/>
            <w:shd w:val="clear" w:color="auto" w:fill="FFFFFF"/>
            <w:vAlign w:val="center"/>
          </w:tcPr>
          <w:p w14:paraId="28F71FF2" w14:textId="77777777" w:rsidR="007559A5" w:rsidRPr="00EB7AE1" w:rsidRDefault="007559A5" w:rsidP="00886E7D">
            <w:pPr>
              <w:pStyle w:val="Akapitzlist"/>
              <w:tabs>
                <w:tab w:val="left" w:pos="2816"/>
              </w:tabs>
              <w:jc w:val="center"/>
              <w:rPr>
                <w:sz w:val="20"/>
                <w:szCs w:val="20"/>
                <w:lang w:val="en-GB"/>
              </w:rPr>
            </w:pPr>
          </w:p>
          <w:p w14:paraId="08FCCC8D" w14:textId="77777777" w:rsidR="00BB7332" w:rsidRPr="00EB7AE1" w:rsidRDefault="00BB7332" w:rsidP="00886E7D">
            <w:pPr>
              <w:pStyle w:val="Akapitzlist"/>
              <w:tabs>
                <w:tab w:val="left" w:pos="2816"/>
              </w:tabs>
              <w:jc w:val="center"/>
              <w:rPr>
                <w:sz w:val="20"/>
                <w:szCs w:val="20"/>
                <w:lang w:val="en-GB"/>
              </w:rPr>
            </w:pPr>
            <w:r w:rsidRPr="00EB7AE1">
              <w:rPr>
                <w:sz w:val="20"/>
                <w:szCs w:val="20"/>
                <w:lang w:val="en-GB"/>
              </w:rPr>
              <w:t>[…]</w:t>
            </w:r>
          </w:p>
        </w:tc>
      </w:tr>
      <w:tr w:rsidR="00BB7332" w:rsidRPr="00370D0E" w14:paraId="2DFD455B" w14:textId="77777777" w:rsidTr="00E10EDC">
        <w:trPr>
          <w:trHeight w:hRule="exact" w:val="787"/>
          <w:jc w:val="center"/>
        </w:trPr>
        <w:tc>
          <w:tcPr>
            <w:tcW w:w="5000" w:type="pct"/>
            <w:gridSpan w:val="5"/>
            <w:shd w:val="clear" w:color="auto" w:fill="FFFFFF"/>
            <w:vAlign w:val="center"/>
          </w:tcPr>
          <w:p w14:paraId="2B9156F0" w14:textId="77777777" w:rsidR="007559A5" w:rsidRPr="00EB7AE1" w:rsidRDefault="007559A5" w:rsidP="00886E7D">
            <w:pPr>
              <w:pStyle w:val="Akapitzlist"/>
              <w:tabs>
                <w:tab w:val="left" w:pos="2816"/>
              </w:tabs>
              <w:jc w:val="center"/>
              <w:rPr>
                <w:b/>
                <w:bCs/>
                <w:sz w:val="20"/>
                <w:szCs w:val="20"/>
                <w:lang w:val="en-GB"/>
              </w:rPr>
            </w:pPr>
          </w:p>
          <w:p w14:paraId="61525114" w14:textId="77777777" w:rsidR="00BB7332" w:rsidRPr="00EB7AE1" w:rsidRDefault="00BB7332" w:rsidP="00886E7D">
            <w:pPr>
              <w:pStyle w:val="Akapitzlist"/>
              <w:tabs>
                <w:tab w:val="left" w:pos="2816"/>
              </w:tabs>
              <w:jc w:val="center"/>
              <w:rPr>
                <w:sz w:val="20"/>
                <w:szCs w:val="20"/>
                <w:lang w:val="en-GB"/>
              </w:rPr>
            </w:pPr>
            <w:r w:rsidRPr="00EB7AE1">
              <w:rPr>
                <w:b/>
                <w:bCs/>
                <w:sz w:val="20"/>
                <w:szCs w:val="20"/>
                <w:lang w:val="en-GB"/>
              </w:rPr>
              <w:t>Objective 3. Improvement of the condition of the environment</w:t>
            </w:r>
          </w:p>
        </w:tc>
      </w:tr>
      <w:tr w:rsidR="00BB7332" w:rsidRPr="00370D0E" w14:paraId="7049231E" w14:textId="77777777" w:rsidTr="00E10EDC">
        <w:trPr>
          <w:trHeight w:hRule="exact" w:val="1144"/>
          <w:jc w:val="center"/>
        </w:trPr>
        <w:tc>
          <w:tcPr>
            <w:tcW w:w="240" w:type="pct"/>
            <w:vMerge w:val="restart"/>
            <w:shd w:val="clear" w:color="auto" w:fill="FFFFFF"/>
            <w:vAlign w:val="center"/>
          </w:tcPr>
          <w:p w14:paraId="685A8CC6" w14:textId="4FE46927" w:rsidR="00BB7332" w:rsidRPr="00EB7AE1" w:rsidRDefault="00BB7332" w:rsidP="00886E7D">
            <w:pPr>
              <w:tabs>
                <w:tab w:val="left" w:pos="2816"/>
              </w:tabs>
              <w:jc w:val="center"/>
              <w:rPr>
                <w:sz w:val="20"/>
                <w:szCs w:val="20"/>
                <w:lang w:val="en-GB"/>
              </w:rPr>
            </w:pPr>
            <w:r w:rsidRPr="00EB7AE1">
              <w:rPr>
                <w:sz w:val="20"/>
                <w:szCs w:val="20"/>
                <w:lang w:val="en-GB"/>
              </w:rPr>
              <w:t>6</w:t>
            </w:r>
          </w:p>
        </w:tc>
        <w:tc>
          <w:tcPr>
            <w:tcW w:w="1713" w:type="pct"/>
            <w:vMerge w:val="restart"/>
            <w:shd w:val="clear" w:color="auto" w:fill="FFFFFF"/>
            <w:vAlign w:val="center"/>
          </w:tcPr>
          <w:p w14:paraId="74D7642A" w14:textId="77777777" w:rsidR="00BB7332" w:rsidRPr="00EB7AE1" w:rsidRDefault="00BB7332" w:rsidP="00886E7D">
            <w:pPr>
              <w:tabs>
                <w:tab w:val="left" w:pos="2816"/>
              </w:tabs>
              <w:rPr>
                <w:sz w:val="20"/>
                <w:szCs w:val="20"/>
                <w:lang w:val="en-GB"/>
              </w:rPr>
            </w:pPr>
            <w:r w:rsidRPr="00EB7AE1">
              <w:rPr>
                <w:sz w:val="20"/>
                <w:szCs w:val="20"/>
                <w:lang w:val="en-GB"/>
              </w:rPr>
              <w:t>Ecological condition/potential of water bodies (Class I-V)</w:t>
            </w:r>
          </w:p>
        </w:tc>
        <w:tc>
          <w:tcPr>
            <w:tcW w:w="1014" w:type="pct"/>
            <w:shd w:val="clear" w:color="auto" w:fill="FFFFFF"/>
            <w:vAlign w:val="center"/>
          </w:tcPr>
          <w:p w14:paraId="062A901B" w14:textId="77777777" w:rsidR="00BB7332" w:rsidRPr="00EB7AE1" w:rsidRDefault="00BB7332" w:rsidP="00886E7D">
            <w:pPr>
              <w:tabs>
                <w:tab w:val="left" w:pos="2816"/>
              </w:tabs>
              <w:jc w:val="center"/>
              <w:rPr>
                <w:sz w:val="20"/>
                <w:szCs w:val="20"/>
                <w:lang w:val="en-GB"/>
              </w:rPr>
            </w:pPr>
            <w:r w:rsidRPr="00EB7AE1">
              <w:rPr>
                <w:sz w:val="20"/>
                <w:szCs w:val="20"/>
                <w:lang w:val="en-GB"/>
              </w:rPr>
              <w:t>rivers (natural WBs) – very good and good – 16%</w:t>
            </w:r>
          </w:p>
        </w:tc>
        <w:tc>
          <w:tcPr>
            <w:tcW w:w="1091" w:type="pct"/>
            <w:shd w:val="clear" w:color="auto" w:fill="92D050"/>
            <w:vAlign w:val="center"/>
          </w:tcPr>
          <w:p w14:paraId="29E6FE34"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27.9% [2015]</w:t>
            </w:r>
          </w:p>
        </w:tc>
        <w:tc>
          <w:tcPr>
            <w:tcW w:w="942" w:type="pct"/>
            <w:vMerge w:val="restart"/>
            <w:shd w:val="clear" w:color="auto" w:fill="FFFFFF"/>
            <w:vAlign w:val="center"/>
          </w:tcPr>
          <w:p w14:paraId="1DB2D2AE" w14:textId="77777777" w:rsidR="00BB7332" w:rsidRPr="00EB7AE1" w:rsidRDefault="00BB7332" w:rsidP="00886E7D">
            <w:pPr>
              <w:tabs>
                <w:tab w:val="left" w:pos="2816"/>
              </w:tabs>
              <w:jc w:val="center"/>
              <w:rPr>
                <w:sz w:val="20"/>
                <w:szCs w:val="20"/>
                <w:lang w:val="en-GB"/>
              </w:rPr>
            </w:pPr>
            <w:r w:rsidRPr="00EB7AE1">
              <w:rPr>
                <w:sz w:val="20"/>
                <w:szCs w:val="20"/>
                <w:lang w:val="en-GB"/>
              </w:rPr>
              <w:t>increase in the percentage of WBs in good and very good condition/potential</w:t>
            </w:r>
          </w:p>
        </w:tc>
      </w:tr>
      <w:tr w:rsidR="00BB7332" w:rsidRPr="00EB7AE1" w14:paraId="31E54F6E" w14:textId="77777777" w:rsidTr="00E10EDC">
        <w:trPr>
          <w:trHeight w:hRule="exact" w:val="853"/>
          <w:jc w:val="center"/>
        </w:trPr>
        <w:tc>
          <w:tcPr>
            <w:tcW w:w="240" w:type="pct"/>
            <w:vMerge/>
            <w:shd w:val="clear" w:color="auto" w:fill="FFFFFF"/>
            <w:vAlign w:val="center"/>
          </w:tcPr>
          <w:p w14:paraId="40D521CC" w14:textId="77777777" w:rsidR="00BB7332" w:rsidRPr="00EB7AE1" w:rsidRDefault="00BB7332" w:rsidP="00886E7D">
            <w:pPr>
              <w:pStyle w:val="Akapitzlist"/>
              <w:tabs>
                <w:tab w:val="left" w:pos="2816"/>
              </w:tabs>
              <w:jc w:val="center"/>
              <w:rPr>
                <w:sz w:val="20"/>
                <w:szCs w:val="20"/>
                <w:lang w:val="en-GB"/>
              </w:rPr>
            </w:pPr>
          </w:p>
        </w:tc>
        <w:tc>
          <w:tcPr>
            <w:tcW w:w="1713" w:type="pct"/>
            <w:vMerge/>
            <w:shd w:val="clear" w:color="auto" w:fill="FFFFFF"/>
            <w:vAlign w:val="center"/>
          </w:tcPr>
          <w:p w14:paraId="4B7E582A" w14:textId="77777777" w:rsidR="00BB7332" w:rsidRPr="00EB7AE1" w:rsidRDefault="00BB7332" w:rsidP="00886E7D">
            <w:pPr>
              <w:pStyle w:val="Akapitzlist"/>
              <w:tabs>
                <w:tab w:val="left" w:pos="2816"/>
              </w:tabs>
              <w:jc w:val="center"/>
              <w:rPr>
                <w:sz w:val="20"/>
                <w:szCs w:val="20"/>
                <w:lang w:val="en-GB"/>
              </w:rPr>
            </w:pPr>
          </w:p>
        </w:tc>
        <w:tc>
          <w:tcPr>
            <w:tcW w:w="1014" w:type="pct"/>
            <w:shd w:val="clear" w:color="auto" w:fill="FFFFFF"/>
            <w:vAlign w:val="center"/>
          </w:tcPr>
          <w:p w14:paraId="490920EB" w14:textId="77777777" w:rsidR="00BB7332" w:rsidRPr="00EB7AE1" w:rsidRDefault="00BB7332" w:rsidP="00886E7D">
            <w:pPr>
              <w:tabs>
                <w:tab w:val="left" w:pos="2816"/>
              </w:tabs>
              <w:jc w:val="center"/>
              <w:rPr>
                <w:sz w:val="20"/>
                <w:szCs w:val="20"/>
                <w:lang w:val="en-GB"/>
              </w:rPr>
            </w:pPr>
            <w:r w:rsidRPr="00EB7AE1">
              <w:rPr>
                <w:sz w:val="20"/>
                <w:szCs w:val="20"/>
                <w:lang w:val="en-GB"/>
              </w:rPr>
              <w:t>rivers (natural WBs) – below good – 84%</w:t>
            </w:r>
          </w:p>
        </w:tc>
        <w:tc>
          <w:tcPr>
            <w:tcW w:w="1091" w:type="pct"/>
            <w:shd w:val="clear" w:color="auto" w:fill="92D050"/>
            <w:vAlign w:val="center"/>
          </w:tcPr>
          <w:p w14:paraId="7E40B328"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72.1% [2015]</w:t>
            </w:r>
          </w:p>
        </w:tc>
        <w:tc>
          <w:tcPr>
            <w:tcW w:w="942" w:type="pct"/>
            <w:vMerge/>
            <w:shd w:val="clear" w:color="auto" w:fill="FFFFFF"/>
            <w:vAlign w:val="center"/>
          </w:tcPr>
          <w:p w14:paraId="1325F2EE" w14:textId="77777777" w:rsidR="00BB7332" w:rsidRPr="00EB7AE1" w:rsidRDefault="00BB7332" w:rsidP="00886E7D">
            <w:pPr>
              <w:pStyle w:val="Akapitzlist"/>
              <w:tabs>
                <w:tab w:val="left" w:pos="2816"/>
              </w:tabs>
              <w:jc w:val="center"/>
              <w:rPr>
                <w:sz w:val="20"/>
                <w:szCs w:val="20"/>
                <w:lang w:val="en-GB"/>
              </w:rPr>
            </w:pPr>
          </w:p>
        </w:tc>
      </w:tr>
      <w:tr w:rsidR="00BB7332" w:rsidRPr="00EB7AE1" w14:paraId="09751E22" w14:textId="77777777" w:rsidTr="00E10EDC">
        <w:trPr>
          <w:trHeight w:hRule="exact" w:val="1268"/>
          <w:jc w:val="center"/>
        </w:trPr>
        <w:tc>
          <w:tcPr>
            <w:tcW w:w="240" w:type="pct"/>
            <w:vMerge/>
            <w:shd w:val="clear" w:color="auto" w:fill="FFFFFF"/>
            <w:vAlign w:val="center"/>
          </w:tcPr>
          <w:p w14:paraId="452506ED" w14:textId="77777777" w:rsidR="00BB7332" w:rsidRPr="00EB7AE1" w:rsidRDefault="00BB7332" w:rsidP="00886E7D">
            <w:pPr>
              <w:pStyle w:val="Akapitzlist"/>
              <w:tabs>
                <w:tab w:val="left" w:pos="2816"/>
              </w:tabs>
              <w:jc w:val="center"/>
              <w:rPr>
                <w:sz w:val="20"/>
                <w:szCs w:val="20"/>
                <w:lang w:val="en-GB"/>
              </w:rPr>
            </w:pPr>
          </w:p>
        </w:tc>
        <w:tc>
          <w:tcPr>
            <w:tcW w:w="1713" w:type="pct"/>
            <w:vMerge/>
            <w:shd w:val="clear" w:color="auto" w:fill="FFFFFF"/>
            <w:vAlign w:val="center"/>
          </w:tcPr>
          <w:p w14:paraId="38879561" w14:textId="77777777" w:rsidR="00BB7332" w:rsidRPr="00EB7AE1" w:rsidRDefault="00BB7332" w:rsidP="00886E7D">
            <w:pPr>
              <w:pStyle w:val="Akapitzlist"/>
              <w:tabs>
                <w:tab w:val="left" w:pos="2816"/>
              </w:tabs>
              <w:jc w:val="center"/>
              <w:rPr>
                <w:sz w:val="20"/>
                <w:szCs w:val="20"/>
                <w:lang w:val="en-GB"/>
              </w:rPr>
            </w:pPr>
          </w:p>
        </w:tc>
        <w:tc>
          <w:tcPr>
            <w:tcW w:w="1014" w:type="pct"/>
            <w:shd w:val="clear" w:color="auto" w:fill="FFFFFF"/>
            <w:vAlign w:val="center"/>
          </w:tcPr>
          <w:p w14:paraId="447A7790" w14:textId="77777777" w:rsidR="00BB7332" w:rsidRPr="00EB7AE1" w:rsidRDefault="00BB7332" w:rsidP="00886E7D">
            <w:pPr>
              <w:tabs>
                <w:tab w:val="left" w:pos="2816"/>
              </w:tabs>
              <w:jc w:val="center"/>
              <w:rPr>
                <w:sz w:val="20"/>
                <w:szCs w:val="20"/>
                <w:lang w:val="en-GB"/>
              </w:rPr>
            </w:pPr>
            <w:r w:rsidRPr="00EB7AE1">
              <w:rPr>
                <w:sz w:val="20"/>
                <w:szCs w:val="20"/>
                <w:lang w:val="en-GB"/>
              </w:rPr>
              <w:t>rivers (artificially and strongly modified WBs) – maximum or good – 17.1%</w:t>
            </w:r>
          </w:p>
        </w:tc>
        <w:tc>
          <w:tcPr>
            <w:tcW w:w="1091" w:type="pct"/>
            <w:shd w:val="clear" w:color="auto" w:fill="92D050"/>
            <w:vAlign w:val="center"/>
          </w:tcPr>
          <w:p w14:paraId="2949BA89"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31% [2015]</w:t>
            </w:r>
          </w:p>
        </w:tc>
        <w:tc>
          <w:tcPr>
            <w:tcW w:w="942" w:type="pct"/>
            <w:vMerge/>
            <w:shd w:val="clear" w:color="auto" w:fill="FFFFFF"/>
            <w:vAlign w:val="center"/>
          </w:tcPr>
          <w:p w14:paraId="0C85F0D7" w14:textId="77777777" w:rsidR="00BB7332" w:rsidRPr="00EB7AE1" w:rsidRDefault="00BB7332" w:rsidP="00886E7D">
            <w:pPr>
              <w:pStyle w:val="Akapitzlist"/>
              <w:tabs>
                <w:tab w:val="left" w:pos="2816"/>
              </w:tabs>
              <w:jc w:val="center"/>
              <w:rPr>
                <w:sz w:val="20"/>
                <w:szCs w:val="20"/>
                <w:lang w:val="en-GB"/>
              </w:rPr>
            </w:pPr>
          </w:p>
        </w:tc>
      </w:tr>
      <w:tr w:rsidR="00BB7332" w:rsidRPr="00EB7AE1" w14:paraId="2B229F41" w14:textId="77777777" w:rsidTr="00E10EDC">
        <w:trPr>
          <w:trHeight w:hRule="exact" w:val="1068"/>
          <w:jc w:val="center"/>
        </w:trPr>
        <w:tc>
          <w:tcPr>
            <w:tcW w:w="240" w:type="pct"/>
            <w:vMerge/>
            <w:shd w:val="clear" w:color="auto" w:fill="FFFFFF"/>
            <w:vAlign w:val="center"/>
          </w:tcPr>
          <w:p w14:paraId="6D11B067" w14:textId="77777777" w:rsidR="00BB7332" w:rsidRPr="00EB7AE1" w:rsidRDefault="00BB7332" w:rsidP="00886E7D">
            <w:pPr>
              <w:pStyle w:val="Akapitzlist"/>
              <w:tabs>
                <w:tab w:val="left" w:pos="2816"/>
              </w:tabs>
              <w:jc w:val="center"/>
              <w:rPr>
                <w:sz w:val="20"/>
                <w:szCs w:val="20"/>
                <w:lang w:val="en-GB"/>
              </w:rPr>
            </w:pPr>
          </w:p>
        </w:tc>
        <w:tc>
          <w:tcPr>
            <w:tcW w:w="1713" w:type="pct"/>
            <w:vMerge/>
            <w:shd w:val="clear" w:color="auto" w:fill="FFFFFF"/>
            <w:vAlign w:val="center"/>
          </w:tcPr>
          <w:p w14:paraId="5AA94625" w14:textId="77777777" w:rsidR="00BB7332" w:rsidRPr="00EB7AE1" w:rsidRDefault="00BB7332" w:rsidP="00886E7D">
            <w:pPr>
              <w:pStyle w:val="Akapitzlist"/>
              <w:tabs>
                <w:tab w:val="left" w:pos="2816"/>
              </w:tabs>
              <w:jc w:val="center"/>
              <w:rPr>
                <w:sz w:val="20"/>
                <w:szCs w:val="20"/>
                <w:lang w:val="en-GB"/>
              </w:rPr>
            </w:pPr>
          </w:p>
        </w:tc>
        <w:tc>
          <w:tcPr>
            <w:tcW w:w="1014" w:type="pct"/>
            <w:shd w:val="clear" w:color="auto" w:fill="FFFFFF"/>
            <w:vAlign w:val="center"/>
          </w:tcPr>
          <w:p w14:paraId="2AF4D47B" w14:textId="77777777" w:rsidR="00BB7332" w:rsidRPr="00EB7AE1" w:rsidRDefault="00BB7332" w:rsidP="00886E7D">
            <w:pPr>
              <w:tabs>
                <w:tab w:val="left" w:pos="2816"/>
              </w:tabs>
              <w:jc w:val="center"/>
              <w:rPr>
                <w:sz w:val="20"/>
                <w:szCs w:val="20"/>
                <w:lang w:val="en-GB"/>
              </w:rPr>
            </w:pPr>
            <w:r w:rsidRPr="00EB7AE1">
              <w:rPr>
                <w:sz w:val="20"/>
                <w:szCs w:val="20"/>
                <w:lang w:val="en-GB"/>
              </w:rPr>
              <w:t>rivers (artificially and strongly modified WBs) – below good – 82.9%</w:t>
            </w:r>
          </w:p>
        </w:tc>
        <w:tc>
          <w:tcPr>
            <w:tcW w:w="1091" w:type="pct"/>
            <w:shd w:val="clear" w:color="auto" w:fill="92D050"/>
            <w:vAlign w:val="center"/>
          </w:tcPr>
          <w:p w14:paraId="0D8840C3"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69% [2015]</w:t>
            </w:r>
          </w:p>
        </w:tc>
        <w:tc>
          <w:tcPr>
            <w:tcW w:w="942" w:type="pct"/>
            <w:vMerge/>
            <w:shd w:val="clear" w:color="auto" w:fill="FFFFFF"/>
            <w:vAlign w:val="center"/>
          </w:tcPr>
          <w:p w14:paraId="3F2936A8" w14:textId="77777777" w:rsidR="00BB7332" w:rsidRPr="00EB7AE1" w:rsidRDefault="00BB7332" w:rsidP="00886E7D">
            <w:pPr>
              <w:pStyle w:val="Akapitzlist"/>
              <w:tabs>
                <w:tab w:val="left" w:pos="2816"/>
              </w:tabs>
              <w:jc w:val="center"/>
              <w:rPr>
                <w:sz w:val="20"/>
                <w:szCs w:val="20"/>
                <w:lang w:val="en-GB"/>
              </w:rPr>
            </w:pPr>
          </w:p>
        </w:tc>
      </w:tr>
      <w:tr w:rsidR="00BB7332" w:rsidRPr="00370D0E" w14:paraId="54F10670" w14:textId="77777777" w:rsidTr="00E10EDC">
        <w:trPr>
          <w:trHeight w:hRule="exact" w:val="806"/>
          <w:jc w:val="center"/>
        </w:trPr>
        <w:tc>
          <w:tcPr>
            <w:tcW w:w="240" w:type="pct"/>
            <w:vMerge w:val="restart"/>
            <w:shd w:val="clear" w:color="auto" w:fill="FFFFFF"/>
            <w:vAlign w:val="center"/>
          </w:tcPr>
          <w:p w14:paraId="6A443A61" w14:textId="08A2D79C" w:rsidR="00BB7332" w:rsidRPr="00EB7AE1" w:rsidRDefault="00BB7332" w:rsidP="00886E7D">
            <w:pPr>
              <w:tabs>
                <w:tab w:val="left" w:pos="2816"/>
              </w:tabs>
              <w:jc w:val="center"/>
              <w:rPr>
                <w:sz w:val="20"/>
                <w:szCs w:val="20"/>
                <w:lang w:val="en-GB"/>
              </w:rPr>
            </w:pPr>
            <w:r w:rsidRPr="00EB7AE1">
              <w:rPr>
                <w:sz w:val="20"/>
                <w:szCs w:val="20"/>
                <w:lang w:val="en-GB"/>
              </w:rPr>
              <w:t>7</w:t>
            </w:r>
          </w:p>
        </w:tc>
        <w:tc>
          <w:tcPr>
            <w:tcW w:w="1713" w:type="pct"/>
            <w:vMerge w:val="restart"/>
            <w:shd w:val="clear" w:color="auto" w:fill="FFFFFF"/>
            <w:vAlign w:val="center"/>
          </w:tcPr>
          <w:p w14:paraId="56809D2A" w14:textId="77777777" w:rsidR="00BB7332" w:rsidRPr="00EB7AE1" w:rsidRDefault="00BB7332" w:rsidP="00886E7D">
            <w:pPr>
              <w:tabs>
                <w:tab w:val="left" w:pos="2816"/>
              </w:tabs>
              <w:rPr>
                <w:sz w:val="20"/>
                <w:szCs w:val="20"/>
                <w:lang w:val="en-GB"/>
              </w:rPr>
            </w:pPr>
            <w:r w:rsidRPr="00EB7AE1">
              <w:rPr>
                <w:sz w:val="20"/>
                <w:szCs w:val="20"/>
                <w:lang w:val="en-GB"/>
              </w:rPr>
              <w:t>Chemical condition of water bodies (good/below good)</w:t>
            </w:r>
          </w:p>
        </w:tc>
        <w:tc>
          <w:tcPr>
            <w:tcW w:w="1014" w:type="pct"/>
            <w:shd w:val="clear" w:color="auto" w:fill="FFFFFF"/>
            <w:vAlign w:val="center"/>
          </w:tcPr>
          <w:p w14:paraId="1F1A2CC0" w14:textId="77777777" w:rsidR="00BB7332" w:rsidRPr="00EB7AE1" w:rsidRDefault="00BB7332" w:rsidP="00886E7D">
            <w:pPr>
              <w:tabs>
                <w:tab w:val="left" w:pos="2816"/>
              </w:tabs>
              <w:jc w:val="center"/>
              <w:rPr>
                <w:sz w:val="20"/>
                <w:szCs w:val="20"/>
                <w:lang w:val="en-GB"/>
              </w:rPr>
            </w:pPr>
            <w:r w:rsidRPr="00EB7AE1">
              <w:rPr>
                <w:sz w:val="20"/>
                <w:szCs w:val="20"/>
                <w:lang w:val="en-GB"/>
              </w:rPr>
              <w:t>rivers – good condition – 44%</w:t>
            </w:r>
          </w:p>
        </w:tc>
        <w:tc>
          <w:tcPr>
            <w:tcW w:w="1091" w:type="pct"/>
            <w:shd w:val="clear" w:color="auto" w:fill="92D050"/>
            <w:vAlign w:val="center"/>
          </w:tcPr>
          <w:p w14:paraId="4A338915"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69.4% [2015]</w:t>
            </w:r>
          </w:p>
        </w:tc>
        <w:tc>
          <w:tcPr>
            <w:tcW w:w="942" w:type="pct"/>
            <w:vMerge w:val="restart"/>
            <w:shd w:val="clear" w:color="auto" w:fill="FFFFFF"/>
            <w:vAlign w:val="center"/>
          </w:tcPr>
          <w:p w14:paraId="361EC179" w14:textId="77777777" w:rsidR="00BB7332" w:rsidRPr="00EB7AE1" w:rsidRDefault="00BB7332" w:rsidP="00886E7D">
            <w:pPr>
              <w:tabs>
                <w:tab w:val="left" w:pos="2816"/>
              </w:tabs>
              <w:jc w:val="center"/>
              <w:rPr>
                <w:sz w:val="20"/>
                <w:szCs w:val="20"/>
                <w:lang w:val="en-GB"/>
              </w:rPr>
            </w:pPr>
            <w:r w:rsidRPr="00EB7AE1">
              <w:rPr>
                <w:sz w:val="20"/>
                <w:szCs w:val="20"/>
                <w:lang w:val="en-GB"/>
              </w:rPr>
              <w:t>increase in the percentage of WBs in good condition</w:t>
            </w:r>
          </w:p>
        </w:tc>
      </w:tr>
      <w:tr w:rsidR="00BB7332" w:rsidRPr="00EB7AE1" w14:paraId="70EAB837" w14:textId="77777777" w:rsidTr="00E10EDC">
        <w:trPr>
          <w:trHeight w:hRule="exact" w:val="806"/>
          <w:jc w:val="center"/>
        </w:trPr>
        <w:tc>
          <w:tcPr>
            <w:tcW w:w="240" w:type="pct"/>
            <w:vMerge/>
            <w:shd w:val="clear" w:color="auto" w:fill="FFFFFF"/>
          </w:tcPr>
          <w:p w14:paraId="3D90DB77" w14:textId="77777777" w:rsidR="00BB7332" w:rsidRPr="00EB7AE1" w:rsidRDefault="00BB7332" w:rsidP="00886E7D">
            <w:pPr>
              <w:pStyle w:val="Akapitzlist"/>
              <w:tabs>
                <w:tab w:val="left" w:pos="2816"/>
              </w:tabs>
              <w:jc w:val="center"/>
              <w:rPr>
                <w:sz w:val="20"/>
                <w:szCs w:val="20"/>
                <w:lang w:val="en-GB"/>
              </w:rPr>
            </w:pPr>
          </w:p>
        </w:tc>
        <w:tc>
          <w:tcPr>
            <w:tcW w:w="1713" w:type="pct"/>
            <w:vMerge/>
            <w:shd w:val="clear" w:color="auto" w:fill="FFFFFF"/>
          </w:tcPr>
          <w:p w14:paraId="794049D4" w14:textId="77777777" w:rsidR="00BB7332" w:rsidRPr="00EB7AE1" w:rsidRDefault="00BB7332" w:rsidP="00886E7D">
            <w:pPr>
              <w:pStyle w:val="Akapitzlist"/>
              <w:tabs>
                <w:tab w:val="left" w:pos="2816"/>
              </w:tabs>
              <w:jc w:val="center"/>
              <w:rPr>
                <w:sz w:val="20"/>
                <w:szCs w:val="20"/>
                <w:lang w:val="en-GB"/>
              </w:rPr>
            </w:pPr>
          </w:p>
        </w:tc>
        <w:tc>
          <w:tcPr>
            <w:tcW w:w="1014" w:type="pct"/>
            <w:shd w:val="clear" w:color="auto" w:fill="FFFFFF"/>
            <w:vAlign w:val="center"/>
          </w:tcPr>
          <w:p w14:paraId="325D55E8" w14:textId="77777777" w:rsidR="00BB7332" w:rsidRPr="00EB7AE1" w:rsidRDefault="00BB7332" w:rsidP="00886E7D">
            <w:pPr>
              <w:tabs>
                <w:tab w:val="left" w:pos="2816"/>
              </w:tabs>
              <w:jc w:val="center"/>
              <w:rPr>
                <w:sz w:val="20"/>
                <w:szCs w:val="20"/>
                <w:lang w:val="en-GB"/>
              </w:rPr>
            </w:pPr>
            <w:r w:rsidRPr="00EB7AE1">
              <w:rPr>
                <w:sz w:val="20"/>
                <w:szCs w:val="20"/>
                <w:lang w:val="en-GB"/>
              </w:rPr>
              <w:t>rivers – condition below good – 56%</w:t>
            </w:r>
          </w:p>
        </w:tc>
        <w:tc>
          <w:tcPr>
            <w:tcW w:w="1091" w:type="pct"/>
            <w:shd w:val="clear" w:color="auto" w:fill="92D050"/>
            <w:vAlign w:val="center"/>
          </w:tcPr>
          <w:p w14:paraId="41B583EA"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30.6% [2015]</w:t>
            </w:r>
          </w:p>
        </w:tc>
        <w:tc>
          <w:tcPr>
            <w:tcW w:w="942" w:type="pct"/>
            <w:vMerge/>
            <w:shd w:val="clear" w:color="auto" w:fill="FFFFFF"/>
          </w:tcPr>
          <w:p w14:paraId="6B9291A8" w14:textId="77777777" w:rsidR="00BB7332" w:rsidRPr="00EB7AE1" w:rsidRDefault="00BB7332" w:rsidP="00886E7D">
            <w:pPr>
              <w:pStyle w:val="Akapitzlist"/>
              <w:tabs>
                <w:tab w:val="left" w:pos="2816"/>
              </w:tabs>
              <w:jc w:val="center"/>
              <w:rPr>
                <w:sz w:val="20"/>
                <w:szCs w:val="20"/>
                <w:lang w:val="en-GB"/>
              </w:rPr>
            </w:pPr>
          </w:p>
        </w:tc>
      </w:tr>
      <w:tr w:rsidR="00BB7332" w:rsidRPr="00370D0E" w14:paraId="40C5BC76" w14:textId="77777777" w:rsidTr="00D91802">
        <w:trPr>
          <w:trHeight w:hRule="exact" w:val="806"/>
          <w:jc w:val="center"/>
        </w:trPr>
        <w:tc>
          <w:tcPr>
            <w:tcW w:w="240" w:type="pct"/>
            <w:vMerge w:val="restart"/>
            <w:shd w:val="clear" w:color="auto" w:fill="FFFFFF"/>
            <w:vAlign w:val="center"/>
          </w:tcPr>
          <w:p w14:paraId="77A9FC41" w14:textId="6A36385D" w:rsidR="00BB7332" w:rsidRPr="00EB7AE1" w:rsidRDefault="00BB7332" w:rsidP="00886E7D">
            <w:pPr>
              <w:tabs>
                <w:tab w:val="left" w:pos="2816"/>
              </w:tabs>
              <w:jc w:val="center"/>
              <w:rPr>
                <w:sz w:val="20"/>
                <w:szCs w:val="20"/>
                <w:lang w:val="en-GB"/>
              </w:rPr>
            </w:pPr>
            <w:r w:rsidRPr="00EB7AE1">
              <w:rPr>
                <w:sz w:val="20"/>
                <w:szCs w:val="20"/>
                <w:lang w:val="en-GB"/>
              </w:rPr>
              <w:t>8</w:t>
            </w:r>
          </w:p>
        </w:tc>
        <w:tc>
          <w:tcPr>
            <w:tcW w:w="1713" w:type="pct"/>
            <w:vMerge w:val="restart"/>
            <w:shd w:val="clear" w:color="auto" w:fill="FFFFFF"/>
            <w:vAlign w:val="center"/>
          </w:tcPr>
          <w:p w14:paraId="4F3F4791" w14:textId="77777777" w:rsidR="00BB7332" w:rsidRPr="00EB7AE1" w:rsidRDefault="00BB7332" w:rsidP="00886E7D">
            <w:pPr>
              <w:tabs>
                <w:tab w:val="left" w:pos="2816"/>
              </w:tabs>
              <w:rPr>
                <w:sz w:val="20"/>
                <w:szCs w:val="20"/>
                <w:lang w:val="en-GB"/>
              </w:rPr>
            </w:pPr>
            <w:r w:rsidRPr="00EB7AE1">
              <w:rPr>
                <w:sz w:val="20"/>
                <w:szCs w:val="20"/>
                <w:lang w:val="en-GB"/>
              </w:rPr>
              <w:t>Condition of water bodies (good/bad)</w:t>
            </w:r>
          </w:p>
        </w:tc>
        <w:tc>
          <w:tcPr>
            <w:tcW w:w="1014" w:type="pct"/>
            <w:shd w:val="clear" w:color="auto" w:fill="FFFFFF"/>
            <w:vAlign w:val="center"/>
          </w:tcPr>
          <w:p w14:paraId="49A96C8D" w14:textId="77777777" w:rsidR="00BB7332" w:rsidRPr="00EB7AE1" w:rsidRDefault="00BB7332" w:rsidP="00886E7D">
            <w:pPr>
              <w:tabs>
                <w:tab w:val="left" w:pos="2816"/>
              </w:tabs>
              <w:jc w:val="center"/>
              <w:rPr>
                <w:sz w:val="20"/>
                <w:szCs w:val="20"/>
                <w:lang w:val="en-GB"/>
              </w:rPr>
            </w:pPr>
            <w:r w:rsidRPr="00EB7AE1">
              <w:rPr>
                <w:sz w:val="20"/>
                <w:szCs w:val="20"/>
                <w:lang w:val="en-GB"/>
              </w:rPr>
              <w:t>rivers – good condition – 11.2%</w:t>
            </w:r>
          </w:p>
        </w:tc>
        <w:tc>
          <w:tcPr>
            <w:tcW w:w="1091" w:type="pct"/>
            <w:shd w:val="clear" w:color="auto" w:fill="FF0000"/>
            <w:vAlign w:val="center"/>
          </w:tcPr>
          <w:p w14:paraId="03B64620"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10.9% [2015]</w:t>
            </w:r>
          </w:p>
        </w:tc>
        <w:tc>
          <w:tcPr>
            <w:tcW w:w="942" w:type="pct"/>
            <w:vMerge w:val="restart"/>
            <w:shd w:val="clear" w:color="auto" w:fill="FFFFFF"/>
            <w:vAlign w:val="center"/>
          </w:tcPr>
          <w:p w14:paraId="02ACF87E" w14:textId="77777777" w:rsidR="00BB7332" w:rsidRPr="00EB7AE1" w:rsidRDefault="00BB7332" w:rsidP="00886E7D">
            <w:pPr>
              <w:tabs>
                <w:tab w:val="left" w:pos="2816"/>
              </w:tabs>
              <w:jc w:val="center"/>
              <w:rPr>
                <w:sz w:val="20"/>
                <w:szCs w:val="20"/>
                <w:lang w:val="en-GB"/>
              </w:rPr>
            </w:pPr>
            <w:r w:rsidRPr="00EB7AE1">
              <w:rPr>
                <w:sz w:val="20"/>
                <w:szCs w:val="20"/>
                <w:lang w:val="en-GB"/>
              </w:rPr>
              <w:t>increase in the percentage of WBs in good condition</w:t>
            </w:r>
          </w:p>
        </w:tc>
      </w:tr>
      <w:tr w:rsidR="00BB7332" w:rsidRPr="00EB7AE1" w14:paraId="2DCDA914" w14:textId="77777777" w:rsidTr="00D91802">
        <w:trPr>
          <w:trHeight w:hRule="exact" w:val="806"/>
          <w:jc w:val="center"/>
        </w:trPr>
        <w:tc>
          <w:tcPr>
            <w:tcW w:w="240" w:type="pct"/>
            <w:vMerge/>
            <w:shd w:val="clear" w:color="auto" w:fill="FFFFFF"/>
            <w:vAlign w:val="center"/>
          </w:tcPr>
          <w:p w14:paraId="7CDBC7AB" w14:textId="77777777" w:rsidR="00BB7332" w:rsidRPr="00EB7AE1" w:rsidRDefault="00BB7332" w:rsidP="00886E7D">
            <w:pPr>
              <w:pStyle w:val="Akapitzlist"/>
              <w:tabs>
                <w:tab w:val="left" w:pos="2816"/>
              </w:tabs>
              <w:jc w:val="center"/>
              <w:rPr>
                <w:sz w:val="20"/>
                <w:szCs w:val="20"/>
                <w:lang w:val="en-GB"/>
              </w:rPr>
            </w:pPr>
          </w:p>
        </w:tc>
        <w:tc>
          <w:tcPr>
            <w:tcW w:w="1713" w:type="pct"/>
            <w:vMerge/>
            <w:shd w:val="clear" w:color="auto" w:fill="FFFFFF"/>
            <w:vAlign w:val="center"/>
          </w:tcPr>
          <w:p w14:paraId="1687E2EF" w14:textId="77777777" w:rsidR="00BB7332" w:rsidRPr="00EB7AE1" w:rsidRDefault="00BB7332" w:rsidP="00886E7D">
            <w:pPr>
              <w:pStyle w:val="Akapitzlist"/>
              <w:tabs>
                <w:tab w:val="left" w:pos="2816"/>
              </w:tabs>
              <w:jc w:val="center"/>
              <w:rPr>
                <w:sz w:val="20"/>
                <w:szCs w:val="20"/>
                <w:lang w:val="en-GB"/>
              </w:rPr>
            </w:pPr>
          </w:p>
        </w:tc>
        <w:tc>
          <w:tcPr>
            <w:tcW w:w="1014" w:type="pct"/>
            <w:shd w:val="clear" w:color="auto" w:fill="FFFFFF"/>
            <w:vAlign w:val="center"/>
          </w:tcPr>
          <w:p w14:paraId="7619AF61" w14:textId="77777777" w:rsidR="00BB7332" w:rsidRPr="00EB7AE1" w:rsidRDefault="00BB7332" w:rsidP="00886E7D">
            <w:pPr>
              <w:tabs>
                <w:tab w:val="left" w:pos="2816"/>
              </w:tabs>
              <w:jc w:val="center"/>
              <w:rPr>
                <w:sz w:val="20"/>
                <w:szCs w:val="20"/>
                <w:lang w:val="en-GB"/>
              </w:rPr>
            </w:pPr>
            <w:r w:rsidRPr="00EB7AE1">
              <w:rPr>
                <w:sz w:val="20"/>
                <w:szCs w:val="20"/>
                <w:lang w:val="en-GB"/>
              </w:rPr>
              <w:t>rivers – bad condition – 88.8%</w:t>
            </w:r>
          </w:p>
        </w:tc>
        <w:tc>
          <w:tcPr>
            <w:tcW w:w="1091" w:type="pct"/>
            <w:shd w:val="clear" w:color="auto" w:fill="FF0000"/>
            <w:vAlign w:val="center"/>
          </w:tcPr>
          <w:p w14:paraId="526A2428"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89.1% [2015]</w:t>
            </w:r>
          </w:p>
        </w:tc>
        <w:tc>
          <w:tcPr>
            <w:tcW w:w="942" w:type="pct"/>
            <w:vMerge/>
            <w:shd w:val="clear" w:color="auto" w:fill="FFFFFF"/>
            <w:vAlign w:val="center"/>
          </w:tcPr>
          <w:p w14:paraId="4CF9FF8D" w14:textId="77777777" w:rsidR="00BB7332" w:rsidRPr="00EB7AE1" w:rsidRDefault="00BB7332" w:rsidP="00886E7D">
            <w:pPr>
              <w:pStyle w:val="Akapitzlist"/>
              <w:tabs>
                <w:tab w:val="left" w:pos="2816"/>
              </w:tabs>
              <w:jc w:val="center"/>
              <w:rPr>
                <w:sz w:val="20"/>
                <w:szCs w:val="20"/>
                <w:lang w:val="en-GB"/>
              </w:rPr>
            </w:pPr>
          </w:p>
        </w:tc>
      </w:tr>
      <w:tr w:rsidR="00BB7332" w:rsidRPr="00EB7AE1" w14:paraId="408ECE83" w14:textId="77777777" w:rsidTr="00D91802">
        <w:trPr>
          <w:trHeight w:hRule="exact" w:val="816"/>
          <w:jc w:val="center"/>
        </w:trPr>
        <w:tc>
          <w:tcPr>
            <w:tcW w:w="240" w:type="pct"/>
            <w:shd w:val="clear" w:color="auto" w:fill="FFFFFF"/>
            <w:vAlign w:val="center"/>
          </w:tcPr>
          <w:p w14:paraId="45DC2A79" w14:textId="3D1D2692" w:rsidR="00BB7332" w:rsidRPr="00EB7AE1" w:rsidRDefault="00BB7332" w:rsidP="00EA4B9E">
            <w:pPr>
              <w:tabs>
                <w:tab w:val="left" w:pos="2816"/>
              </w:tabs>
              <w:jc w:val="center"/>
              <w:rPr>
                <w:sz w:val="20"/>
                <w:szCs w:val="20"/>
                <w:lang w:val="en-GB"/>
              </w:rPr>
            </w:pPr>
            <w:r w:rsidRPr="00EB7AE1">
              <w:rPr>
                <w:sz w:val="20"/>
                <w:szCs w:val="20"/>
                <w:lang w:val="en-GB"/>
              </w:rPr>
              <w:t>9</w:t>
            </w:r>
          </w:p>
        </w:tc>
        <w:tc>
          <w:tcPr>
            <w:tcW w:w="1713" w:type="pct"/>
            <w:shd w:val="clear" w:color="auto" w:fill="FFFFFF"/>
            <w:vAlign w:val="center"/>
          </w:tcPr>
          <w:p w14:paraId="2A56455E" w14:textId="77777777" w:rsidR="00BB7332" w:rsidRPr="00EB7AE1" w:rsidRDefault="00BB7332" w:rsidP="00886E7D">
            <w:pPr>
              <w:tabs>
                <w:tab w:val="left" w:pos="2816"/>
              </w:tabs>
              <w:rPr>
                <w:sz w:val="20"/>
                <w:szCs w:val="20"/>
                <w:lang w:val="en-GB"/>
              </w:rPr>
            </w:pPr>
            <w:r w:rsidRPr="00EB7AE1">
              <w:rPr>
                <w:sz w:val="20"/>
                <w:szCs w:val="20"/>
                <w:lang w:val="en-GB"/>
              </w:rPr>
              <w:t>Air quality condition – percentage of zones with exceeded air quality standards</w:t>
            </w:r>
          </w:p>
        </w:tc>
        <w:tc>
          <w:tcPr>
            <w:tcW w:w="1014" w:type="pct"/>
            <w:shd w:val="clear" w:color="auto" w:fill="FFFFFF"/>
            <w:vAlign w:val="center"/>
          </w:tcPr>
          <w:p w14:paraId="4AAFDFB8" w14:textId="54F111C0" w:rsidR="00BB7332" w:rsidRPr="00EB7AE1" w:rsidRDefault="00BB7332" w:rsidP="00886E7D">
            <w:pPr>
              <w:tabs>
                <w:tab w:val="left" w:pos="2816"/>
              </w:tabs>
              <w:jc w:val="center"/>
              <w:rPr>
                <w:sz w:val="20"/>
                <w:szCs w:val="20"/>
                <w:lang w:val="en-GB"/>
              </w:rPr>
            </w:pPr>
            <w:r w:rsidRPr="00EB7AE1">
              <w:rPr>
                <w:sz w:val="20"/>
                <w:szCs w:val="20"/>
                <w:lang w:val="en-GB"/>
              </w:rPr>
              <w:t>91% – 42 zones with exceeded air quality standards</w:t>
            </w:r>
          </w:p>
        </w:tc>
        <w:tc>
          <w:tcPr>
            <w:tcW w:w="1091" w:type="pct"/>
            <w:shd w:val="clear" w:color="auto" w:fill="FFC000"/>
            <w:vAlign w:val="center"/>
          </w:tcPr>
          <w:p w14:paraId="58267500"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76% [2016]</w:t>
            </w:r>
          </w:p>
        </w:tc>
        <w:tc>
          <w:tcPr>
            <w:tcW w:w="942" w:type="pct"/>
            <w:shd w:val="clear" w:color="auto" w:fill="FFFFFF"/>
            <w:vAlign w:val="center"/>
          </w:tcPr>
          <w:p w14:paraId="56637510"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min. 45%</w:t>
            </w:r>
          </w:p>
        </w:tc>
      </w:tr>
      <w:tr w:rsidR="00BB7332" w:rsidRPr="00EB7AE1" w14:paraId="130D6522" w14:textId="77777777" w:rsidTr="00D91802">
        <w:trPr>
          <w:trHeight w:hRule="exact" w:val="911"/>
          <w:jc w:val="center"/>
        </w:trPr>
        <w:tc>
          <w:tcPr>
            <w:tcW w:w="240" w:type="pct"/>
            <w:shd w:val="clear" w:color="auto" w:fill="FFFFFF"/>
            <w:vAlign w:val="center"/>
          </w:tcPr>
          <w:p w14:paraId="4195606A" w14:textId="225D8043" w:rsidR="00BB7332" w:rsidRPr="00EB7AE1" w:rsidRDefault="00BB7332" w:rsidP="00886E7D">
            <w:pPr>
              <w:tabs>
                <w:tab w:val="left" w:pos="2816"/>
              </w:tabs>
              <w:jc w:val="center"/>
              <w:rPr>
                <w:sz w:val="20"/>
                <w:szCs w:val="20"/>
                <w:lang w:val="en-GB"/>
              </w:rPr>
            </w:pPr>
            <w:r w:rsidRPr="00EB7AE1">
              <w:rPr>
                <w:sz w:val="20"/>
                <w:szCs w:val="20"/>
                <w:lang w:val="en-GB"/>
              </w:rPr>
              <w:t>10</w:t>
            </w:r>
          </w:p>
        </w:tc>
        <w:tc>
          <w:tcPr>
            <w:tcW w:w="1713" w:type="pct"/>
            <w:shd w:val="clear" w:color="auto" w:fill="FFFFFF"/>
            <w:vAlign w:val="center"/>
          </w:tcPr>
          <w:p w14:paraId="1AA0A0C5" w14:textId="77777777" w:rsidR="00BB7332" w:rsidRPr="00EB7AE1" w:rsidRDefault="00BB7332" w:rsidP="00886E7D">
            <w:pPr>
              <w:tabs>
                <w:tab w:val="left" w:pos="2816"/>
              </w:tabs>
              <w:rPr>
                <w:sz w:val="20"/>
                <w:szCs w:val="20"/>
                <w:lang w:val="en-GB"/>
              </w:rPr>
            </w:pPr>
            <w:r w:rsidRPr="00EB7AE1">
              <w:rPr>
                <w:sz w:val="20"/>
                <w:szCs w:val="20"/>
                <w:lang w:val="en-GB"/>
              </w:rPr>
              <w:t>Percentage of the population using sewage treatment plants</w:t>
            </w:r>
          </w:p>
        </w:tc>
        <w:tc>
          <w:tcPr>
            <w:tcW w:w="1014" w:type="pct"/>
            <w:shd w:val="clear" w:color="auto" w:fill="FFFFFF"/>
            <w:vAlign w:val="center"/>
          </w:tcPr>
          <w:p w14:paraId="1F446C60"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64.7%</w:t>
            </w:r>
          </w:p>
        </w:tc>
        <w:tc>
          <w:tcPr>
            <w:tcW w:w="1091" w:type="pct"/>
            <w:shd w:val="clear" w:color="auto" w:fill="92D050"/>
            <w:vAlign w:val="center"/>
          </w:tcPr>
          <w:p w14:paraId="1EFE6B4E"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73.6% [2017]</w:t>
            </w:r>
          </w:p>
        </w:tc>
        <w:tc>
          <w:tcPr>
            <w:tcW w:w="942" w:type="pct"/>
            <w:shd w:val="clear" w:color="auto" w:fill="FFFFFF"/>
            <w:vAlign w:val="center"/>
          </w:tcPr>
          <w:p w14:paraId="21674D4E"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71.5%</w:t>
            </w:r>
          </w:p>
        </w:tc>
      </w:tr>
      <w:tr w:rsidR="00BB7332" w:rsidRPr="00EB7AE1" w14:paraId="399969C7" w14:textId="77777777" w:rsidTr="00D91802">
        <w:trPr>
          <w:trHeight w:hRule="exact" w:val="1458"/>
          <w:jc w:val="center"/>
        </w:trPr>
        <w:tc>
          <w:tcPr>
            <w:tcW w:w="240" w:type="pct"/>
            <w:shd w:val="clear" w:color="auto" w:fill="FFFFFF"/>
            <w:vAlign w:val="center"/>
          </w:tcPr>
          <w:p w14:paraId="03ED7AE2" w14:textId="780E6048" w:rsidR="00BB7332" w:rsidRPr="00EB7AE1" w:rsidRDefault="00BB7332" w:rsidP="00886E7D">
            <w:pPr>
              <w:tabs>
                <w:tab w:val="left" w:pos="2816"/>
              </w:tabs>
              <w:jc w:val="center"/>
              <w:rPr>
                <w:sz w:val="20"/>
                <w:szCs w:val="20"/>
                <w:lang w:val="en-GB"/>
              </w:rPr>
            </w:pPr>
            <w:r w:rsidRPr="00EB7AE1">
              <w:rPr>
                <w:sz w:val="20"/>
                <w:szCs w:val="20"/>
                <w:lang w:val="en-GB"/>
              </w:rPr>
              <w:t>11</w:t>
            </w:r>
          </w:p>
        </w:tc>
        <w:tc>
          <w:tcPr>
            <w:tcW w:w="1713" w:type="pct"/>
            <w:shd w:val="clear" w:color="auto" w:fill="FFFFFF"/>
            <w:vAlign w:val="center"/>
          </w:tcPr>
          <w:p w14:paraId="488FE60D" w14:textId="3F42E252" w:rsidR="00BB7332" w:rsidRPr="00EB7AE1" w:rsidRDefault="00BB7332" w:rsidP="00886E7D">
            <w:pPr>
              <w:tabs>
                <w:tab w:val="left" w:pos="2816"/>
              </w:tabs>
              <w:rPr>
                <w:sz w:val="20"/>
                <w:szCs w:val="20"/>
                <w:lang w:val="en-GB"/>
              </w:rPr>
            </w:pPr>
            <w:r w:rsidRPr="00EB7AE1">
              <w:rPr>
                <w:sz w:val="20"/>
                <w:szCs w:val="20"/>
                <w:lang w:val="en-GB"/>
              </w:rPr>
              <w:t>Level of recycling and preparation for re-use of selected waste groups: paper, metals, plastics and glass (% by weight)</w:t>
            </w:r>
          </w:p>
        </w:tc>
        <w:tc>
          <w:tcPr>
            <w:tcW w:w="1014" w:type="pct"/>
            <w:shd w:val="clear" w:color="auto" w:fill="FFFFFF"/>
            <w:vAlign w:val="center"/>
          </w:tcPr>
          <w:p w14:paraId="5379522B"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18% [2012]</w:t>
            </w:r>
          </w:p>
        </w:tc>
        <w:tc>
          <w:tcPr>
            <w:tcW w:w="1091" w:type="pct"/>
            <w:shd w:val="clear" w:color="auto" w:fill="FFC000"/>
            <w:vAlign w:val="center"/>
          </w:tcPr>
          <w:p w14:paraId="70522677"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28% [2016]</w:t>
            </w:r>
          </w:p>
        </w:tc>
        <w:tc>
          <w:tcPr>
            <w:tcW w:w="942" w:type="pct"/>
            <w:shd w:val="clear" w:color="auto" w:fill="FFFFFF"/>
            <w:vAlign w:val="center"/>
          </w:tcPr>
          <w:p w14:paraId="1A9AA42F"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50%</w:t>
            </w:r>
          </w:p>
        </w:tc>
      </w:tr>
      <w:tr w:rsidR="00BB7332" w:rsidRPr="00EB7AE1" w14:paraId="294057E6" w14:textId="77777777" w:rsidTr="00D91802">
        <w:trPr>
          <w:trHeight w:hRule="exact" w:val="1691"/>
          <w:jc w:val="center"/>
        </w:trPr>
        <w:tc>
          <w:tcPr>
            <w:tcW w:w="240" w:type="pct"/>
            <w:shd w:val="clear" w:color="auto" w:fill="FFFFFF"/>
            <w:vAlign w:val="center"/>
          </w:tcPr>
          <w:p w14:paraId="4D7BD4CE" w14:textId="5A90911B" w:rsidR="00BB7332" w:rsidRPr="00EB7AE1" w:rsidRDefault="00BB7332" w:rsidP="00886E7D">
            <w:pPr>
              <w:tabs>
                <w:tab w:val="left" w:pos="2816"/>
              </w:tabs>
              <w:jc w:val="center"/>
              <w:rPr>
                <w:sz w:val="20"/>
                <w:szCs w:val="20"/>
                <w:lang w:val="en-GB"/>
              </w:rPr>
            </w:pPr>
            <w:r w:rsidRPr="00EB7AE1">
              <w:rPr>
                <w:sz w:val="20"/>
                <w:szCs w:val="20"/>
                <w:lang w:val="en-GB"/>
              </w:rPr>
              <w:t>12</w:t>
            </w:r>
          </w:p>
        </w:tc>
        <w:tc>
          <w:tcPr>
            <w:tcW w:w="1713" w:type="pct"/>
            <w:shd w:val="clear" w:color="auto" w:fill="FFFFFF"/>
            <w:vAlign w:val="center"/>
          </w:tcPr>
          <w:p w14:paraId="229FB0B0" w14:textId="03F12907" w:rsidR="00BB7332" w:rsidRPr="00EB7AE1" w:rsidRDefault="00BB7332" w:rsidP="00886E7D">
            <w:pPr>
              <w:tabs>
                <w:tab w:val="left" w:pos="2816"/>
              </w:tabs>
              <w:rPr>
                <w:sz w:val="20"/>
                <w:szCs w:val="20"/>
                <w:lang w:val="en-GB"/>
              </w:rPr>
            </w:pPr>
            <w:r w:rsidRPr="00EB7AE1">
              <w:rPr>
                <w:sz w:val="20"/>
                <w:szCs w:val="20"/>
                <w:lang w:val="en-GB"/>
              </w:rPr>
              <w:t>Level of recycling, preparation for re-use and recovery by other means for non-hazardous construction and demolition waste (% by weight)</w:t>
            </w:r>
          </w:p>
        </w:tc>
        <w:tc>
          <w:tcPr>
            <w:tcW w:w="1014" w:type="pct"/>
            <w:shd w:val="clear" w:color="auto" w:fill="FFFFFF"/>
            <w:vAlign w:val="center"/>
          </w:tcPr>
          <w:p w14:paraId="634A1F36"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69%</w:t>
            </w:r>
          </w:p>
        </w:tc>
        <w:tc>
          <w:tcPr>
            <w:tcW w:w="1091" w:type="pct"/>
            <w:shd w:val="clear" w:color="auto" w:fill="92D050"/>
            <w:vAlign w:val="center"/>
          </w:tcPr>
          <w:p w14:paraId="2D9C3B34"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105% [2015]</w:t>
            </w:r>
          </w:p>
        </w:tc>
        <w:tc>
          <w:tcPr>
            <w:tcW w:w="942" w:type="pct"/>
            <w:shd w:val="clear" w:color="auto" w:fill="FFFFFF"/>
            <w:vAlign w:val="center"/>
          </w:tcPr>
          <w:p w14:paraId="5D97F289"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70%</w:t>
            </w:r>
          </w:p>
        </w:tc>
      </w:tr>
      <w:tr w:rsidR="00BB7332" w:rsidRPr="00EB7AE1" w14:paraId="61E043CF" w14:textId="77777777" w:rsidTr="00D91802">
        <w:trPr>
          <w:trHeight w:hRule="exact" w:val="1701"/>
          <w:jc w:val="center"/>
        </w:trPr>
        <w:tc>
          <w:tcPr>
            <w:tcW w:w="240" w:type="pct"/>
            <w:shd w:val="clear" w:color="auto" w:fill="FFFFFF"/>
            <w:vAlign w:val="center"/>
          </w:tcPr>
          <w:p w14:paraId="2478DC23" w14:textId="771BA8AC" w:rsidR="00BB7332" w:rsidRPr="00EB7AE1" w:rsidRDefault="00BB7332" w:rsidP="00886E7D">
            <w:pPr>
              <w:tabs>
                <w:tab w:val="left" w:pos="2816"/>
              </w:tabs>
              <w:jc w:val="center"/>
              <w:rPr>
                <w:sz w:val="20"/>
                <w:szCs w:val="20"/>
                <w:lang w:val="en-GB"/>
              </w:rPr>
            </w:pPr>
            <w:r w:rsidRPr="00EB7AE1">
              <w:rPr>
                <w:sz w:val="20"/>
                <w:szCs w:val="20"/>
                <w:lang w:val="en-GB"/>
              </w:rPr>
              <w:t>13</w:t>
            </w:r>
          </w:p>
        </w:tc>
        <w:tc>
          <w:tcPr>
            <w:tcW w:w="1713" w:type="pct"/>
            <w:shd w:val="clear" w:color="auto" w:fill="FFFFFF"/>
            <w:vAlign w:val="center"/>
          </w:tcPr>
          <w:p w14:paraId="4BA1EC6D" w14:textId="2EC20FFC" w:rsidR="00BB7332" w:rsidRPr="00EB7AE1" w:rsidRDefault="00BB7332" w:rsidP="00886E7D">
            <w:pPr>
              <w:tabs>
                <w:tab w:val="left" w:pos="2816"/>
              </w:tabs>
              <w:rPr>
                <w:sz w:val="20"/>
                <w:szCs w:val="20"/>
                <w:lang w:val="en-GB"/>
              </w:rPr>
            </w:pPr>
            <w:r w:rsidRPr="00EB7AE1">
              <w:rPr>
                <w:sz w:val="20"/>
                <w:szCs w:val="20"/>
                <w:lang w:val="en-GB"/>
              </w:rPr>
              <w:t>Degree of reduction of biodegradable municipal waste transported to landfills (in relation to waste produced in 1995)</w:t>
            </w:r>
          </w:p>
        </w:tc>
        <w:tc>
          <w:tcPr>
            <w:tcW w:w="1014" w:type="pct"/>
            <w:shd w:val="clear" w:color="auto" w:fill="FFFFFF"/>
            <w:vAlign w:val="center"/>
          </w:tcPr>
          <w:p w14:paraId="1DF7F6E7"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85%</w:t>
            </w:r>
          </w:p>
        </w:tc>
        <w:tc>
          <w:tcPr>
            <w:tcW w:w="1091" w:type="pct"/>
            <w:shd w:val="clear" w:color="auto" w:fill="92D050"/>
            <w:vAlign w:val="center"/>
          </w:tcPr>
          <w:p w14:paraId="4CC7C592"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12% [2016]</w:t>
            </w:r>
          </w:p>
        </w:tc>
        <w:tc>
          <w:tcPr>
            <w:tcW w:w="942" w:type="pct"/>
            <w:shd w:val="clear" w:color="auto" w:fill="FFFFFF"/>
            <w:vAlign w:val="center"/>
          </w:tcPr>
          <w:p w14:paraId="26F36116"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35%</w:t>
            </w:r>
          </w:p>
        </w:tc>
      </w:tr>
      <w:tr w:rsidR="00BB7332" w:rsidRPr="00EB7AE1" w14:paraId="17704F4F" w14:textId="77777777" w:rsidTr="00D91802">
        <w:trPr>
          <w:trHeight w:hRule="exact" w:val="1422"/>
          <w:jc w:val="center"/>
        </w:trPr>
        <w:tc>
          <w:tcPr>
            <w:tcW w:w="240" w:type="pct"/>
            <w:shd w:val="clear" w:color="auto" w:fill="FFFFFF"/>
            <w:vAlign w:val="center"/>
          </w:tcPr>
          <w:p w14:paraId="73964C97" w14:textId="7B22D5F4" w:rsidR="00BB7332" w:rsidRPr="00EB7AE1" w:rsidRDefault="00BB7332" w:rsidP="00886E7D">
            <w:pPr>
              <w:tabs>
                <w:tab w:val="left" w:pos="2816"/>
              </w:tabs>
              <w:jc w:val="center"/>
              <w:rPr>
                <w:sz w:val="20"/>
                <w:szCs w:val="20"/>
                <w:lang w:val="en-GB"/>
              </w:rPr>
            </w:pPr>
            <w:r w:rsidRPr="00EB7AE1">
              <w:rPr>
                <w:sz w:val="20"/>
                <w:szCs w:val="20"/>
                <w:lang w:val="en-GB"/>
              </w:rPr>
              <w:t>14</w:t>
            </w:r>
          </w:p>
        </w:tc>
        <w:tc>
          <w:tcPr>
            <w:tcW w:w="1713" w:type="pct"/>
            <w:shd w:val="clear" w:color="auto" w:fill="FFFFFF"/>
            <w:vAlign w:val="center"/>
          </w:tcPr>
          <w:p w14:paraId="68052860" w14:textId="77777777" w:rsidR="00BB7332" w:rsidRPr="00EB7AE1" w:rsidRDefault="00BB7332" w:rsidP="00886E7D">
            <w:pPr>
              <w:tabs>
                <w:tab w:val="left" w:pos="2816"/>
              </w:tabs>
              <w:rPr>
                <w:sz w:val="20"/>
                <w:szCs w:val="20"/>
                <w:lang w:val="en-GB"/>
              </w:rPr>
            </w:pPr>
            <w:r w:rsidRPr="00EB7AE1">
              <w:rPr>
                <w:sz w:val="20"/>
                <w:szCs w:val="20"/>
                <w:lang w:val="en-GB"/>
              </w:rPr>
              <w:t>Number of Polish environmental technologies verified under the ETV system (European Union Environmental Technology Verification Programme)</w:t>
            </w:r>
          </w:p>
        </w:tc>
        <w:tc>
          <w:tcPr>
            <w:tcW w:w="1014" w:type="pct"/>
            <w:shd w:val="clear" w:color="auto" w:fill="FFFFFF"/>
            <w:vAlign w:val="center"/>
          </w:tcPr>
          <w:p w14:paraId="28EADDE4"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0</w:t>
            </w:r>
          </w:p>
        </w:tc>
        <w:tc>
          <w:tcPr>
            <w:tcW w:w="1091" w:type="pct"/>
            <w:shd w:val="clear" w:color="auto" w:fill="FFC000"/>
            <w:vAlign w:val="center"/>
          </w:tcPr>
          <w:p w14:paraId="554F46B3" w14:textId="5C6D7CC5" w:rsidR="00BB7332" w:rsidRPr="00EB7AE1" w:rsidRDefault="0066703F" w:rsidP="00886E7D">
            <w:pPr>
              <w:pStyle w:val="Akapitzlist"/>
              <w:tabs>
                <w:tab w:val="left" w:pos="2816"/>
              </w:tabs>
              <w:ind w:left="-8"/>
              <w:jc w:val="center"/>
              <w:rPr>
                <w:sz w:val="20"/>
                <w:szCs w:val="20"/>
                <w:lang w:val="en-GB"/>
              </w:rPr>
            </w:pPr>
            <w:r w:rsidRPr="00EB7AE1">
              <w:rPr>
                <w:sz w:val="20"/>
                <w:szCs w:val="20"/>
                <w:lang w:val="en-GB"/>
              </w:rPr>
              <w:t>2 [2017]</w:t>
            </w:r>
          </w:p>
        </w:tc>
        <w:tc>
          <w:tcPr>
            <w:tcW w:w="942" w:type="pct"/>
            <w:shd w:val="clear" w:color="auto" w:fill="FFFFFF"/>
            <w:vAlign w:val="center"/>
          </w:tcPr>
          <w:p w14:paraId="5D5816D2"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20</w:t>
            </w:r>
          </w:p>
        </w:tc>
      </w:tr>
      <w:tr w:rsidR="00BB7332" w:rsidRPr="00EB7AE1" w14:paraId="5A2669C5" w14:textId="77777777" w:rsidTr="00D91802">
        <w:trPr>
          <w:trHeight w:hRule="exact" w:val="577"/>
          <w:jc w:val="center"/>
        </w:trPr>
        <w:tc>
          <w:tcPr>
            <w:tcW w:w="240" w:type="pct"/>
            <w:shd w:val="clear" w:color="auto" w:fill="FFFFFF"/>
            <w:vAlign w:val="center"/>
          </w:tcPr>
          <w:p w14:paraId="4A9F3515" w14:textId="0276DB12" w:rsidR="00BB7332" w:rsidRPr="00EB7AE1" w:rsidRDefault="00BB7332" w:rsidP="00886E7D">
            <w:pPr>
              <w:tabs>
                <w:tab w:val="left" w:pos="2816"/>
              </w:tabs>
              <w:jc w:val="center"/>
              <w:rPr>
                <w:sz w:val="20"/>
                <w:szCs w:val="20"/>
                <w:lang w:val="en-GB"/>
              </w:rPr>
            </w:pPr>
            <w:r w:rsidRPr="00EB7AE1">
              <w:rPr>
                <w:sz w:val="20"/>
                <w:szCs w:val="20"/>
                <w:lang w:val="en-GB"/>
              </w:rPr>
              <w:t>15</w:t>
            </w:r>
          </w:p>
        </w:tc>
        <w:tc>
          <w:tcPr>
            <w:tcW w:w="1713" w:type="pct"/>
            <w:shd w:val="clear" w:color="auto" w:fill="FFFFFF"/>
            <w:vAlign w:val="center"/>
          </w:tcPr>
          <w:p w14:paraId="58C446FC" w14:textId="77777777" w:rsidR="00BB7332" w:rsidRPr="00EB7AE1" w:rsidRDefault="00BB7332" w:rsidP="00886E7D">
            <w:pPr>
              <w:tabs>
                <w:tab w:val="left" w:pos="2816"/>
              </w:tabs>
              <w:rPr>
                <w:sz w:val="20"/>
                <w:szCs w:val="20"/>
                <w:lang w:val="en-GB"/>
              </w:rPr>
            </w:pPr>
            <w:r w:rsidRPr="00EB7AE1">
              <w:rPr>
                <w:sz w:val="20"/>
                <w:szCs w:val="20"/>
                <w:lang w:val="en-GB"/>
              </w:rPr>
              <w:t>Percentage of “green” public procurement tenders</w:t>
            </w:r>
          </w:p>
        </w:tc>
        <w:tc>
          <w:tcPr>
            <w:tcW w:w="1014" w:type="pct"/>
            <w:shd w:val="clear" w:color="auto" w:fill="FFFFFF"/>
            <w:vAlign w:val="center"/>
          </w:tcPr>
          <w:p w14:paraId="7CE42203" w14:textId="77777777" w:rsidR="00BB7332" w:rsidRPr="00EB7AE1" w:rsidRDefault="00BB7332" w:rsidP="00886E7D">
            <w:pPr>
              <w:pStyle w:val="Akapitzlist"/>
              <w:tabs>
                <w:tab w:val="left" w:pos="2816"/>
              </w:tabs>
              <w:ind w:left="-7"/>
              <w:jc w:val="center"/>
              <w:rPr>
                <w:sz w:val="20"/>
                <w:szCs w:val="20"/>
                <w:lang w:val="en-GB"/>
              </w:rPr>
            </w:pPr>
            <w:r w:rsidRPr="00EB7AE1">
              <w:rPr>
                <w:sz w:val="20"/>
                <w:szCs w:val="20"/>
                <w:lang w:val="en-GB"/>
              </w:rPr>
              <w:t>9%</w:t>
            </w:r>
          </w:p>
        </w:tc>
        <w:tc>
          <w:tcPr>
            <w:tcW w:w="1091" w:type="pct"/>
            <w:shd w:val="clear" w:color="auto" w:fill="FFC000"/>
            <w:vAlign w:val="center"/>
          </w:tcPr>
          <w:p w14:paraId="56F9BF94" w14:textId="77777777" w:rsidR="00BB7332" w:rsidRPr="00EB7AE1" w:rsidRDefault="00BB7332" w:rsidP="00886E7D">
            <w:pPr>
              <w:pStyle w:val="Akapitzlist"/>
              <w:tabs>
                <w:tab w:val="left" w:pos="2816"/>
              </w:tabs>
              <w:ind w:left="-8"/>
              <w:jc w:val="center"/>
              <w:rPr>
                <w:sz w:val="20"/>
                <w:szCs w:val="20"/>
                <w:lang w:val="en-GB"/>
              </w:rPr>
            </w:pPr>
            <w:r w:rsidRPr="00EB7AE1">
              <w:rPr>
                <w:sz w:val="20"/>
                <w:szCs w:val="20"/>
                <w:lang w:val="en-GB"/>
              </w:rPr>
              <w:t>9% [2014]</w:t>
            </w:r>
          </w:p>
        </w:tc>
        <w:tc>
          <w:tcPr>
            <w:tcW w:w="942" w:type="pct"/>
            <w:shd w:val="clear" w:color="auto" w:fill="FFFFFF"/>
            <w:vAlign w:val="center"/>
          </w:tcPr>
          <w:p w14:paraId="46377F96" w14:textId="77777777" w:rsidR="00BB7332" w:rsidRPr="00EB7AE1" w:rsidRDefault="00BB7332" w:rsidP="00886E7D">
            <w:pPr>
              <w:pStyle w:val="Akapitzlist"/>
              <w:tabs>
                <w:tab w:val="left" w:pos="2816"/>
              </w:tabs>
              <w:ind w:left="0" w:right="140"/>
              <w:jc w:val="center"/>
              <w:rPr>
                <w:sz w:val="20"/>
                <w:szCs w:val="20"/>
                <w:lang w:val="en-GB"/>
              </w:rPr>
            </w:pPr>
            <w:r w:rsidRPr="00EB7AE1">
              <w:rPr>
                <w:sz w:val="20"/>
                <w:szCs w:val="20"/>
                <w:lang w:val="en-GB"/>
              </w:rPr>
              <w:t>25%</w:t>
            </w:r>
          </w:p>
        </w:tc>
      </w:tr>
    </w:tbl>
    <w:p w14:paraId="0EB480F6" w14:textId="77777777" w:rsidR="00BB7332" w:rsidRPr="00EB7AE1" w:rsidRDefault="00BB7332" w:rsidP="00BB7332">
      <w:pPr>
        <w:pStyle w:val="Akapitzlist"/>
        <w:tabs>
          <w:tab w:val="left" w:pos="2816"/>
        </w:tabs>
        <w:jc w:val="both"/>
        <w:rPr>
          <w:sz w:val="20"/>
          <w:szCs w:val="20"/>
          <w:lang w:val="en-GB"/>
        </w:rPr>
      </w:pPr>
    </w:p>
    <w:p w14:paraId="3DC42167" w14:textId="77777777" w:rsidR="00BB7332" w:rsidRPr="00EB7AE1" w:rsidRDefault="00BB7332" w:rsidP="00BB7332">
      <w:pPr>
        <w:pStyle w:val="Akapitzlist"/>
        <w:tabs>
          <w:tab w:val="left" w:pos="2816"/>
        </w:tabs>
        <w:ind w:hanging="720"/>
        <w:jc w:val="both"/>
        <w:rPr>
          <w:lang w:val="en-GB"/>
        </w:rPr>
      </w:pPr>
      <w:r w:rsidRPr="00EB7AE1">
        <w:rPr>
          <w:sz w:val="20"/>
          <w:szCs w:val="20"/>
          <w:lang w:val="en-GB"/>
        </w:rPr>
        <w:t>Legend: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tblGrid>
      <w:tr w:rsidR="00BB7332" w:rsidRPr="00EB7AE1" w14:paraId="1126A84F" w14:textId="77777777" w:rsidTr="00886E7D">
        <w:tc>
          <w:tcPr>
            <w:tcW w:w="7054" w:type="dxa"/>
            <w:shd w:val="clear" w:color="auto" w:fill="92D050"/>
          </w:tcPr>
          <w:p w14:paraId="28424390" w14:textId="77777777" w:rsidR="00BB7332" w:rsidRPr="00EB7AE1" w:rsidRDefault="00BB7332" w:rsidP="00886E7D">
            <w:pPr>
              <w:tabs>
                <w:tab w:val="left" w:pos="2816"/>
              </w:tabs>
              <w:spacing w:after="0" w:line="240" w:lineRule="auto"/>
              <w:rPr>
                <w:sz w:val="20"/>
                <w:szCs w:val="20"/>
                <w:lang w:val="en-GB"/>
              </w:rPr>
            </w:pPr>
            <w:r w:rsidRPr="00EB7AE1">
              <w:rPr>
                <w:sz w:val="20"/>
                <w:szCs w:val="20"/>
                <w:lang w:val="en-GB"/>
              </w:rPr>
              <w:t>Achieved 2020 target value</w:t>
            </w:r>
          </w:p>
        </w:tc>
      </w:tr>
      <w:tr w:rsidR="00BB7332" w:rsidRPr="00370D0E" w14:paraId="7006E396" w14:textId="77777777" w:rsidTr="00886E7D">
        <w:tc>
          <w:tcPr>
            <w:tcW w:w="7054" w:type="dxa"/>
            <w:shd w:val="clear" w:color="auto" w:fill="FF0000"/>
          </w:tcPr>
          <w:p w14:paraId="13138CA2" w14:textId="77777777" w:rsidR="00BB7332" w:rsidRPr="00EB7AE1" w:rsidRDefault="00BB7332" w:rsidP="00886E7D">
            <w:pPr>
              <w:tabs>
                <w:tab w:val="left" w:pos="2816"/>
              </w:tabs>
              <w:spacing w:after="0" w:line="240" w:lineRule="auto"/>
              <w:rPr>
                <w:sz w:val="20"/>
                <w:szCs w:val="20"/>
                <w:lang w:val="en-GB"/>
              </w:rPr>
            </w:pPr>
            <w:r w:rsidRPr="00EB7AE1">
              <w:rPr>
                <w:sz w:val="20"/>
                <w:szCs w:val="20"/>
                <w:lang w:val="en-GB"/>
              </w:rPr>
              <w:t xml:space="preserve">Negative trend of indicator value change </w:t>
            </w:r>
          </w:p>
        </w:tc>
      </w:tr>
      <w:tr w:rsidR="00BB7332" w:rsidRPr="00370D0E" w14:paraId="22CA0F8D" w14:textId="77777777" w:rsidTr="00886E7D">
        <w:tc>
          <w:tcPr>
            <w:tcW w:w="7054" w:type="dxa"/>
            <w:shd w:val="clear" w:color="auto" w:fill="FFC000"/>
          </w:tcPr>
          <w:p w14:paraId="5355EF4C" w14:textId="77777777" w:rsidR="00BB7332" w:rsidRPr="00EB7AE1" w:rsidRDefault="00BB7332" w:rsidP="00886E7D">
            <w:pPr>
              <w:tabs>
                <w:tab w:val="left" w:pos="2816"/>
              </w:tabs>
              <w:spacing w:after="0" w:line="240" w:lineRule="auto"/>
              <w:rPr>
                <w:sz w:val="20"/>
                <w:szCs w:val="20"/>
                <w:lang w:val="en-GB"/>
              </w:rPr>
            </w:pPr>
            <w:r w:rsidRPr="00EB7AE1">
              <w:rPr>
                <w:sz w:val="20"/>
                <w:szCs w:val="20"/>
                <w:lang w:val="en-GB"/>
              </w:rPr>
              <w:t>Risks to the achievement of target in 2020</w:t>
            </w:r>
          </w:p>
        </w:tc>
      </w:tr>
      <w:tr w:rsidR="00BB7332" w:rsidRPr="00370D0E" w14:paraId="2E20677B" w14:textId="77777777" w:rsidTr="00886E7D">
        <w:tc>
          <w:tcPr>
            <w:tcW w:w="7054" w:type="dxa"/>
            <w:shd w:val="clear" w:color="auto" w:fill="auto"/>
          </w:tcPr>
          <w:p w14:paraId="3CC35F00" w14:textId="77777777" w:rsidR="00BB7332" w:rsidRPr="00EB7AE1" w:rsidRDefault="00BB7332" w:rsidP="00886E7D">
            <w:pPr>
              <w:tabs>
                <w:tab w:val="left" w:pos="2816"/>
              </w:tabs>
              <w:spacing w:after="0" w:line="240" w:lineRule="auto"/>
              <w:rPr>
                <w:sz w:val="20"/>
                <w:szCs w:val="20"/>
                <w:lang w:val="en-GB"/>
              </w:rPr>
            </w:pPr>
            <w:r w:rsidRPr="00EB7AE1">
              <w:rPr>
                <w:sz w:val="20"/>
                <w:szCs w:val="20"/>
                <w:lang w:val="en-GB"/>
              </w:rPr>
              <w:t>Positive trend of indicator value change or no change in indicator value</w:t>
            </w:r>
          </w:p>
        </w:tc>
      </w:tr>
    </w:tbl>
    <w:p w14:paraId="143FE929" w14:textId="77777777" w:rsidR="00BB7332" w:rsidRPr="00EB7AE1" w:rsidRDefault="00BB7332" w:rsidP="00D91802">
      <w:pPr>
        <w:tabs>
          <w:tab w:val="left" w:pos="2816"/>
        </w:tabs>
        <w:spacing w:before="240" w:after="240"/>
        <w:jc w:val="both"/>
        <w:rPr>
          <w:b/>
          <w:i/>
          <w:sz w:val="26"/>
          <w:szCs w:val="26"/>
          <w:lang w:val="en-GB"/>
        </w:rPr>
      </w:pPr>
      <w:r w:rsidRPr="00EB7AE1">
        <w:rPr>
          <w:b/>
          <w:bCs/>
          <w:i/>
          <w:iCs/>
          <w:sz w:val="26"/>
          <w:szCs w:val="26"/>
          <w:lang w:val="en-GB"/>
        </w:rPr>
        <w:t>Water consumption</w:t>
      </w:r>
    </w:p>
    <w:p w14:paraId="72E08097" w14:textId="5039D8DB" w:rsidR="00BB7332" w:rsidRPr="00EB7AE1" w:rsidRDefault="00BB7332" w:rsidP="00D91802">
      <w:pPr>
        <w:tabs>
          <w:tab w:val="left" w:pos="2816"/>
        </w:tabs>
        <w:spacing w:after="240"/>
        <w:jc w:val="both"/>
        <w:rPr>
          <w:lang w:val="en-GB"/>
        </w:rPr>
      </w:pPr>
      <w:r w:rsidRPr="00EB7AE1">
        <w:rPr>
          <w:lang w:val="en-GB"/>
        </w:rPr>
        <w:t xml:space="preserve">Water consumption for the needs of national economy and general population includes water consumption for the industry, agriculture, forestry, </w:t>
      </w:r>
      <w:r w:rsidR="006D618E" w:rsidRPr="00EB7AE1">
        <w:rPr>
          <w:lang w:val="en-GB"/>
        </w:rPr>
        <w:t>fishpond</w:t>
      </w:r>
      <w:r w:rsidRPr="00EB7AE1">
        <w:rPr>
          <w:lang w:val="en-GB"/>
        </w:rPr>
        <w:t xml:space="preserve"> filling and replenishment, water supply networks operation and for individual households. This consumption in 2017 amounted to 9656.3 hm</w:t>
      </w:r>
      <w:r w:rsidRPr="00EB7AE1">
        <w:rPr>
          <w:vertAlign w:val="superscript"/>
          <w:lang w:val="en-GB"/>
        </w:rPr>
        <w:t>3</w:t>
      </w:r>
      <w:r w:rsidRPr="00EB7AE1">
        <w:rPr>
          <w:lang w:val="en-GB"/>
        </w:rPr>
        <w:t>, which is below the objective for 2020 (10</w:t>
      </w:r>
      <w:r w:rsidR="00D91802" w:rsidRPr="00EB7AE1">
        <w:rPr>
          <w:lang w:val="en-GB"/>
        </w:rPr>
        <w:t xml:space="preserve"> </w:t>
      </w:r>
      <w:r w:rsidRPr="00EB7AE1">
        <w:rPr>
          <w:lang w:val="en-GB"/>
        </w:rPr>
        <w:t>100 hm</w:t>
      </w:r>
      <w:r w:rsidRPr="00EB7AE1">
        <w:rPr>
          <w:vertAlign w:val="superscript"/>
          <w:lang w:val="en-GB"/>
        </w:rPr>
        <w:t>3</w:t>
      </w:r>
      <w:r w:rsidRPr="00EB7AE1">
        <w:rPr>
          <w:lang w:val="en-GB"/>
        </w:rPr>
        <w:t>). The trend over the years 2010-2017 was downward, despite the recorded economic development.</w:t>
      </w:r>
    </w:p>
    <w:p w14:paraId="29B211A0" w14:textId="50ADCFDB" w:rsidR="00BB7332" w:rsidRPr="00EB7AE1" w:rsidRDefault="00BB7332" w:rsidP="00D91802">
      <w:pPr>
        <w:tabs>
          <w:tab w:val="left" w:pos="2816"/>
        </w:tabs>
        <w:spacing w:after="240"/>
        <w:jc w:val="both"/>
        <w:rPr>
          <w:lang w:val="en-GB"/>
        </w:rPr>
      </w:pPr>
      <w:r w:rsidRPr="00EB7AE1">
        <w:rPr>
          <w:lang w:val="en-GB"/>
        </w:rPr>
        <w:t xml:space="preserve">In implementing the </w:t>
      </w:r>
      <w:r w:rsidR="00030482" w:rsidRPr="00EB7AE1">
        <w:rPr>
          <w:lang w:val="en-GB"/>
        </w:rPr>
        <w:t>BEiŚ</w:t>
      </w:r>
      <w:r w:rsidRPr="00EB7AE1">
        <w:rPr>
          <w:lang w:val="en-GB"/>
        </w:rPr>
        <w:t xml:space="preserve"> provisions, the goal was to manage water in accordance with the </w:t>
      </w:r>
      <w:r w:rsidR="00D91802" w:rsidRPr="00EB7AE1">
        <w:rPr>
          <w:lang w:val="en-GB"/>
        </w:rPr>
        <w:t>"</w:t>
      </w:r>
      <w:r w:rsidRPr="00EB7AE1">
        <w:rPr>
          <w:lang w:val="en-GB"/>
        </w:rPr>
        <w:t>user pays</w:t>
      </w:r>
      <w:r w:rsidR="00D91802" w:rsidRPr="00EB7AE1">
        <w:rPr>
          <w:lang w:val="en-GB"/>
        </w:rPr>
        <w:t>"</w:t>
      </w:r>
      <w:r w:rsidRPr="00EB7AE1">
        <w:rPr>
          <w:lang w:val="en-GB"/>
        </w:rPr>
        <w:t xml:space="preserve"> principle. The measures taken were intended to encourage users to save water. Rationalisation of water use and special protection of </w:t>
      </w:r>
      <w:r w:rsidR="006D618E" w:rsidRPr="00EB7AE1">
        <w:rPr>
          <w:lang w:val="en-GB"/>
        </w:rPr>
        <w:t>high-quality</w:t>
      </w:r>
      <w:r w:rsidRPr="00EB7AE1">
        <w:rPr>
          <w:lang w:val="en-GB"/>
        </w:rPr>
        <w:t xml:space="preserve"> water resources were perceived as the most effective method of ensuring full access to good quality water for the Polish population. One of the key instruments to optimise water use is the new Water Law</w:t>
      </w:r>
      <w:r w:rsidRPr="00EB7AE1">
        <w:rPr>
          <w:rStyle w:val="Odwoanieprzypisudolnego"/>
          <w:lang w:val="en-GB"/>
        </w:rPr>
        <w:footnoteReference w:id="3"/>
      </w:r>
      <w:r w:rsidRPr="00EB7AE1">
        <w:rPr>
          <w:lang w:val="en-GB"/>
        </w:rPr>
        <w:t>, which was adopted in 2017.</w:t>
      </w:r>
    </w:p>
    <w:p w14:paraId="2F5AE8D7" w14:textId="770C849C" w:rsidR="00BB7332" w:rsidRPr="00EB7AE1" w:rsidRDefault="00BB7332" w:rsidP="00D91802">
      <w:pPr>
        <w:pStyle w:val="Akapitzlist"/>
        <w:tabs>
          <w:tab w:val="left" w:pos="2816"/>
        </w:tabs>
        <w:spacing w:after="240"/>
        <w:ind w:left="0"/>
        <w:jc w:val="center"/>
        <w:rPr>
          <w:sz w:val="28"/>
          <w:szCs w:val="28"/>
          <w:lang w:val="en-GB"/>
        </w:rPr>
      </w:pPr>
    </w:p>
    <w:p w14:paraId="2A107386" w14:textId="040C6C3F" w:rsidR="000D58DF" w:rsidRDefault="000D58DF" w:rsidP="00D91802">
      <w:pPr>
        <w:tabs>
          <w:tab w:val="left" w:pos="2816"/>
        </w:tabs>
        <w:spacing w:after="240"/>
        <w:jc w:val="both"/>
        <w:rPr>
          <w:i/>
          <w:iCs/>
          <w:sz w:val="18"/>
          <w:szCs w:val="18"/>
          <w:lang w:val="en-GB"/>
        </w:rPr>
      </w:pPr>
      <w:r w:rsidRPr="000D58DF">
        <w:rPr>
          <w:noProof/>
          <w:lang w:eastAsia="pl-PL"/>
        </w:rPr>
        <w:drawing>
          <wp:inline distT="0" distB="0" distL="0" distR="0" wp14:anchorId="6BA16049" wp14:editId="6022C5E0">
            <wp:extent cx="5760720" cy="3761740"/>
            <wp:effectExtent l="0" t="0" r="11430" b="101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C53581" w14:textId="1D147D87" w:rsidR="00D91802" w:rsidRPr="00EB7AE1" w:rsidRDefault="004D143F" w:rsidP="00D91802">
      <w:pPr>
        <w:tabs>
          <w:tab w:val="left" w:pos="2816"/>
        </w:tabs>
        <w:spacing w:after="240"/>
        <w:jc w:val="both"/>
        <w:rPr>
          <w:i/>
          <w:iCs/>
          <w:sz w:val="18"/>
          <w:szCs w:val="18"/>
          <w:lang w:val="en-GB"/>
        </w:rPr>
      </w:pPr>
      <w:r w:rsidRPr="00EB7AE1">
        <w:rPr>
          <w:i/>
          <w:iCs/>
          <w:sz w:val="18"/>
          <w:szCs w:val="18"/>
          <w:lang w:val="en-GB"/>
        </w:rPr>
        <w:t>.</w:t>
      </w:r>
    </w:p>
    <w:p w14:paraId="4DA33F0B" w14:textId="3A399991" w:rsidR="00BB7332" w:rsidRPr="00EB7AE1" w:rsidRDefault="00BB7332" w:rsidP="00D91802">
      <w:pPr>
        <w:tabs>
          <w:tab w:val="left" w:pos="2816"/>
        </w:tabs>
        <w:spacing w:after="240"/>
        <w:jc w:val="both"/>
        <w:rPr>
          <w:i/>
          <w:iCs/>
          <w:sz w:val="18"/>
          <w:szCs w:val="18"/>
          <w:lang w:val="en-GB"/>
        </w:rPr>
      </w:pPr>
      <w:r w:rsidRPr="00EB7AE1">
        <w:rPr>
          <w:i/>
          <w:iCs/>
          <w:sz w:val="18"/>
          <w:szCs w:val="18"/>
          <w:lang w:val="en-GB"/>
        </w:rPr>
        <w:t xml:space="preserve">Source: Own study </w:t>
      </w:r>
      <w:r w:rsidR="00037C09" w:rsidRPr="00EB7AE1">
        <w:rPr>
          <w:i/>
          <w:iCs/>
          <w:sz w:val="18"/>
          <w:szCs w:val="18"/>
          <w:lang w:val="en-GB"/>
        </w:rPr>
        <w:t>based on</w:t>
      </w:r>
      <w:r w:rsidRPr="00EB7AE1">
        <w:rPr>
          <w:i/>
          <w:iCs/>
          <w:sz w:val="18"/>
          <w:szCs w:val="18"/>
          <w:lang w:val="en-GB"/>
        </w:rPr>
        <w:t xml:space="preserve"> data in the STRATEG database.</w:t>
      </w:r>
    </w:p>
    <w:p w14:paraId="60FE30B4" w14:textId="77777777" w:rsidR="00BB7332" w:rsidRPr="00EB7AE1" w:rsidRDefault="00BB7332" w:rsidP="00BB7332">
      <w:pPr>
        <w:jc w:val="both"/>
        <w:rPr>
          <w:b/>
          <w:i/>
          <w:sz w:val="26"/>
          <w:szCs w:val="26"/>
          <w:lang w:val="en-GB"/>
        </w:rPr>
      </w:pPr>
      <w:r w:rsidRPr="00EB7AE1">
        <w:rPr>
          <w:b/>
          <w:bCs/>
          <w:i/>
          <w:iCs/>
          <w:sz w:val="26"/>
          <w:szCs w:val="26"/>
          <w:lang w:val="en-GB"/>
        </w:rPr>
        <w:t>Sewage treatment</w:t>
      </w:r>
    </w:p>
    <w:p w14:paraId="129F5B6F" w14:textId="5E00B97C" w:rsidR="00BB7332" w:rsidRPr="00EB7AE1" w:rsidRDefault="00030482" w:rsidP="00D91802">
      <w:pPr>
        <w:tabs>
          <w:tab w:val="left" w:pos="2816"/>
        </w:tabs>
        <w:spacing w:after="240"/>
        <w:jc w:val="both"/>
        <w:rPr>
          <w:lang w:val="en-GB"/>
        </w:rPr>
      </w:pPr>
      <w:r w:rsidRPr="00EB7AE1">
        <w:rPr>
          <w:lang w:val="en-GB"/>
        </w:rPr>
        <w:t>BEiŚ</w:t>
      </w:r>
      <w:r w:rsidR="00BB7332" w:rsidRPr="00EB7AE1">
        <w:rPr>
          <w:lang w:val="en-GB"/>
        </w:rPr>
        <w:t xml:space="preserve"> states that the development of sewage treatment infrastructure is important for the improvement of water quality. Significant investments have been made in this area in recent years. As a result, in the years 2010-2017, the percentage of the population using sewage treatment plants increased by 8.9 percentage points, i.e. to 73.6%. The 2020 objective was reached in 2014. </w:t>
      </w:r>
    </w:p>
    <w:p w14:paraId="3143B1C1" w14:textId="1951A3AD" w:rsidR="0025038D" w:rsidRPr="00EB7AE1" w:rsidRDefault="0025038D" w:rsidP="008356F3">
      <w:pPr>
        <w:tabs>
          <w:tab w:val="left" w:pos="2816"/>
        </w:tabs>
        <w:spacing w:after="240"/>
        <w:rPr>
          <w:sz w:val="28"/>
          <w:szCs w:val="28"/>
          <w:lang w:val="en-GB"/>
        </w:rPr>
      </w:pPr>
    </w:p>
    <w:p w14:paraId="61D349AB" w14:textId="702E502C" w:rsidR="000D58DF" w:rsidRDefault="00E81A78" w:rsidP="004D143F">
      <w:pPr>
        <w:pStyle w:val="Akapitzlist"/>
        <w:tabs>
          <w:tab w:val="left" w:pos="2816"/>
        </w:tabs>
        <w:spacing w:after="240"/>
        <w:ind w:left="0"/>
        <w:jc w:val="both"/>
        <w:rPr>
          <w:rFonts w:asciiTheme="minorHAnsi" w:hAnsiTheme="minorHAnsi" w:cstheme="minorHAnsi"/>
          <w:i/>
          <w:iCs/>
          <w:sz w:val="18"/>
          <w:szCs w:val="18"/>
        </w:rPr>
      </w:pPr>
      <w:r>
        <w:rPr>
          <w:noProof/>
          <w:lang w:eastAsia="pl-PL"/>
        </w:rPr>
        <w:drawing>
          <wp:inline distT="0" distB="0" distL="0" distR="0" wp14:anchorId="3BC68F03" wp14:editId="18D1F040">
            <wp:extent cx="5760720" cy="3761740"/>
            <wp:effectExtent l="0" t="0" r="11430" b="1016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06F73B" w14:textId="3BCF4A5E" w:rsidR="0025038D" w:rsidRPr="00EB7AE1" w:rsidRDefault="0025038D" w:rsidP="004D143F">
      <w:pPr>
        <w:tabs>
          <w:tab w:val="left" w:pos="2816"/>
        </w:tabs>
        <w:spacing w:after="240"/>
        <w:jc w:val="both"/>
        <w:rPr>
          <w:rFonts w:asciiTheme="minorHAnsi"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06837656" w14:textId="5A6F06A2" w:rsidR="00BB7332" w:rsidRPr="00EB7AE1" w:rsidRDefault="00BB7332" w:rsidP="004D143F">
      <w:pPr>
        <w:tabs>
          <w:tab w:val="left" w:pos="2816"/>
        </w:tabs>
        <w:spacing w:after="240"/>
        <w:jc w:val="both"/>
        <w:rPr>
          <w:lang w:val="en-GB"/>
        </w:rPr>
      </w:pPr>
      <w:r w:rsidRPr="00EB7AE1">
        <w:rPr>
          <w:lang w:val="en-GB"/>
        </w:rPr>
        <w:t>The length of the sewage network in Poland in 2017 amounted to 156</w:t>
      </w:r>
      <w:r w:rsidR="004D143F" w:rsidRPr="00EB7AE1">
        <w:rPr>
          <w:lang w:val="en-GB"/>
        </w:rPr>
        <w:t xml:space="preserve"> </w:t>
      </w:r>
      <w:r w:rsidRPr="00EB7AE1">
        <w:rPr>
          <w:lang w:val="en-GB"/>
        </w:rPr>
        <w:t>800 km</w:t>
      </w:r>
      <w:r w:rsidR="002B304D" w:rsidRPr="00EB7AE1">
        <w:rPr>
          <w:lang w:val="en-GB"/>
        </w:rPr>
        <w:t xml:space="preserve"> </w:t>
      </w:r>
      <w:r w:rsidRPr="00EB7AE1">
        <w:rPr>
          <w:rStyle w:val="Odwoanieprzypisudolnego"/>
          <w:lang w:val="en-GB"/>
        </w:rPr>
        <w:footnoteReference w:id="4"/>
      </w:r>
      <w:r w:rsidR="002B304D" w:rsidRPr="00EB7AE1">
        <w:rPr>
          <w:lang w:val="en-GB"/>
        </w:rPr>
        <w:t>.</w:t>
      </w:r>
      <w:r w:rsidRPr="00EB7AE1">
        <w:rPr>
          <w:lang w:val="en-GB"/>
        </w:rPr>
        <w:t xml:space="preserve"> In cities, the network was used by about 95% of the population, and in rural areas by 42%. Out of the total number of 923 cities in Poland in 2017, 2 cities were not serviced by sewage treatment plants</w:t>
      </w:r>
      <w:r w:rsidRPr="00EB7AE1">
        <w:rPr>
          <w:rStyle w:val="Odwoanieprzypisudolnego"/>
          <w:lang w:val="en-GB"/>
        </w:rPr>
        <w:footnoteReference w:id="5"/>
      </w:r>
      <w:r w:rsidR="002B304D" w:rsidRPr="00EB7AE1">
        <w:rPr>
          <w:lang w:val="en-GB"/>
        </w:rPr>
        <w:t>.</w:t>
      </w:r>
      <w:r w:rsidRPr="00EB7AE1">
        <w:rPr>
          <w:lang w:val="en-GB"/>
        </w:rPr>
        <w:t xml:space="preserve"> Rural areas with low population density and developing tourism infrastructure still lack local sewage systems and sewage treatment infrastructure.</w:t>
      </w:r>
    </w:p>
    <w:p w14:paraId="4A2A739D" w14:textId="063893F3" w:rsidR="0025038D" w:rsidRPr="00EB7AE1" w:rsidRDefault="0025038D" w:rsidP="008356F3">
      <w:pPr>
        <w:tabs>
          <w:tab w:val="left" w:pos="2816"/>
        </w:tabs>
        <w:jc w:val="both"/>
        <w:rPr>
          <w:lang w:val="en-GB"/>
        </w:rPr>
      </w:pPr>
      <w:r w:rsidRPr="00EB7AE1">
        <w:rPr>
          <w:noProof/>
          <w:lang w:eastAsia="pl-PL"/>
        </w:rPr>
        <w:drawing>
          <wp:inline distT="0" distB="0" distL="0" distR="0" wp14:anchorId="43907851" wp14:editId="10F8422F">
            <wp:extent cx="5734050" cy="3923297"/>
            <wp:effectExtent l="0" t="0" r="0" b="127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471" t="18820" r="15840" b="8547"/>
                    <a:stretch/>
                  </pic:blipFill>
                  <pic:spPr bwMode="auto">
                    <a:xfrm>
                      <a:off x="0" y="0"/>
                      <a:ext cx="5745338" cy="3931021"/>
                    </a:xfrm>
                    <a:prstGeom prst="rect">
                      <a:avLst/>
                    </a:prstGeom>
                    <a:ln>
                      <a:noFill/>
                    </a:ln>
                    <a:extLst>
                      <a:ext uri="{53640926-AAD7-44D8-BBD7-CCE9431645EC}">
                        <a14:shadowObscured xmlns:a14="http://schemas.microsoft.com/office/drawing/2010/main"/>
                      </a:ext>
                    </a:extLst>
                  </pic:spPr>
                </pic:pic>
              </a:graphicData>
            </a:graphic>
          </wp:inline>
        </w:drawing>
      </w:r>
    </w:p>
    <w:p w14:paraId="1EA39FFE" w14:textId="21F2D7C9" w:rsidR="0025038D" w:rsidRPr="00EB7AE1" w:rsidRDefault="0025038D" w:rsidP="004D143F">
      <w:pPr>
        <w:tabs>
          <w:tab w:val="left" w:pos="2816"/>
        </w:tabs>
        <w:rPr>
          <w:i/>
          <w:sz w:val="18"/>
          <w:szCs w:val="18"/>
          <w:lang w:val="en-GB"/>
        </w:rPr>
      </w:pPr>
      <w:r w:rsidRPr="00EB7AE1">
        <w:rPr>
          <w:i/>
          <w:iCs/>
          <w:sz w:val="18"/>
          <w:szCs w:val="18"/>
          <w:lang w:val="en-GB"/>
        </w:rPr>
        <w:t xml:space="preserve">Source: "Environmental Protection 2018", </w:t>
      </w:r>
      <w:r w:rsidR="004D143F" w:rsidRPr="00EB7AE1">
        <w:rPr>
          <w:i/>
          <w:iCs/>
          <w:sz w:val="18"/>
          <w:szCs w:val="18"/>
          <w:lang w:val="en-GB"/>
        </w:rPr>
        <w:t>Statistics Poland (</w:t>
      </w:r>
      <w:r w:rsidRPr="00EB7AE1">
        <w:rPr>
          <w:i/>
          <w:iCs/>
          <w:sz w:val="18"/>
          <w:szCs w:val="18"/>
          <w:lang w:val="en-GB"/>
        </w:rPr>
        <w:t>GUS</w:t>
      </w:r>
      <w:r w:rsidR="004D143F" w:rsidRPr="00EB7AE1">
        <w:rPr>
          <w:i/>
          <w:iCs/>
          <w:sz w:val="18"/>
          <w:szCs w:val="18"/>
          <w:lang w:val="en-GB"/>
        </w:rPr>
        <w:t>)</w:t>
      </w:r>
      <w:r w:rsidRPr="00EB7AE1">
        <w:rPr>
          <w:i/>
          <w:iCs/>
          <w:sz w:val="18"/>
          <w:szCs w:val="18"/>
          <w:lang w:val="en-GB"/>
        </w:rPr>
        <w:t>, p. 66.</w:t>
      </w:r>
    </w:p>
    <w:p w14:paraId="7C5F7FE1" w14:textId="703988B9" w:rsidR="00BB7332" w:rsidRPr="00EB7AE1" w:rsidRDefault="00791AD4" w:rsidP="00EE480A">
      <w:pPr>
        <w:tabs>
          <w:tab w:val="left" w:pos="2816"/>
        </w:tabs>
        <w:spacing w:after="240"/>
        <w:jc w:val="both"/>
        <w:rPr>
          <w:lang w:val="en-GB"/>
        </w:rPr>
      </w:pPr>
      <w:r w:rsidRPr="00EB7AE1">
        <w:rPr>
          <w:lang w:val="en-GB"/>
        </w:rPr>
        <w:t xml:space="preserve">However, the achievement of the indicator pertaining to percentage of the population using sewage treatment plants does not translate into the </w:t>
      </w:r>
      <w:r w:rsidR="00030482" w:rsidRPr="00EB7AE1">
        <w:rPr>
          <w:lang w:val="en-GB"/>
        </w:rPr>
        <w:t>BEiŚ</w:t>
      </w:r>
      <w:r w:rsidRPr="00EB7AE1">
        <w:rPr>
          <w:lang w:val="en-GB"/>
        </w:rPr>
        <w:t xml:space="preserve"> objective of improving the condition of water bodies. This is mainly due to the time required for the reaction of the water environment and the existence of other sources of pollution, particularly of agricultural nature. For this reason, on 5 June 2018 the Council of Ministers adopted a regulation on the adoption of the </w:t>
      </w:r>
      <w:r w:rsidRPr="00EB7AE1">
        <w:rPr>
          <w:i/>
          <w:iCs/>
          <w:lang w:val="en-GB"/>
        </w:rPr>
        <w:t>Action Programme to reduce water pollution by nitrates from agricultural sources and to prevent further pollution</w:t>
      </w:r>
      <w:r w:rsidRPr="00EB7AE1">
        <w:rPr>
          <w:rStyle w:val="Odwoanieprzypisudolnego"/>
          <w:lang w:val="en-GB"/>
        </w:rPr>
        <w:footnoteReference w:id="6"/>
      </w:r>
      <w:r w:rsidR="002B304D" w:rsidRPr="00EB7AE1">
        <w:rPr>
          <w:i/>
          <w:iCs/>
          <w:lang w:val="en-GB"/>
        </w:rPr>
        <w:t>.</w:t>
      </w:r>
      <w:r w:rsidRPr="00EB7AE1">
        <w:rPr>
          <w:lang w:val="en-GB"/>
        </w:rPr>
        <w:t xml:space="preserve"> Proper implementation of the requirements of the </w:t>
      </w:r>
      <w:r w:rsidRPr="00EB7AE1">
        <w:rPr>
          <w:i/>
          <w:iCs/>
          <w:lang w:val="en-GB"/>
        </w:rPr>
        <w:t>Action Programme</w:t>
      </w:r>
      <w:r w:rsidRPr="00EB7AE1">
        <w:rPr>
          <w:lang w:val="en-GB"/>
        </w:rPr>
        <w:t xml:space="preserve"> is expected contribute to reducing the agriculture share in the amount of nitrogen loads discharged to water.</w:t>
      </w:r>
    </w:p>
    <w:p w14:paraId="164FD15B" w14:textId="3BC6EC55" w:rsidR="00BB7332" w:rsidRPr="00EB7AE1" w:rsidRDefault="00BB7332" w:rsidP="00EE480A">
      <w:pPr>
        <w:tabs>
          <w:tab w:val="left" w:pos="2816"/>
        </w:tabs>
        <w:spacing w:after="240"/>
        <w:jc w:val="both"/>
        <w:rPr>
          <w:lang w:val="en-GB"/>
        </w:rPr>
      </w:pPr>
      <w:r w:rsidRPr="00EB7AE1">
        <w:rPr>
          <w:lang w:val="en-GB"/>
        </w:rPr>
        <w:t xml:space="preserve">Access of residents to sewage treatment plants services is the most common in </w:t>
      </w:r>
      <w:r w:rsidR="00EE480A" w:rsidRPr="00EB7AE1">
        <w:rPr>
          <w:lang w:val="en-GB"/>
        </w:rPr>
        <w:t>Pomorskie</w:t>
      </w:r>
      <w:r w:rsidR="00EB7AE1">
        <w:rPr>
          <w:lang w:val="en-GB"/>
        </w:rPr>
        <w:t xml:space="preserve">, </w:t>
      </w:r>
      <w:r w:rsidR="00EE480A" w:rsidRPr="00EB7AE1">
        <w:rPr>
          <w:lang w:val="en-GB"/>
        </w:rPr>
        <w:t>Zachodnio</w:t>
      </w:r>
      <w:r w:rsidR="00BD7C96">
        <w:rPr>
          <w:lang w:val="en-GB"/>
        </w:rPr>
        <w:t>p</w:t>
      </w:r>
      <w:r w:rsidR="00EE480A" w:rsidRPr="00EB7AE1">
        <w:rPr>
          <w:lang w:val="en-GB"/>
        </w:rPr>
        <w:t>omorskie</w:t>
      </w:r>
      <w:r w:rsidRPr="00EB7AE1">
        <w:rPr>
          <w:lang w:val="en-GB"/>
        </w:rPr>
        <w:t xml:space="preserve">, </w:t>
      </w:r>
      <w:r w:rsidR="00EE480A" w:rsidRPr="00EB7AE1">
        <w:rPr>
          <w:lang w:val="en-GB"/>
        </w:rPr>
        <w:t xml:space="preserve">Dolnośląskie </w:t>
      </w:r>
      <w:r w:rsidR="006D618E" w:rsidRPr="00EB7AE1">
        <w:rPr>
          <w:lang w:val="en-GB"/>
        </w:rPr>
        <w:t>and</w:t>
      </w:r>
      <w:r w:rsidRPr="00EB7AE1">
        <w:rPr>
          <w:lang w:val="en-GB"/>
        </w:rPr>
        <w:t xml:space="preserve"> </w:t>
      </w:r>
      <w:r w:rsidR="00EE480A" w:rsidRPr="00EB7AE1">
        <w:rPr>
          <w:lang w:val="en-GB"/>
        </w:rPr>
        <w:t xml:space="preserve">Śląskie </w:t>
      </w:r>
      <w:r w:rsidR="00EB7AE1">
        <w:rPr>
          <w:lang w:val="en-GB"/>
        </w:rPr>
        <w:t>v</w:t>
      </w:r>
      <w:r w:rsidRPr="00EB7AE1">
        <w:rPr>
          <w:lang w:val="en-GB"/>
        </w:rPr>
        <w:t>oivodship</w:t>
      </w:r>
      <w:r w:rsidR="00EB7AE1">
        <w:rPr>
          <w:lang w:val="en-GB"/>
        </w:rPr>
        <w:t>s</w:t>
      </w:r>
      <w:r w:rsidRPr="00EB7AE1">
        <w:rPr>
          <w:lang w:val="en-GB"/>
        </w:rPr>
        <w:t>, where the indicator exceeds 80%. The smallest percentage of the population using sewage treatment plants is located in Lub</w:t>
      </w:r>
      <w:r w:rsidR="00EE480A" w:rsidRPr="00EB7AE1">
        <w:rPr>
          <w:lang w:val="en-GB"/>
        </w:rPr>
        <w:t>elskie</w:t>
      </w:r>
      <w:r w:rsidRPr="00EB7AE1">
        <w:rPr>
          <w:lang w:val="en-GB"/>
        </w:rPr>
        <w:t xml:space="preserve"> Voivodship</w:t>
      </w:r>
      <w:r w:rsidR="00EE480A" w:rsidRPr="00EB7AE1">
        <w:rPr>
          <w:lang w:val="en-GB"/>
        </w:rPr>
        <w:t xml:space="preserve"> </w:t>
      </w:r>
      <w:r w:rsidRPr="00EB7AE1">
        <w:rPr>
          <w:lang w:val="en-GB"/>
        </w:rPr>
        <w:t xml:space="preserve">and amounts to less than 60%. A clear differentiation in the percentage of population with active access to sewage treatment plants services is visible both at the level of voivodships and </w:t>
      </w:r>
      <w:r w:rsidR="00EE480A" w:rsidRPr="00EB7AE1">
        <w:rPr>
          <w:lang w:val="en-GB"/>
        </w:rPr>
        <w:t>counties</w:t>
      </w:r>
      <w:r w:rsidRPr="00EB7AE1">
        <w:rPr>
          <w:lang w:val="en-GB"/>
        </w:rPr>
        <w:t>, which may suggest a need to focus activities on selected local government units in the future. The applied technology should be economically efficient, which is facilitated by the construction of biogas plants near local sewage treatment plants, which has an additional positive impact on the improvement of energy security of the area.</w:t>
      </w:r>
    </w:p>
    <w:p w14:paraId="0F1F44A9" w14:textId="77777777" w:rsidR="00BB7332" w:rsidRPr="00EB7AE1" w:rsidRDefault="00BB7332" w:rsidP="008356F3">
      <w:pPr>
        <w:pStyle w:val="Akapitzlist"/>
        <w:tabs>
          <w:tab w:val="left" w:pos="2816"/>
        </w:tabs>
        <w:spacing w:after="240"/>
        <w:ind w:left="0"/>
        <w:jc w:val="both"/>
        <w:rPr>
          <w:sz w:val="28"/>
          <w:szCs w:val="28"/>
          <w:lang w:val="en-GB"/>
        </w:rPr>
      </w:pPr>
      <w:r w:rsidRPr="00EB7AE1">
        <w:rPr>
          <w:noProof/>
          <w:sz w:val="28"/>
          <w:szCs w:val="28"/>
          <w:lang w:eastAsia="pl-PL"/>
        </w:rPr>
        <w:drawing>
          <wp:inline distT="0" distB="0" distL="0" distR="0" wp14:anchorId="4BDFD797" wp14:editId="7CCE9FE0">
            <wp:extent cx="5753100" cy="3143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143250"/>
                    </a:xfrm>
                    <a:prstGeom prst="rect">
                      <a:avLst/>
                    </a:prstGeom>
                    <a:noFill/>
                    <a:ln>
                      <a:noFill/>
                    </a:ln>
                  </pic:spPr>
                </pic:pic>
              </a:graphicData>
            </a:graphic>
          </wp:inline>
        </w:drawing>
      </w:r>
    </w:p>
    <w:p w14:paraId="22E8D05E" w14:textId="7B1853A3" w:rsidR="001B5A1F" w:rsidRPr="002154B8" w:rsidRDefault="00EE480A" w:rsidP="00EE480A">
      <w:pPr>
        <w:pStyle w:val="Akapitzlist"/>
        <w:tabs>
          <w:tab w:val="left" w:pos="2816"/>
        </w:tabs>
        <w:ind w:left="0"/>
        <w:jc w:val="both"/>
        <w:rPr>
          <w:rFonts w:asciiTheme="minorHAnsi" w:hAnsiTheme="minorHAnsi" w:cstheme="minorHAnsi"/>
          <w:i/>
          <w:iCs/>
          <w:sz w:val="18"/>
          <w:szCs w:val="18"/>
        </w:rPr>
      </w:pPr>
      <w:r w:rsidRPr="002154B8">
        <w:rPr>
          <w:rFonts w:asciiTheme="minorHAnsi" w:hAnsiTheme="minorHAnsi" w:cstheme="minorHAnsi"/>
          <w:i/>
          <w:iCs/>
          <w:sz w:val="18"/>
          <w:szCs w:val="18"/>
        </w:rPr>
        <w:t xml:space="preserve">Map legend: </w:t>
      </w:r>
      <w:r w:rsidR="001B5A1F" w:rsidRPr="002154B8">
        <w:rPr>
          <w:rFonts w:asciiTheme="minorHAnsi" w:hAnsiTheme="minorHAnsi" w:cstheme="minorHAnsi"/>
          <w:i/>
          <w:iCs/>
          <w:sz w:val="18"/>
          <w:szCs w:val="18"/>
        </w:rPr>
        <w:t xml:space="preserve">Rok </w:t>
      </w:r>
      <w:r w:rsidRPr="002154B8">
        <w:rPr>
          <w:rFonts w:asciiTheme="minorHAnsi" w:hAnsiTheme="minorHAnsi" w:cstheme="minorHAnsi"/>
          <w:i/>
          <w:iCs/>
          <w:sz w:val="18"/>
          <w:szCs w:val="18"/>
        </w:rPr>
        <w:t>–</w:t>
      </w:r>
      <w:r w:rsidR="001B5A1F" w:rsidRPr="002154B8">
        <w:rPr>
          <w:rFonts w:asciiTheme="minorHAnsi" w:hAnsiTheme="minorHAnsi" w:cstheme="minorHAnsi"/>
          <w:i/>
          <w:iCs/>
          <w:sz w:val="18"/>
          <w:szCs w:val="18"/>
        </w:rPr>
        <w:t xml:space="preserve"> year</w:t>
      </w:r>
      <w:r w:rsidRPr="002154B8">
        <w:rPr>
          <w:rFonts w:asciiTheme="minorHAnsi" w:hAnsiTheme="minorHAnsi" w:cstheme="minorHAnsi"/>
          <w:i/>
          <w:iCs/>
          <w:sz w:val="18"/>
          <w:szCs w:val="18"/>
        </w:rPr>
        <w:t xml:space="preserve">; </w:t>
      </w:r>
      <w:r w:rsidR="001B5A1F" w:rsidRPr="002154B8">
        <w:rPr>
          <w:rFonts w:asciiTheme="minorHAnsi" w:hAnsiTheme="minorHAnsi" w:cstheme="minorHAnsi"/>
          <w:i/>
          <w:iCs/>
          <w:sz w:val="18"/>
          <w:szCs w:val="18"/>
        </w:rPr>
        <w:t>Kartogram – choropleth map</w:t>
      </w:r>
      <w:r w:rsidRPr="002154B8">
        <w:rPr>
          <w:rFonts w:asciiTheme="minorHAnsi" w:hAnsiTheme="minorHAnsi" w:cstheme="minorHAnsi"/>
          <w:i/>
          <w:iCs/>
          <w:sz w:val="18"/>
          <w:szCs w:val="18"/>
        </w:rPr>
        <w:t xml:space="preserve">; </w:t>
      </w:r>
      <w:r w:rsidR="001B5A1F" w:rsidRPr="002154B8">
        <w:rPr>
          <w:rFonts w:asciiTheme="minorHAnsi" w:hAnsiTheme="minorHAnsi" w:cstheme="minorHAnsi"/>
          <w:i/>
          <w:iCs/>
          <w:sz w:val="18"/>
          <w:szCs w:val="18"/>
        </w:rPr>
        <w:t>Odsetek</w:t>
      </w:r>
      <w:r w:rsidRPr="002154B8">
        <w:rPr>
          <w:rFonts w:asciiTheme="minorHAnsi" w:hAnsiTheme="minorHAnsi" w:cstheme="minorHAnsi"/>
          <w:i/>
          <w:iCs/>
          <w:sz w:val="18"/>
          <w:szCs w:val="18"/>
        </w:rPr>
        <w:t xml:space="preserve"> ludności korzystającej z oczyszczalni ścieków [%] -</w:t>
      </w:r>
      <w:r w:rsidR="001B5A1F" w:rsidRPr="002154B8">
        <w:rPr>
          <w:rFonts w:asciiTheme="minorHAnsi" w:hAnsiTheme="minorHAnsi" w:cstheme="minorHAnsi"/>
          <w:i/>
          <w:iCs/>
          <w:sz w:val="18"/>
          <w:szCs w:val="18"/>
        </w:rPr>
        <w:t xml:space="preserve"> percentage of population using sewage treatment plants [%]</w:t>
      </w:r>
      <w:r w:rsidRPr="002154B8">
        <w:rPr>
          <w:rFonts w:asciiTheme="minorHAnsi" w:hAnsiTheme="minorHAnsi" w:cstheme="minorHAnsi"/>
          <w:i/>
          <w:iCs/>
          <w:sz w:val="18"/>
          <w:szCs w:val="18"/>
        </w:rPr>
        <w:t xml:space="preserve">; </w:t>
      </w:r>
      <w:r w:rsidR="001B5A1F" w:rsidRPr="002154B8">
        <w:rPr>
          <w:rFonts w:asciiTheme="minorHAnsi" w:hAnsiTheme="minorHAnsi" w:cstheme="minorHAnsi"/>
          <w:i/>
          <w:iCs/>
          <w:sz w:val="18"/>
          <w:szCs w:val="18"/>
        </w:rPr>
        <w:t>Brak danych – no data</w:t>
      </w:r>
      <w:r w:rsidRPr="002154B8">
        <w:rPr>
          <w:rFonts w:asciiTheme="minorHAnsi" w:hAnsiTheme="minorHAnsi" w:cstheme="minorHAnsi"/>
          <w:i/>
          <w:iCs/>
          <w:sz w:val="18"/>
          <w:szCs w:val="18"/>
        </w:rPr>
        <w:t xml:space="preserve">; </w:t>
      </w:r>
      <w:r w:rsidR="001B5A1F" w:rsidRPr="002154B8">
        <w:rPr>
          <w:rFonts w:asciiTheme="minorHAnsi" w:hAnsiTheme="minorHAnsi" w:cstheme="minorHAnsi"/>
          <w:i/>
          <w:iCs/>
          <w:sz w:val="18"/>
          <w:szCs w:val="18"/>
        </w:rPr>
        <w:t>j.m. – units: %</w:t>
      </w:r>
      <w:r w:rsidRPr="002154B8">
        <w:rPr>
          <w:rFonts w:asciiTheme="minorHAnsi" w:hAnsiTheme="minorHAnsi" w:cstheme="minorHAnsi"/>
          <w:i/>
          <w:iCs/>
          <w:sz w:val="18"/>
          <w:szCs w:val="18"/>
        </w:rPr>
        <w:t xml:space="preserve">; </w:t>
      </w:r>
      <w:r w:rsidR="001B5A1F" w:rsidRPr="002154B8">
        <w:rPr>
          <w:rFonts w:asciiTheme="minorHAnsi" w:hAnsiTheme="minorHAnsi" w:cstheme="minorHAnsi"/>
          <w:i/>
          <w:iCs/>
          <w:sz w:val="18"/>
          <w:szCs w:val="18"/>
        </w:rPr>
        <w:t>Opracowanie własne</w:t>
      </w:r>
      <w:r w:rsidRPr="002154B8">
        <w:rPr>
          <w:rFonts w:asciiTheme="minorHAnsi" w:hAnsiTheme="minorHAnsi" w:cstheme="minorHAnsi"/>
          <w:i/>
          <w:iCs/>
          <w:sz w:val="18"/>
          <w:szCs w:val="18"/>
        </w:rPr>
        <w:t xml:space="preserve"> na podstawie danych system</w:t>
      </w:r>
      <w:r w:rsidR="006D618E" w:rsidRPr="002154B8">
        <w:rPr>
          <w:rFonts w:asciiTheme="minorHAnsi" w:hAnsiTheme="minorHAnsi" w:cstheme="minorHAnsi"/>
          <w:i/>
          <w:iCs/>
          <w:sz w:val="18"/>
          <w:szCs w:val="18"/>
        </w:rPr>
        <w:t>u</w:t>
      </w:r>
      <w:r w:rsidRPr="002154B8">
        <w:rPr>
          <w:rFonts w:asciiTheme="minorHAnsi" w:hAnsiTheme="minorHAnsi" w:cstheme="minorHAnsi"/>
          <w:i/>
          <w:iCs/>
          <w:sz w:val="18"/>
          <w:szCs w:val="18"/>
        </w:rPr>
        <w:t xml:space="preserve"> Strateg na dzień 13.9.2017 -</w:t>
      </w:r>
      <w:r w:rsidR="001B5A1F" w:rsidRPr="002154B8">
        <w:rPr>
          <w:rFonts w:asciiTheme="minorHAnsi" w:hAnsiTheme="minorHAnsi" w:cstheme="minorHAnsi"/>
          <w:i/>
          <w:iCs/>
          <w:sz w:val="18"/>
          <w:szCs w:val="18"/>
        </w:rPr>
        <w:t xml:space="preserve"> own study based on the data from the Strateg system as at: 13.9.2017</w:t>
      </w:r>
      <w:r w:rsidRPr="002154B8">
        <w:rPr>
          <w:rFonts w:asciiTheme="minorHAnsi" w:hAnsiTheme="minorHAnsi" w:cstheme="minorHAnsi"/>
          <w:i/>
          <w:iCs/>
          <w:sz w:val="18"/>
          <w:szCs w:val="18"/>
        </w:rPr>
        <w:t>.</w:t>
      </w:r>
    </w:p>
    <w:p w14:paraId="3D99CE81" w14:textId="2AB8B2FC" w:rsidR="00BB7332" w:rsidRPr="00EB7AE1" w:rsidRDefault="00BB7332" w:rsidP="00EE480A">
      <w:pPr>
        <w:tabs>
          <w:tab w:val="left" w:pos="2816"/>
        </w:tabs>
        <w:jc w:val="both"/>
        <w:rPr>
          <w:rFonts w:asciiTheme="minorHAnsi"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55F04851" w14:textId="77777777" w:rsidR="00BB7332" w:rsidRPr="00EB7AE1" w:rsidRDefault="00BB7332" w:rsidP="00BB7332">
      <w:pPr>
        <w:jc w:val="both"/>
        <w:rPr>
          <w:b/>
          <w:i/>
          <w:sz w:val="26"/>
          <w:szCs w:val="26"/>
          <w:lang w:val="en-GB"/>
        </w:rPr>
      </w:pPr>
      <w:r w:rsidRPr="00EB7AE1">
        <w:rPr>
          <w:b/>
          <w:bCs/>
          <w:i/>
          <w:iCs/>
          <w:sz w:val="26"/>
          <w:szCs w:val="26"/>
          <w:lang w:val="en-GB"/>
        </w:rPr>
        <w:t>Waste management</w:t>
      </w:r>
    </w:p>
    <w:p w14:paraId="7E132F14" w14:textId="009E3040" w:rsidR="00BB7332" w:rsidRPr="00EB7AE1" w:rsidRDefault="00BB7332" w:rsidP="008356F3">
      <w:pPr>
        <w:tabs>
          <w:tab w:val="left" w:pos="2816"/>
        </w:tabs>
        <w:spacing w:after="240"/>
        <w:jc w:val="both"/>
        <w:rPr>
          <w:lang w:val="en-GB"/>
        </w:rPr>
      </w:pPr>
      <w:r w:rsidRPr="00EB7AE1">
        <w:rPr>
          <w:lang w:val="en-GB"/>
        </w:rPr>
        <w:t xml:space="preserve">Waste management has been recognised by </w:t>
      </w:r>
      <w:r w:rsidR="00030482" w:rsidRPr="00EB7AE1">
        <w:rPr>
          <w:lang w:val="en-GB"/>
        </w:rPr>
        <w:t>BEiŚ</w:t>
      </w:r>
      <w:r w:rsidRPr="00EB7AE1">
        <w:rPr>
          <w:lang w:val="en-GB"/>
        </w:rPr>
        <w:t xml:space="preserve"> as one of the most difficult areas of environmental protection. Measures were taken to gradually move from the system consisting in landfill storage to the system supporting the processing and recovery of raw materials and the use of waste for power generation. According to the Waste Framework Directive, by 2020, at least 50% of the four groups of municipal waste – paper, glass, metals and plastics – should be prepared for re-use and recycled. Between 2012 and 2016, this indicator rose from 18% to 28%. The year 2014 was the first full year of application of the amended Act on maintaining cleanliness and order in municipalities</w:t>
      </w:r>
      <w:r w:rsidRPr="00EB7AE1">
        <w:rPr>
          <w:rStyle w:val="Odwoanieprzypisudolnego"/>
          <w:lang w:val="en-GB"/>
        </w:rPr>
        <w:footnoteReference w:id="7"/>
      </w:r>
      <w:r w:rsidR="002B304D" w:rsidRPr="00EB7AE1">
        <w:rPr>
          <w:lang w:val="en-GB"/>
        </w:rPr>
        <w:t>.</w:t>
      </w:r>
      <w:r w:rsidRPr="00EB7AE1">
        <w:rPr>
          <w:lang w:val="en-GB"/>
        </w:rPr>
        <w:t xml:space="preserve"> The rate of growth of the indicator value so far does not guarantee that the target value will be reached in 2020, due to the fact that the share of selectively collected municipal waste in the entire stream of waste is too low, among other factors. At the same time, it should be noted that the amount of waste being recycled is expected to increase steadily in subsequent years.</w:t>
      </w:r>
    </w:p>
    <w:p w14:paraId="4102026F" w14:textId="1941370A" w:rsidR="00BB7332" w:rsidRPr="00EB7AE1" w:rsidRDefault="002D516B" w:rsidP="008356F3">
      <w:pPr>
        <w:tabs>
          <w:tab w:val="left" w:pos="2816"/>
        </w:tabs>
        <w:spacing w:after="240"/>
        <w:jc w:val="both"/>
        <w:rPr>
          <w:lang w:val="en-GB"/>
        </w:rPr>
      </w:pPr>
      <w:r w:rsidRPr="00EB7AE1">
        <w:rPr>
          <w:lang w:val="en-GB"/>
        </w:rPr>
        <w:t xml:space="preserve">Efforts to reach the required levels have been intensified. Among the measures taken, the following should be mentioned: </w:t>
      </w:r>
    </w:p>
    <w:p w14:paraId="05243305" w14:textId="77777777" w:rsidR="00BB7332" w:rsidRPr="00EB7AE1" w:rsidRDefault="00BB7332" w:rsidP="008356F3">
      <w:pPr>
        <w:pStyle w:val="Akapitzlist"/>
        <w:numPr>
          <w:ilvl w:val="0"/>
          <w:numId w:val="3"/>
        </w:numPr>
        <w:spacing w:after="240"/>
        <w:ind w:left="714" w:hanging="357"/>
        <w:jc w:val="both"/>
        <w:rPr>
          <w:lang w:val="en-GB"/>
        </w:rPr>
      </w:pPr>
      <w:r w:rsidRPr="00EB7AE1">
        <w:rPr>
          <w:lang w:val="en-GB"/>
        </w:rPr>
        <w:t>issuing a regulation on the detailed method of separate collection of selected waste groups</w:t>
      </w:r>
      <w:r w:rsidRPr="00EB7AE1">
        <w:rPr>
          <w:rStyle w:val="Odwoanieprzypisudolnego"/>
          <w:lang w:val="en-GB"/>
        </w:rPr>
        <w:footnoteReference w:id="8"/>
      </w:r>
      <w:r w:rsidRPr="00EB7AE1">
        <w:rPr>
          <w:lang w:val="en-GB"/>
        </w:rPr>
        <w:t>, which introduces uniform standards of separate collection of municipal waste throughout the country,</w:t>
      </w:r>
    </w:p>
    <w:p w14:paraId="58C6005C" w14:textId="77777777" w:rsidR="00BB7332" w:rsidRPr="00EB7AE1" w:rsidRDefault="00BB7332" w:rsidP="008356F3">
      <w:pPr>
        <w:pStyle w:val="Akapitzlist"/>
        <w:numPr>
          <w:ilvl w:val="0"/>
          <w:numId w:val="3"/>
        </w:numPr>
        <w:spacing w:after="240"/>
        <w:ind w:left="714" w:hanging="357"/>
        <w:jc w:val="both"/>
        <w:rPr>
          <w:lang w:val="en-GB"/>
        </w:rPr>
      </w:pPr>
      <w:r w:rsidRPr="00EB7AE1">
        <w:rPr>
          <w:lang w:val="en-GB"/>
        </w:rPr>
        <w:t>a revision of the Regulation on environmental charges</w:t>
      </w:r>
      <w:r w:rsidRPr="00EB7AE1">
        <w:rPr>
          <w:rStyle w:val="Odwoanieprzypisudolnego"/>
          <w:lang w:val="en-GB"/>
        </w:rPr>
        <w:footnoteReference w:id="9"/>
      </w:r>
      <w:r w:rsidRPr="00EB7AE1">
        <w:rPr>
          <w:lang w:val="en-GB"/>
        </w:rPr>
        <w:t>, providing for increased landfill fees in the case of waste that should be recycled,</w:t>
      </w:r>
    </w:p>
    <w:p w14:paraId="3F08B671" w14:textId="24BEE488" w:rsidR="00BB7332" w:rsidRPr="00EB7AE1" w:rsidRDefault="00BB7332" w:rsidP="008356F3">
      <w:pPr>
        <w:pStyle w:val="Akapitzlist"/>
        <w:numPr>
          <w:ilvl w:val="0"/>
          <w:numId w:val="3"/>
        </w:numPr>
        <w:spacing w:after="240"/>
        <w:ind w:left="714" w:hanging="357"/>
        <w:jc w:val="both"/>
        <w:rPr>
          <w:lang w:val="en-GB"/>
        </w:rPr>
      </w:pPr>
      <w:r w:rsidRPr="00EB7AE1">
        <w:rPr>
          <w:lang w:val="en-GB"/>
        </w:rPr>
        <w:t>introduction of the reporting obligation</w:t>
      </w:r>
      <w:r w:rsidRPr="00EB7AE1">
        <w:rPr>
          <w:rStyle w:val="Odwoanieprzypisudolnego"/>
          <w:lang w:val="en-GB"/>
        </w:rPr>
        <w:footnoteReference w:id="10"/>
      </w:r>
      <w:r w:rsidRPr="00EB7AE1">
        <w:rPr>
          <w:lang w:val="en-GB"/>
        </w:rPr>
        <w:t xml:space="preserve"> for entities which collect municipal waste in groups: paper, metals, plastics and glass, which makes it possible to count this waste towards the recycling levels achieved by the communes and prepare it for reuse,</w:t>
      </w:r>
    </w:p>
    <w:p w14:paraId="4C4BF1E7" w14:textId="662708C4" w:rsidR="00BB7332" w:rsidRPr="00EB7AE1" w:rsidRDefault="00BB7332" w:rsidP="008356F3">
      <w:pPr>
        <w:pStyle w:val="Akapitzlist"/>
        <w:numPr>
          <w:ilvl w:val="0"/>
          <w:numId w:val="3"/>
        </w:numPr>
        <w:spacing w:after="240"/>
        <w:ind w:left="714" w:hanging="357"/>
        <w:jc w:val="both"/>
        <w:rPr>
          <w:lang w:val="en-GB"/>
        </w:rPr>
      </w:pPr>
      <w:r w:rsidRPr="00EB7AE1">
        <w:rPr>
          <w:lang w:val="en-GB"/>
        </w:rPr>
        <w:t xml:space="preserve">introducing the principle of extended manufacturer responsibility for burdensome waste, including packaging waste. </w:t>
      </w:r>
    </w:p>
    <w:p w14:paraId="188C177E" w14:textId="6198EF01" w:rsidR="00BB7332" w:rsidRPr="00EB7AE1" w:rsidRDefault="00BB7332" w:rsidP="008356F3">
      <w:pPr>
        <w:tabs>
          <w:tab w:val="left" w:pos="2816"/>
        </w:tabs>
        <w:rPr>
          <w:sz w:val="28"/>
          <w:szCs w:val="28"/>
          <w:lang w:val="en-GB"/>
        </w:rPr>
      </w:pPr>
    </w:p>
    <w:p w14:paraId="24647E14" w14:textId="4FC10BA7" w:rsidR="0082778C" w:rsidRDefault="00E81A78" w:rsidP="008356F3">
      <w:pPr>
        <w:pStyle w:val="Akapitzlist"/>
        <w:tabs>
          <w:tab w:val="left" w:pos="2816"/>
        </w:tabs>
        <w:spacing w:after="240"/>
        <w:ind w:left="0"/>
        <w:jc w:val="both"/>
        <w:rPr>
          <w:rFonts w:asciiTheme="minorHAnsi" w:hAnsiTheme="minorHAnsi" w:cstheme="minorHAnsi"/>
          <w:i/>
          <w:iCs/>
          <w:sz w:val="18"/>
          <w:szCs w:val="18"/>
          <w:lang w:val="en-GB"/>
        </w:rPr>
      </w:pPr>
      <w:r>
        <w:rPr>
          <w:noProof/>
          <w:lang w:eastAsia="pl-PL"/>
        </w:rPr>
        <w:drawing>
          <wp:inline distT="0" distB="0" distL="0" distR="0" wp14:anchorId="3BE8E653" wp14:editId="00CC20FF">
            <wp:extent cx="5760720" cy="3761740"/>
            <wp:effectExtent l="0" t="0" r="11430" b="1016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6DF7D1" w14:textId="34824F68" w:rsidR="00BB7332" w:rsidRPr="00EB7AE1" w:rsidRDefault="00BB7332" w:rsidP="008356F3">
      <w:pPr>
        <w:tabs>
          <w:tab w:val="left" w:pos="2816"/>
        </w:tabs>
        <w:spacing w:after="240"/>
        <w:jc w:val="both"/>
        <w:rPr>
          <w:rFonts w:asciiTheme="minorHAnsi"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02C8EBDD" w14:textId="0677ED0B" w:rsidR="00BB7332" w:rsidRPr="00EB7AE1" w:rsidRDefault="00BB7332" w:rsidP="008356F3">
      <w:pPr>
        <w:tabs>
          <w:tab w:val="left" w:pos="2816"/>
        </w:tabs>
        <w:spacing w:after="240"/>
        <w:jc w:val="both"/>
        <w:rPr>
          <w:lang w:val="en-GB"/>
        </w:rPr>
      </w:pPr>
      <w:r w:rsidRPr="00EB7AE1">
        <w:rPr>
          <w:lang w:val="en-GB"/>
        </w:rPr>
        <w:t xml:space="preserve">The level of recovery of construction and demolition waste is more favourable. Concrete, brick and ceramic debris contained in construction and demolition waste after simple processing may constitute a construction aggregate of full value. It is used in the production of construction materials and elements, as well as in the construction of buildings and roads. Therefore, the level of recovery of this type of waste is not only of environmental but also of economic significance. </w:t>
      </w:r>
    </w:p>
    <w:p w14:paraId="710D3614" w14:textId="77777777" w:rsidR="00BB7332" w:rsidRPr="00EB7AE1" w:rsidRDefault="00BB7332" w:rsidP="008356F3">
      <w:pPr>
        <w:tabs>
          <w:tab w:val="left" w:pos="2816"/>
        </w:tabs>
        <w:spacing w:after="240"/>
        <w:jc w:val="both"/>
        <w:rPr>
          <w:lang w:val="en-GB"/>
        </w:rPr>
      </w:pPr>
      <w:r w:rsidRPr="00EB7AE1">
        <w:rPr>
          <w:lang w:val="en-GB"/>
        </w:rPr>
        <w:t>The target level of recycling, preparation for re-use and recovery by other means for non-hazardous construction and demolition waste, set for 2020 at 70%, has already been reached in Poland. In the years 2010-2015, this indicator oscillated around the target value. In 2015, the indicator reached as much as 105% of the target, which may be due to the treatment of waste stored in previous years.</w:t>
      </w:r>
    </w:p>
    <w:p w14:paraId="22E09156" w14:textId="36F6AAC1" w:rsidR="00BB7332" w:rsidRPr="00EB7AE1" w:rsidRDefault="00BB7332" w:rsidP="008356F3">
      <w:pPr>
        <w:pStyle w:val="Akapitzlist"/>
        <w:tabs>
          <w:tab w:val="left" w:pos="2816"/>
        </w:tabs>
        <w:ind w:left="0"/>
        <w:rPr>
          <w:sz w:val="28"/>
          <w:szCs w:val="28"/>
          <w:lang w:val="en-GB"/>
        </w:rPr>
      </w:pPr>
    </w:p>
    <w:p w14:paraId="33705D2D" w14:textId="6D1C7C6C" w:rsidR="0082778C" w:rsidRDefault="00E81A78" w:rsidP="008356F3">
      <w:pPr>
        <w:tabs>
          <w:tab w:val="left" w:pos="2816"/>
        </w:tabs>
        <w:spacing w:after="240"/>
        <w:jc w:val="both"/>
        <w:rPr>
          <w:rFonts w:asciiTheme="minorHAnsi" w:hAnsiTheme="minorHAnsi" w:cstheme="minorHAnsi"/>
          <w:i/>
          <w:iCs/>
          <w:sz w:val="18"/>
          <w:szCs w:val="18"/>
        </w:rPr>
      </w:pPr>
      <w:r>
        <w:rPr>
          <w:noProof/>
          <w:lang w:eastAsia="pl-PL"/>
        </w:rPr>
        <w:drawing>
          <wp:inline distT="0" distB="0" distL="0" distR="0" wp14:anchorId="676A3C3D" wp14:editId="56FF72F7">
            <wp:extent cx="5760720" cy="3766185"/>
            <wp:effectExtent l="0" t="0" r="11430" b="571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ACF426" w14:textId="4F3EE428" w:rsidR="001B5A1F" w:rsidRPr="005D3250" w:rsidRDefault="008356F3" w:rsidP="008356F3">
      <w:pPr>
        <w:tabs>
          <w:tab w:val="left" w:pos="2816"/>
        </w:tabs>
        <w:spacing w:after="240"/>
        <w:jc w:val="both"/>
        <w:rPr>
          <w:rFonts w:asciiTheme="minorHAnsi" w:eastAsia="Times New Roman" w:hAnsiTheme="minorHAnsi" w:cstheme="minorHAnsi"/>
          <w:i/>
          <w:iCs/>
          <w:sz w:val="18"/>
          <w:szCs w:val="18"/>
        </w:rPr>
      </w:pPr>
      <w:r w:rsidRPr="005D3250">
        <w:rPr>
          <w:rFonts w:asciiTheme="minorHAnsi" w:eastAsia="Times New Roman" w:hAnsiTheme="minorHAnsi" w:cstheme="minorHAnsi"/>
          <w:i/>
          <w:iCs/>
          <w:sz w:val="18"/>
          <w:szCs w:val="18"/>
        </w:rPr>
        <w:t>.</w:t>
      </w:r>
    </w:p>
    <w:p w14:paraId="1C344239" w14:textId="0893CD9B" w:rsidR="00BB7332" w:rsidRPr="00EB7AE1" w:rsidRDefault="00BB7332" w:rsidP="008356F3">
      <w:pPr>
        <w:tabs>
          <w:tab w:val="left" w:pos="2816"/>
        </w:tabs>
        <w:spacing w:after="240"/>
        <w:jc w:val="both"/>
        <w:rPr>
          <w:rFonts w:asciiTheme="minorHAnsi"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1BDD3E1B" w14:textId="69CB1AFE" w:rsidR="00BB7332" w:rsidRPr="00EB7AE1" w:rsidRDefault="00BB7332" w:rsidP="008356F3">
      <w:pPr>
        <w:tabs>
          <w:tab w:val="left" w:pos="2816"/>
        </w:tabs>
        <w:spacing w:after="240"/>
        <w:jc w:val="both"/>
        <w:rPr>
          <w:lang w:val="en-GB"/>
        </w:rPr>
      </w:pPr>
      <w:r w:rsidRPr="00EB7AE1">
        <w:rPr>
          <w:lang w:val="en-GB"/>
        </w:rPr>
        <w:t>An important element of the environmental policy is the reduction of the amount of landfilled waste. The activities undertaken in this area resulted in a gradual reduction of the mass of biodegradable municipal waste which was transferred to landfills. The 2020 objective has already been met.</w:t>
      </w:r>
    </w:p>
    <w:p w14:paraId="11A44A88" w14:textId="0BA665DF" w:rsidR="00BB7332" w:rsidRPr="00EB7AE1" w:rsidRDefault="00BB7332" w:rsidP="008356F3">
      <w:pPr>
        <w:tabs>
          <w:tab w:val="left" w:pos="2816"/>
        </w:tabs>
        <w:spacing w:after="240"/>
        <w:jc w:val="both"/>
        <w:rPr>
          <w:lang w:val="en-GB"/>
        </w:rPr>
      </w:pPr>
      <w:r w:rsidRPr="00EB7AE1">
        <w:rPr>
          <w:lang w:val="en-GB"/>
        </w:rPr>
        <w:t xml:space="preserve">The management of municipal waste is carried out </w:t>
      </w:r>
      <w:r w:rsidR="00037C09" w:rsidRPr="00EB7AE1">
        <w:rPr>
          <w:lang w:val="en-GB"/>
        </w:rPr>
        <w:t>considering</w:t>
      </w:r>
      <w:r w:rsidRPr="00EB7AE1">
        <w:rPr>
          <w:lang w:val="en-GB"/>
        </w:rPr>
        <w:t xml:space="preserve"> the hierarchy of waste management methods. Municipal waste that could not be prevented is subject to the recovery process, including preparation for reuse </w:t>
      </w:r>
      <w:bookmarkStart w:id="3" w:name="_msoanchor_1"/>
      <w:bookmarkEnd w:id="3"/>
      <w:r w:rsidRPr="00EB7AE1">
        <w:rPr>
          <w:color w:val="000000"/>
          <w:shd w:val="clear" w:color="auto" w:fill="FDFDFD"/>
          <w:lang w:val="en-GB"/>
        </w:rPr>
        <w:t>and recycling, as well as other processes, e.g. thermal processing, biological treatment and landfill storage (mixed waste goes to landfills after previous processing).</w:t>
      </w:r>
      <w:r w:rsidRPr="00EB7AE1">
        <w:rPr>
          <w:lang w:val="en-GB"/>
        </w:rPr>
        <w:t xml:space="preserve"> The amount of municipal waste recycled in 2016 has quadrupled compared to 2012 and the amount of thermally processed waste has increased forty-two-fold. Such a large increase in the stream of waste directed for thermal processing was caused by opening new municipal waste incineration plants, which started operating at the turn of 2015/2016</w:t>
      </w:r>
      <w:r w:rsidRPr="00EB7AE1">
        <w:rPr>
          <w:vertAlign w:val="superscript"/>
          <w:lang w:val="en-GB"/>
        </w:rPr>
        <w:footnoteReference w:id="11"/>
      </w:r>
      <w:r w:rsidRPr="00EB7AE1">
        <w:rPr>
          <w:lang w:val="en-GB"/>
        </w:rPr>
        <w:t>. An indirect impact on the increase in the amount of waste directed for thermal processing was caused by the regulation of the Minister of Economy of 8 January 2013 on the criteria and procedures for allowing waste to be stored at landfills</w:t>
      </w:r>
      <w:r w:rsidRPr="00EB7AE1">
        <w:rPr>
          <w:rStyle w:val="Odwoanieprzypisudolnego"/>
          <w:lang w:val="en-GB"/>
        </w:rPr>
        <w:footnoteReference w:id="12"/>
      </w:r>
      <w:r w:rsidR="002B304D" w:rsidRPr="00EB7AE1">
        <w:rPr>
          <w:lang w:val="en-GB"/>
        </w:rPr>
        <w:t>.</w:t>
      </w:r>
    </w:p>
    <w:p w14:paraId="66CC0A23" w14:textId="77777777" w:rsidR="00BB7332" w:rsidRPr="00EB7AE1" w:rsidRDefault="00BB7332" w:rsidP="008356F3">
      <w:pPr>
        <w:tabs>
          <w:tab w:val="left" w:pos="2816"/>
        </w:tabs>
        <w:spacing w:after="240"/>
        <w:jc w:val="both"/>
        <w:rPr>
          <w:sz w:val="28"/>
          <w:szCs w:val="28"/>
          <w:lang w:val="en-GB"/>
        </w:rPr>
      </w:pPr>
      <w:r w:rsidRPr="00EB7AE1">
        <w:rPr>
          <w:lang w:val="en-GB"/>
        </w:rPr>
        <w:t xml:space="preserve">Between 2012 and 2016, the amount of municipal waste subjected to biological processes increased by 67%, while the total weight of municipal waste sent for landfill storage decreased by as much as 40%. </w:t>
      </w:r>
    </w:p>
    <w:p w14:paraId="3CADCC8A" w14:textId="6C3448B1" w:rsidR="00BB7332" w:rsidRPr="00EB7AE1" w:rsidRDefault="00BB7332" w:rsidP="008356F3">
      <w:pPr>
        <w:pStyle w:val="Akapitzlist"/>
        <w:tabs>
          <w:tab w:val="left" w:pos="2816"/>
        </w:tabs>
        <w:spacing w:after="240"/>
        <w:ind w:left="0"/>
        <w:jc w:val="both"/>
        <w:rPr>
          <w:sz w:val="28"/>
          <w:szCs w:val="28"/>
          <w:lang w:val="en-GB"/>
        </w:rPr>
      </w:pPr>
    </w:p>
    <w:p w14:paraId="38B882C4" w14:textId="47A88C77" w:rsidR="0082778C" w:rsidRDefault="00E81A78" w:rsidP="00411096">
      <w:pPr>
        <w:pStyle w:val="Akapitzlist"/>
        <w:tabs>
          <w:tab w:val="left" w:pos="2816"/>
        </w:tabs>
        <w:spacing w:after="240"/>
        <w:ind w:left="0"/>
        <w:rPr>
          <w:rFonts w:asciiTheme="minorHAnsi" w:hAnsiTheme="minorHAnsi" w:cstheme="minorHAnsi"/>
          <w:i/>
          <w:iCs/>
          <w:sz w:val="18"/>
          <w:szCs w:val="18"/>
        </w:rPr>
      </w:pPr>
      <w:r>
        <w:rPr>
          <w:noProof/>
          <w:lang w:eastAsia="pl-PL"/>
        </w:rPr>
        <w:drawing>
          <wp:inline distT="0" distB="0" distL="0" distR="0" wp14:anchorId="28218214" wp14:editId="4ED78FE5">
            <wp:extent cx="5760720" cy="3761740"/>
            <wp:effectExtent l="0" t="0" r="11430" b="1016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EC2221" w14:textId="5FE618C8" w:rsidR="00BB7332" w:rsidRPr="00EB7AE1" w:rsidRDefault="00BB7332" w:rsidP="00411096">
      <w:pPr>
        <w:tabs>
          <w:tab w:val="left" w:pos="2816"/>
        </w:tabs>
        <w:spacing w:after="240"/>
        <w:rPr>
          <w:rFonts w:asciiTheme="minorHAnsi" w:hAnsiTheme="minorHAnsi" w:cstheme="minorHAnsi"/>
          <w:i/>
          <w:iCs/>
          <w:sz w:val="18"/>
          <w:szCs w:val="18"/>
          <w:lang w:val="en-GB"/>
        </w:rPr>
      </w:pPr>
      <w:bookmarkStart w:id="4" w:name="_GoBack"/>
      <w:bookmarkEnd w:id="4"/>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41E6011D" w14:textId="77777777" w:rsidR="00BB7332" w:rsidRPr="00EB7AE1" w:rsidRDefault="00BB7332" w:rsidP="00BB7332">
      <w:pPr>
        <w:jc w:val="both"/>
        <w:rPr>
          <w:b/>
          <w:i/>
          <w:sz w:val="26"/>
          <w:szCs w:val="26"/>
          <w:lang w:val="en-GB"/>
        </w:rPr>
      </w:pPr>
      <w:r w:rsidRPr="00EB7AE1">
        <w:rPr>
          <w:b/>
          <w:bCs/>
          <w:i/>
          <w:iCs/>
          <w:sz w:val="26"/>
          <w:szCs w:val="26"/>
          <w:lang w:val="en-GB"/>
        </w:rPr>
        <w:t>Air quality</w:t>
      </w:r>
    </w:p>
    <w:p w14:paraId="2FC5870F" w14:textId="2AAD958D" w:rsidR="00BB7332" w:rsidRPr="00EB7AE1" w:rsidRDefault="00EA4B9E" w:rsidP="00225C0C">
      <w:pPr>
        <w:tabs>
          <w:tab w:val="left" w:pos="2816"/>
        </w:tabs>
        <w:spacing w:after="240"/>
        <w:jc w:val="both"/>
        <w:rPr>
          <w:lang w:val="en-GB"/>
        </w:rPr>
      </w:pPr>
      <w:r w:rsidRPr="00EB7AE1">
        <w:rPr>
          <w:lang w:val="en-GB"/>
        </w:rPr>
        <w:t xml:space="preserve">Although </w:t>
      </w:r>
      <w:r w:rsidR="00030482" w:rsidRPr="00EB7AE1">
        <w:rPr>
          <w:lang w:val="en-GB"/>
        </w:rPr>
        <w:t>BEiŚ</w:t>
      </w:r>
      <w:r w:rsidRPr="00EB7AE1">
        <w:rPr>
          <w:lang w:val="en-GB"/>
        </w:rPr>
        <w:t xml:space="preserve"> has identified curbing air pollution as a priority, in recent years, exceeded concentrations of pollutants have still been recorded in most parts of the country. In 2016, exceeded air quality standards were recorded in 76% of the zones where measurements were made. Achievement of the target value (45%) in 2020 is unlikely </w:t>
      </w:r>
      <w:r w:rsidR="00037C09" w:rsidRPr="00EB7AE1">
        <w:rPr>
          <w:lang w:val="en-GB"/>
        </w:rPr>
        <w:t>based on</w:t>
      </w:r>
      <w:r w:rsidRPr="00EB7AE1">
        <w:rPr>
          <w:lang w:val="en-GB"/>
        </w:rPr>
        <w:t xml:space="preserve"> the actions taken. This has a direct impact on the quality of life, the health of the population and the condition of ecosystems. </w:t>
      </w:r>
    </w:p>
    <w:p w14:paraId="47DB15E7" w14:textId="59653C2A" w:rsidR="00BB7332" w:rsidRPr="00EB7AE1" w:rsidRDefault="00BB7332" w:rsidP="00225C0C">
      <w:pPr>
        <w:tabs>
          <w:tab w:val="left" w:pos="2816"/>
        </w:tabs>
        <w:spacing w:after="240"/>
        <w:jc w:val="both"/>
        <w:rPr>
          <w:lang w:val="en-GB"/>
        </w:rPr>
      </w:pPr>
      <w:r w:rsidRPr="00EB7AE1">
        <w:rPr>
          <w:lang w:val="en-GB"/>
        </w:rPr>
        <w:t xml:space="preserve">In view of the unsatisfactory state of air quality, the Ministry of the Environment intensified its activities in 2015 with the adoption of the </w:t>
      </w:r>
      <w:r w:rsidRPr="00EB7AE1">
        <w:rPr>
          <w:i/>
          <w:iCs/>
          <w:lang w:val="en-GB"/>
        </w:rPr>
        <w:t>National Air Protection</w:t>
      </w:r>
      <w:r w:rsidR="00894535" w:rsidRPr="00EB7AE1">
        <w:rPr>
          <w:i/>
          <w:iCs/>
          <w:lang w:val="en-GB"/>
        </w:rPr>
        <w:t xml:space="preserve"> Programme</w:t>
      </w:r>
      <w:r w:rsidRPr="00EB7AE1">
        <w:rPr>
          <w:lang w:val="en-GB"/>
        </w:rPr>
        <w:t xml:space="preserve"> (</w:t>
      </w:r>
      <w:r w:rsidR="00894535" w:rsidRPr="00EB7AE1">
        <w:rPr>
          <w:lang w:val="en-GB"/>
        </w:rPr>
        <w:t>KPOP</w:t>
      </w:r>
      <w:r w:rsidRPr="00EB7AE1">
        <w:rPr>
          <w:lang w:val="en-GB"/>
        </w:rPr>
        <w:t>). It aims to achieve, as soon as possible, the limit values for particulate matter and other harmful substances in air laid down in EU legislation and, with a view to 2030 – those set by the World Health Organisation. Within the framework of the amendment of the Environmental Protection Law</w:t>
      </w:r>
      <w:r w:rsidRPr="00EB7AE1">
        <w:rPr>
          <w:vertAlign w:val="superscript"/>
          <w:lang w:val="en-GB"/>
        </w:rPr>
        <w:footnoteReference w:id="13"/>
      </w:r>
      <w:r w:rsidRPr="00EB7AE1">
        <w:rPr>
          <w:lang w:val="en-GB"/>
        </w:rPr>
        <w:t>, the effectiveness of actions resulting from air protection programmes and short-term action plans has been increased. Thanks to this amendment, the Voivodship Assembly may, by way of a resolution, introduce restrictions or bans on the operation of plants relying of fuel combustion and specify the types or quality of fuels allowed for use. So far, anti-smog resolutions have been prepared and are being implemented for the city of Krak</w:t>
      </w:r>
      <w:r w:rsidR="00225C0C" w:rsidRPr="00EB7AE1">
        <w:rPr>
          <w:lang w:val="en-GB"/>
        </w:rPr>
        <w:t>ó</w:t>
      </w:r>
      <w:r w:rsidRPr="00EB7AE1">
        <w:rPr>
          <w:lang w:val="en-GB"/>
        </w:rPr>
        <w:t xml:space="preserve">w and ten voivodships: </w:t>
      </w:r>
      <w:r w:rsidR="00225C0C" w:rsidRPr="00EB7AE1">
        <w:rPr>
          <w:lang w:val="en-GB"/>
        </w:rPr>
        <w:t>Małopolskie</w:t>
      </w:r>
      <w:r w:rsidRPr="00EB7AE1">
        <w:rPr>
          <w:lang w:val="en-GB"/>
        </w:rPr>
        <w:t xml:space="preserve">, </w:t>
      </w:r>
      <w:r w:rsidR="00225C0C" w:rsidRPr="00EB7AE1">
        <w:rPr>
          <w:lang w:val="en-GB"/>
        </w:rPr>
        <w:t>Śląskie</w:t>
      </w:r>
      <w:r w:rsidRPr="00EB7AE1">
        <w:rPr>
          <w:lang w:val="en-GB"/>
        </w:rPr>
        <w:t>, Opol</w:t>
      </w:r>
      <w:r w:rsidR="00225C0C" w:rsidRPr="00EB7AE1">
        <w:rPr>
          <w:lang w:val="en-GB"/>
        </w:rPr>
        <w:t>skie</w:t>
      </w:r>
      <w:r w:rsidRPr="00EB7AE1">
        <w:rPr>
          <w:lang w:val="en-GB"/>
        </w:rPr>
        <w:t>, Ma</w:t>
      </w:r>
      <w:r w:rsidR="00225C0C" w:rsidRPr="00EB7AE1">
        <w:rPr>
          <w:lang w:val="en-GB"/>
        </w:rPr>
        <w:t>zowieckie</w:t>
      </w:r>
      <w:r w:rsidRPr="00EB7AE1">
        <w:rPr>
          <w:lang w:val="en-GB"/>
        </w:rPr>
        <w:t>, Łód</w:t>
      </w:r>
      <w:r w:rsidR="00225C0C" w:rsidRPr="00EB7AE1">
        <w:rPr>
          <w:lang w:val="en-GB"/>
        </w:rPr>
        <w:t>zkie</w:t>
      </w:r>
      <w:r w:rsidRPr="00EB7AE1">
        <w:rPr>
          <w:lang w:val="en-GB"/>
        </w:rPr>
        <w:t xml:space="preserve">, </w:t>
      </w:r>
      <w:r w:rsidR="00225C0C" w:rsidRPr="00EB7AE1">
        <w:rPr>
          <w:lang w:val="en-GB"/>
        </w:rPr>
        <w:t>Dolnośląskie</w:t>
      </w:r>
      <w:r w:rsidRPr="00EB7AE1">
        <w:rPr>
          <w:lang w:val="en-GB"/>
        </w:rPr>
        <w:t>, Lubus</w:t>
      </w:r>
      <w:r w:rsidR="00225C0C" w:rsidRPr="00EB7AE1">
        <w:rPr>
          <w:lang w:val="en-GB"/>
        </w:rPr>
        <w:t>kie</w:t>
      </w:r>
      <w:r w:rsidRPr="00EB7AE1">
        <w:rPr>
          <w:lang w:val="en-GB"/>
        </w:rPr>
        <w:t xml:space="preserve">, </w:t>
      </w:r>
      <w:r w:rsidR="00225C0C" w:rsidRPr="00EB7AE1">
        <w:rPr>
          <w:lang w:val="en-GB"/>
        </w:rPr>
        <w:t>Wielkopolskie</w:t>
      </w:r>
      <w:r w:rsidRPr="00EB7AE1">
        <w:rPr>
          <w:lang w:val="en-GB"/>
        </w:rPr>
        <w:t xml:space="preserve">, </w:t>
      </w:r>
      <w:r w:rsidR="00225C0C" w:rsidRPr="00EB7AE1">
        <w:rPr>
          <w:lang w:val="en-GB"/>
        </w:rPr>
        <w:t>Podkarpackie</w:t>
      </w:r>
      <w:r w:rsidRPr="00EB7AE1">
        <w:rPr>
          <w:lang w:val="en-GB"/>
        </w:rPr>
        <w:t xml:space="preserve"> and </w:t>
      </w:r>
      <w:r w:rsidR="00225C0C" w:rsidRPr="00EB7AE1">
        <w:rPr>
          <w:lang w:val="en-GB"/>
        </w:rPr>
        <w:t>Zachodnio</w:t>
      </w:r>
      <w:r w:rsidR="00BD7C96">
        <w:rPr>
          <w:lang w:val="en-GB"/>
        </w:rPr>
        <w:t>p</w:t>
      </w:r>
      <w:r w:rsidR="00225C0C" w:rsidRPr="00EB7AE1">
        <w:rPr>
          <w:lang w:val="en-GB"/>
        </w:rPr>
        <w:t>omorskie</w:t>
      </w:r>
      <w:r w:rsidRPr="00EB7AE1">
        <w:rPr>
          <w:lang w:val="en-GB"/>
        </w:rPr>
        <w:t>. Works on the resolution for the Lub</w:t>
      </w:r>
      <w:r w:rsidR="00225C0C" w:rsidRPr="00EB7AE1">
        <w:rPr>
          <w:lang w:val="en-GB"/>
        </w:rPr>
        <w:t>elskie</w:t>
      </w:r>
      <w:r w:rsidRPr="00EB7AE1">
        <w:rPr>
          <w:lang w:val="en-GB"/>
        </w:rPr>
        <w:t xml:space="preserve"> Voivodship </w:t>
      </w:r>
      <w:r w:rsidR="00225C0C" w:rsidRPr="00EB7AE1">
        <w:rPr>
          <w:lang w:val="en-GB"/>
        </w:rPr>
        <w:t xml:space="preserve">(Lublin Province) </w:t>
      </w:r>
      <w:r w:rsidRPr="00EB7AE1">
        <w:rPr>
          <w:lang w:val="en-GB"/>
        </w:rPr>
        <w:t>are nearing completion.</w:t>
      </w:r>
    </w:p>
    <w:p w14:paraId="3AE41563" w14:textId="22588EA6" w:rsidR="00BB7332" w:rsidRPr="00EB7AE1" w:rsidRDefault="00BB7332" w:rsidP="00225C0C">
      <w:pPr>
        <w:tabs>
          <w:tab w:val="left" w:pos="2816"/>
        </w:tabs>
        <w:spacing w:after="240"/>
        <w:jc w:val="both"/>
        <w:rPr>
          <w:lang w:val="en-GB"/>
        </w:rPr>
      </w:pPr>
      <w:r w:rsidRPr="00EB7AE1">
        <w:rPr>
          <w:lang w:val="en-GB"/>
        </w:rPr>
        <w:t xml:space="preserve">In 2017, the Economic Committee of the Council of Ministers, at the request of the Prime Minister, presented recommendations under the name of the </w:t>
      </w:r>
      <w:r w:rsidR="00225C0C" w:rsidRPr="00EB7AE1">
        <w:rPr>
          <w:lang w:val="en-GB"/>
        </w:rPr>
        <w:t>"</w:t>
      </w:r>
      <w:r w:rsidRPr="00EB7AE1">
        <w:rPr>
          <w:i/>
          <w:iCs/>
          <w:lang w:val="en-GB"/>
        </w:rPr>
        <w:t>Clean Air</w:t>
      </w:r>
      <w:r w:rsidR="00225C0C" w:rsidRPr="00EB7AE1">
        <w:rPr>
          <w:i/>
          <w:iCs/>
          <w:lang w:val="en-GB"/>
        </w:rPr>
        <w:t>"</w:t>
      </w:r>
      <w:r w:rsidRPr="00EB7AE1">
        <w:rPr>
          <w:i/>
          <w:iCs/>
          <w:lang w:val="en-GB"/>
        </w:rPr>
        <w:t xml:space="preserve"> </w:t>
      </w:r>
      <w:r w:rsidR="00225C0C" w:rsidRPr="00EB7AE1">
        <w:rPr>
          <w:i/>
          <w:iCs/>
          <w:lang w:val="en-GB"/>
        </w:rPr>
        <w:t>p</w:t>
      </w:r>
      <w:r w:rsidRPr="00EB7AE1">
        <w:rPr>
          <w:i/>
          <w:iCs/>
          <w:lang w:val="en-GB"/>
        </w:rPr>
        <w:t>rogramme</w:t>
      </w:r>
      <w:r w:rsidRPr="00EB7AE1">
        <w:rPr>
          <w:lang w:val="en-GB"/>
        </w:rPr>
        <w:t xml:space="preserve">. Measures to improve air quality were also included in government strategic documents – </w:t>
      </w:r>
      <w:r w:rsidR="00225C0C" w:rsidRPr="00EB7AE1">
        <w:rPr>
          <w:lang w:val="en-GB"/>
        </w:rPr>
        <w:t xml:space="preserve">the Strategy for Responsible Development for the period up to 2020 (including the perspective up to 2030) </w:t>
      </w:r>
      <w:r w:rsidRPr="00EB7AE1">
        <w:rPr>
          <w:lang w:val="en-GB"/>
        </w:rPr>
        <w:t xml:space="preserve"> and </w:t>
      </w:r>
      <w:r w:rsidRPr="00EB7AE1">
        <w:rPr>
          <w:i/>
          <w:iCs/>
          <w:lang w:val="en-GB"/>
        </w:rPr>
        <w:t xml:space="preserve">the Electromobility Development Plan </w:t>
      </w:r>
      <w:bookmarkStart w:id="5" w:name="_Hlk22138909"/>
      <w:r w:rsidRPr="00EB7AE1">
        <w:rPr>
          <w:i/>
          <w:iCs/>
          <w:lang w:val="en-GB"/>
        </w:rPr>
        <w:t>"</w:t>
      </w:r>
      <w:bookmarkEnd w:id="5"/>
      <w:r w:rsidRPr="00EB7AE1">
        <w:rPr>
          <w:i/>
          <w:iCs/>
          <w:lang w:val="en-GB"/>
        </w:rPr>
        <w:t>Energy for the Future"</w:t>
      </w:r>
      <w:r w:rsidRPr="00EB7AE1">
        <w:rPr>
          <w:lang w:val="en-GB"/>
        </w:rPr>
        <w:t>. The implementation phase of measures to improve air quality is currently underway.</w:t>
      </w:r>
    </w:p>
    <w:p w14:paraId="5B1541F7" w14:textId="7D5A8781" w:rsidR="00BB7332" w:rsidRPr="00EB7AE1" w:rsidRDefault="00BB7332" w:rsidP="00225C0C">
      <w:pPr>
        <w:tabs>
          <w:tab w:val="left" w:pos="2816"/>
        </w:tabs>
        <w:spacing w:after="240"/>
        <w:jc w:val="both"/>
        <w:rPr>
          <w:lang w:val="en-GB"/>
        </w:rPr>
      </w:pPr>
      <w:r w:rsidRPr="00EB7AE1">
        <w:rPr>
          <w:lang w:val="en-GB"/>
        </w:rPr>
        <w:t>In all activities aimed at improving air quality, it is very important to raise environmental awareness and develop appropriate social attitudes, as it is the municipal and household sector that is the main source of emission of harmful compounds, the so-called low emission. Therefore, one of the directions of action, which is emphasised, is to form the right behaviours and attitudes of the public by educational campaigns, including campaigns on the optimal ways of combustion</w:t>
      </w:r>
      <w:r w:rsidRPr="00EB7AE1">
        <w:rPr>
          <w:sz w:val="28"/>
          <w:szCs w:val="28"/>
          <w:lang w:val="en-GB"/>
        </w:rPr>
        <w:t xml:space="preserve"> </w:t>
      </w:r>
      <w:r w:rsidRPr="00EB7AE1">
        <w:rPr>
          <w:lang w:val="en-GB"/>
        </w:rPr>
        <w:t xml:space="preserve">in boilers and the associated effects. Educational activities shall be continued under </w:t>
      </w:r>
      <w:r w:rsidR="003B0AEE" w:rsidRPr="00EB7AE1">
        <w:rPr>
          <w:lang w:val="en-GB"/>
        </w:rPr>
        <w:t>PEP</w:t>
      </w:r>
      <w:r w:rsidRPr="00EB7AE1">
        <w:rPr>
          <w:lang w:val="en-GB"/>
        </w:rPr>
        <w:t>2030.</w:t>
      </w:r>
    </w:p>
    <w:p w14:paraId="59909A1D" w14:textId="4B36EC6A" w:rsidR="00BB7332" w:rsidRPr="00EB7AE1" w:rsidRDefault="00BB7332" w:rsidP="00225C0C">
      <w:pPr>
        <w:tabs>
          <w:tab w:val="left" w:pos="2816"/>
        </w:tabs>
        <w:spacing w:after="240"/>
        <w:jc w:val="both"/>
        <w:rPr>
          <w:lang w:val="en-GB"/>
        </w:rPr>
      </w:pPr>
      <w:r w:rsidRPr="00EB7AE1">
        <w:rPr>
          <w:lang w:val="en-GB"/>
        </w:rPr>
        <w:t xml:space="preserve">The problem is also the poor energy efficiency standard of buildings. Its solution lies in the widespread use of deep thermal modernisation of buildings using the most effective technologies, as well as in the enforcement of the current regulations. Comprehensive activities aimed at improving air quality shall be carried out within the framework of the strategic </w:t>
      </w:r>
      <w:r w:rsidRPr="00EB7AE1">
        <w:rPr>
          <w:i/>
          <w:iCs/>
          <w:lang w:val="en-GB"/>
        </w:rPr>
        <w:t>Clean Air</w:t>
      </w:r>
      <w:r w:rsidR="00225C0C" w:rsidRPr="00EB7AE1">
        <w:rPr>
          <w:i/>
          <w:iCs/>
          <w:lang w:val="en-GB"/>
        </w:rPr>
        <w:t xml:space="preserve"> </w:t>
      </w:r>
      <w:r w:rsidR="00225C0C" w:rsidRPr="00EB7AE1">
        <w:rPr>
          <w:lang w:val="en-GB"/>
        </w:rPr>
        <w:t>programme</w:t>
      </w:r>
      <w:r w:rsidRPr="00EB7AE1">
        <w:rPr>
          <w:lang w:val="en-GB"/>
        </w:rPr>
        <w:t>.</w:t>
      </w:r>
    </w:p>
    <w:p w14:paraId="1B752E44" w14:textId="5A5581CB" w:rsidR="00BB7332" w:rsidRPr="00EB7AE1" w:rsidRDefault="00BB7332" w:rsidP="00225C0C">
      <w:pPr>
        <w:pStyle w:val="Akapitzlist"/>
        <w:tabs>
          <w:tab w:val="left" w:pos="2816"/>
        </w:tabs>
        <w:spacing w:after="240"/>
        <w:ind w:left="0"/>
        <w:rPr>
          <w:sz w:val="28"/>
          <w:szCs w:val="28"/>
          <w:lang w:val="en-GB"/>
        </w:rPr>
      </w:pPr>
    </w:p>
    <w:p w14:paraId="00C63C1E" w14:textId="357E728B" w:rsidR="0082778C" w:rsidRDefault="0082778C" w:rsidP="00362DBA">
      <w:pPr>
        <w:pStyle w:val="Akapitzlist"/>
        <w:spacing w:after="240"/>
        <w:ind w:left="0"/>
        <w:jc w:val="both"/>
        <w:rPr>
          <w:rFonts w:asciiTheme="minorHAnsi" w:hAnsiTheme="minorHAnsi" w:cstheme="minorHAnsi"/>
          <w:i/>
          <w:iCs/>
          <w:sz w:val="18"/>
          <w:szCs w:val="18"/>
          <w:lang w:val="en-GB"/>
        </w:rPr>
      </w:pPr>
      <w:r>
        <w:rPr>
          <w:noProof/>
          <w:lang w:eastAsia="pl-PL"/>
        </w:rPr>
        <w:drawing>
          <wp:inline distT="0" distB="0" distL="0" distR="0" wp14:anchorId="4EFD08E6" wp14:editId="73A794FB">
            <wp:extent cx="5760720" cy="3766185"/>
            <wp:effectExtent l="0" t="0" r="11430" b="5715"/>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2192CB" w14:textId="77777777" w:rsidR="00362DBA" w:rsidRPr="00EB7AE1" w:rsidRDefault="00362DBA" w:rsidP="00362DBA">
      <w:pPr>
        <w:pStyle w:val="Akapitzlist"/>
        <w:spacing w:after="240"/>
        <w:ind w:left="0"/>
        <w:jc w:val="both"/>
        <w:rPr>
          <w:rFonts w:asciiTheme="minorHAnsi" w:eastAsia="Times New Roman" w:hAnsiTheme="minorHAnsi" w:cstheme="minorHAnsi"/>
          <w:i/>
          <w:iCs/>
          <w:sz w:val="18"/>
          <w:szCs w:val="18"/>
          <w:lang w:val="en-GB"/>
        </w:rPr>
      </w:pPr>
    </w:p>
    <w:p w14:paraId="797CB779" w14:textId="5BAF4F2B" w:rsidR="00BB7332" w:rsidRPr="00EB7AE1" w:rsidRDefault="00BB7332" w:rsidP="00362DBA">
      <w:pPr>
        <w:pStyle w:val="Akapitzlist"/>
        <w:spacing w:after="240"/>
        <w:ind w:left="0"/>
        <w:jc w:val="both"/>
        <w:rPr>
          <w:rFonts w:asciiTheme="minorHAnsi" w:eastAsia="Times New Roman"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61E6E7D2" w14:textId="77777777" w:rsidR="000D75EA" w:rsidRPr="00EB7AE1" w:rsidRDefault="000D75EA" w:rsidP="000D75EA">
      <w:pPr>
        <w:jc w:val="both"/>
        <w:rPr>
          <w:b/>
          <w:i/>
          <w:sz w:val="26"/>
          <w:szCs w:val="26"/>
          <w:lang w:val="en-GB"/>
        </w:rPr>
      </w:pPr>
      <w:r w:rsidRPr="00EB7AE1">
        <w:rPr>
          <w:b/>
          <w:bCs/>
          <w:i/>
          <w:iCs/>
          <w:sz w:val="26"/>
          <w:szCs w:val="26"/>
          <w:lang w:val="en-GB"/>
        </w:rPr>
        <w:t>Forest cover</w:t>
      </w:r>
    </w:p>
    <w:p w14:paraId="72584BE3" w14:textId="77777777" w:rsidR="000D75EA" w:rsidRPr="00EB7AE1" w:rsidRDefault="000D75EA" w:rsidP="00362DBA">
      <w:pPr>
        <w:tabs>
          <w:tab w:val="left" w:pos="2816"/>
        </w:tabs>
        <w:spacing w:after="240"/>
        <w:jc w:val="both"/>
        <w:rPr>
          <w:lang w:val="en-GB"/>
        </w:rPr>
      </w:pPr>
      <w:r w:rsidRPr="00EB7AE1">
        <w:rPr>
          <w:lang w:val="en-GB"/>
        </w:rPr>
        <w:t xml:space="preserve">The share of forest area in the total area of the country was gradually increasing, reaching the level of 29.6% in 2017. The positive trend in the described period is to a large extent an effect of afforestation of private agricultural land unsuitable for agricultural production. Afforestation was carried out mainly under the Rural Development Programme and as a result of reclassification of land on which afforestation occurred as a result of natural succession. </w:t>
      </w:r>
    </w:p>
    <w:p w14:paraId="4064332F" w14:textId="2EB5B650" w:rsidR="000D75EA" w:rsidRPr="00EB7AE1" w:rsidRDefault="000D75EA" w:rsidP="00362DBA">
      <w:pPr>
        <w:pStyle w:val="Akapitzlist"/>
        <w:tabs>
          <w:tab w:val="left" w:pos="2816"/>
        </w:tabs>
        <w:spacing w:after="240"/>
        <w:ind w:left="0"/>
        <w:rPr>
          <w:sz w:val="28"/>
          <w:szCs w:val="28"/>
          <w:lang w:val="en-GB"/>
        </w:rPr>
      </w:pPr>
    </w:p>
    <w:p w14:paraId="37682829" w14:textId="32921092" w:rsidR="0082778C" w:rsidRDefault="0082778C" w:rsidP="00362DBA">
      <w:pPr>
        <w:spacing w:after="240"/>
        <w:jc w:val="both"/>
        <w:rPr>
          <w:rFonts w:asciiTheme="minorHAnsi" w:hAnsiTheme="minorHAnsi" w:cstheme="minorHAnsi"/>
          <w:i/>
          <w:iCs/>
          <w:sz w:val="18"/>
          <w:szCs w:val="18"/>
          <w:lang w:val="en-GB"/>
        </w:rPr>
      </w:pPr>
      <w:r>
        <w:rPr>
          <w:noProof/>
          <w:lang w:eastAsia="pl-PL"/>
        </w:rPr>
        <w:drawing>
          <wp:inline distT="0" distB="0" distL="0" distR="0" wp14:anchorId="28928051" wp14:editId="73E8B605">
            <wp:extent cx="5760720" cy="3761740"/>
            <wp:effectExtent l="0" t="0" r="11430" b="1016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67DF9E" w14:textId="3CDDA946" w:rsidR="001B5A1F" w:rsidRPr="00EB7AE1" w:rsidRDefault="001B5A1F" w:rsidP="00362DBA">
      <w:pPr>
        <w:spacing w:after="240"/>
        <w:jc w:val="both"/>
        <w:rPr>
          <w:rFonts w:asciiTheme="minorHAnsi" w:eastAsia="Times New Roman" w:hAnsiTheme="minorHAnsi" w:cstheme="minorHAnsi"/>
          <w:i/>
          <w:iCs/>
          <w:sz w:val="18"/>
          <w:szCs w:val="18"/>
          <w:lang w:val="en-GB"/>
        </w:rPr>
      </w:pPr>
    </w:p>
    <w:p w14:paraId="5F0C6551" w14:textId="5A475B45" w:rsidR="000D75EA" w:rsidRPr="00EB7AE1" w:rsidRDefault="000D75EA" w:rsidP="00362DBA">
      <w:pPr>
        <w:pStyle w:val="Akapitzlist"/>
        <w:spacing w:after="240"/>
        <w:ind w:left="0"/>
        <w:jc w:val="both"/>
        <w:rPr>
          <w:rFonts w:asciiTheme="minorHAnsi" w:hAnsiTheme="minorHAnsi" w:cstheme="minorHAnsi"/>
          <w:i/>
          <w:iCs/>
          <w:sz w:val="18"/>
          <w:szCs w:val="18"/>
          <w:lang w:val="en-GB"/>
        </w:rPr>
      </w:pPr>
      <w:r w:rsidRPr="00EB7AE1">
        <w:rPr>
          <w:rFonts w:asciiTheme="minorHAnsi" w:hAnsiTheme="minorHAnsi" w:cstheme="minorHAnsi"/>
          <w:i/>
          <w:iCs/>
          <w:sz w:val="18"/>
          <w:szCs w:val="18"/>
          <w:lang w:val="en-GB"/>
        </w:rPr>
        <w:t xml:space="preserve">Source: Own study </w:t>
      </w:r>
      <w:r w:rsidR="00037C09" w:rsidRPr="00EB7AE1">
        <w:rPr>
          <w:rFonts w:asciiTheme="minorHAnsi" w:hAnsiTheme="minorHAnsi" w:cstheme="minorHAnsi"/>
          <w:i/>
          <w:iCs/>
          <w:sz w:val="18"/>
          <w:szCs w:val="18"/>
          <w:lang w:val="en-GB"/>
        </w:rPr>
        <w:t>based on</w:t>
      </w:r>
      <w:r w:rsidRPr="00EB7AE1">
        <w:rPr>
          <w:rFonts w:asciiTheme="minorHAnsi" w:hAnsiTheme="minorHAnsi" w:cstheme="minorHAnsi"/>
          <w:i/>
          <w:iCs/>
          <w:sz w:val="18"/>
          <w:szCs w:val="18"/>
          <w:lang w:val="en-GB"/>
        </w:rPr>
        <w:t xml:space="preserve"> data in the STRATEG database.</w:t>
      </w:r>
    </w:p>
    <w:p w14:paraId="7997CD0F" w14:textId="7785B268" w:rsidR="000D75EA" w:rsidRPr="00EB7AE1" w:rsidRDefault="000D75EA" w:rsidP="00362DBA">
      <w:pPr>
        <w:tabs>
          <w:tab w:val="left" w:pos="2816"/>
        </w:tabs>
        <w:spacing w:after="240"/>
        <w:jc w:val="both"/>
        <w:rPr>
          <w:lang w:val="en-GB"/>
        </w:rPr>
      </w:pPr>
      <w:r w:rsidRPr="00EB7AE1">
        <w:rPr>
          <w:lang w:val="en-GB"/>
        </w:rPr>
        <w:t>Despite the positive trend, the achievement of the objective (30%) may be jeopardised due to the decreasing area of land available for afforestation. From the base year onwards, the area of land used for future forests decreased annually. In 2017, a total of 1.6 thousand ha was afforested, including 0.5 thousand ha belonging to the State Forests</w:t>
      </w:r>
      <w:r w:rsidRPr="00EB7AE1">
        <w:rPr>
          <w:rStyle w:val="Odwoanieprzypisudolnego"/>
          <w:lang w:val="en-GB"/>
        </w:rPr>
        <w:footnoteReference w:id="14"/>
      </w:r>
      <w:r w:rsidR="002B304D" w:rsidRPr="00EB7AE1">
        <w:rPr>
          <w:lang w:val="en-GB"/>
        </w:rPr>
        <w:t>.</w:t>
      </w:r>
    </w:p>
    <w:p w14:paraId="4FA2A339" w14:textId="77777777" w:rsidR="000D75EA" w:rsidRPr="00EB7AE1" w:rsidRDefault="000D75EA" w:rsidP="00362DBA">
      <w:pPr>
        <w:tabs>
          <w:tab w:val="left" w:pos="2816"/>
        </w:tabs>
        <w:spacing w:after="240"/>
        <w:rPr>
          <w:lang w:val="en-GB"/>
        </w:rPr>
      </w:pPr>
      <w:r w:rsidRPr="00EB7AE1">
        <w:rPr>
          <w:noProof/>
          <w:lang w:eastAsia="pl-PL"/>
        </w:rPr>
        <w:drawing>
          <wp:inline distT="0" distB="0" distL="0" distR="0" wp14:anchorId="4B566C40" wp14:editId="4D83C045">
            <wp:extent cx="6076950" cy="442666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7037" t="20879" r="11210" b="12076"/>
                    <a:stretch/>
                  </pic:blipFill>
                  <pic:spPr bwMode="auto">
                    <a:xfrm>
                      <a:off x="0" y="0"/>
                      <a:ext cx="6085784" cy="4433095"/>
                    </a:xfrm>
                    <a:prstGeom prst="rect">
                      <a:avLst/>
                    </a:prstGeom>
                    <a:ln>
                      <a:noFill/>
                    </a:ln>
                    <a:extLst>
                      <a:ext uri="{53640926-AAD7-44D8-BBD7-CCE9431645EC}">
                        <a14:shadowObscured xmlns:a14="http://schemas.microsoft.com/office/drawing/2010/main"/>
                      </a:ext>
                    </a:extLst>
                  </pic:spPr>
                </pic:pic>
              </a:graphicData>
            </a:graphic>
          </wp:inline>
        </w:drawing>
      </w:r>
    </w:p>
    <w:p w14:paraId="2D5C9567" w14:textId="5AC03595" w:rsidR="000D75EA" w:rsidRPr="00EB7AE1" w:rsidRDefault="000D75EA" w:rsidP="00362DBA">
      <w:pPr>
        <w:pStyle w:val="Akapitzlist"/>
        <w:tabs>
          <w:tab w:val="left" w:pos="2816"/>
        </w:tabs>
        <w:spacing w:after="240"/>
        <w:ind w:left="0"/>
        <w:jc w:val="both"/>
        <w:rPr>
          <w:i/>
          <w:iCs/>
          <w:sz w:val="18"/>
          <w:szCs w:val="18"/>
          <w:lang w:val="en-GB"/>
        </w:rPr>
      </w:pPr>
      <w:r w:rsidRPr="00EB7AE1">
        <w:rPr>
          <w:i/>
          <w:iCs/>
          <w:sz w:val="18"/>
          <w:szCs w:val="18"/>
          <w:lang w:val="en-GB"/>
        </w:rPr>
        <w:t xml:space="preserve">Source: "Environmental Protection 2018", </w:t>
      </w:r>
      <w:r w:rsidR="001A5072" w:rsidRPr="00EB7AE1">
        <w:rPr>
          <w:i/>
          <w:iCs/>
          <w:sz w:val="18"/>
          <w:szCs w:val="18"/>
          <w:lang w:val="en-GB"/>
        </w:rPr>
        <w:t>Statistics Poland(</w:t>
      </w:r>
      <w:r w:rsidRPr="00EB7AE1">
        <w:rPr>
          <w:i/>
          <w:iCs/>
          <w:sz w:val="18"/>
          <w:szCs w:val="18"/>
          <w:lang w:val="en-GB"/>
        </w:rPr>
        <w:t>GUS</w:t>
      </w:r>
      <w:r w:rsidR="001A5072" w:rsidRPr="00EB7AE1">
        <w:rPr>
          <w:i/>
          <w:iCs/>
          <w:sz w:val="18"/>
          <w:szCs w:val="18"/>
          <w:lang w:val="en-GB"/>
        </w:rPr>
        <w:t>)</w:t>
      </w:r>
      <w:r w:rsidRPr="00EB7AE1">
        <w:rPr>
          <w:i/>
          <w:iCs/>
          <w:sz w:val="18"/>
          <w:szCs w:val="18"/>
          <w:lang w:val="en-GB"/>
        </w:rPr>
        <w:t>, p. 135.</w:t>
      </w:r>
    </w:p>
    <w:p w14:paraId="53DC6623" w14:textId="5F1A3C3C" w:rsidR="000D75EA" w:rsidRPr="00EB7AE1" w:rsidRDefault="000D75EA" w:rsidP="00362DBA">
      <w:pPr>
        <w:tabs>
          <w:tab w:val="left" w:pos="2816"/>
        </w:tabs>
        <w:spacing w:after="240"/>
        <w:jc w:val="both"/>
        <w:rPr>
          <w:lang w:val="en-GB"/>
        </w:rPr>
      </w:pPr>
      <w:r w:rsidRPr="00EB7AE1">
        <w:rPr>
          <w:lang w:val="en-GB"/>
        </w:rPr>
        <w:t>The forest cover of the country is not evenly distributed. The values range from 21.5% in the Łód</w:t>
      </w:r>
      <w:r w:rsidR="00362DBA" w:rsidRPr="00EB7AE1">
        <w:rPr>
          <w:lang w:val="en-GB"/>
        </w:rPr>
        <w:t>zkie</w:t>
      </w:r>
      <w:r w:rsidRPr="00EB7AE1">
        <w:rPr>
          <w:lang w:val="en-GB"/>
        </w:rPr>
        <w:t xml:space="preserve"> Voivodship to 49.3% in the Lubus</w:t>
      </w:r>
      <w:r w:rsidR="00362DBA" w:rsidRPr="00EB7AE1">
        <w:rPr>
          <w:lang w:val="en-GB"/>
        </w:rPr>
        <w:t>kie</w:t>
      </w:r>
      <w:r w:rsidRPr="00EB7AE1">
        <w:rPr>
          <w:lang w:val="en-GB"/>
        </w:rPr>
        <w:t xml:space="preserve"> Voivodship.</w:t>
      </w:r>
    </w:p>
    <w:p w14:paraId="49471EC3" w14:textId="77777777" w:rsidR="000D75EA" w:rsidRPr="00EB7AE1" w:rsidRDefault="000D75EA" w:rsidP="00362DBA">
      <w:pPr>
        <w:pStyle w:val="Akapitzlist"/>
        <w:tabs>
          <w:tab w:val="left" w:pos="2816"/>
        </w:tabs>
        <w:spacing w:after="240"/>
        <w:ind w:left="0"/>
        <w:rPr>
          <w:sz w:val="28"/>
          <w:szCs w:val="28"/>
          <w:lang w:val="en-GB"/>
        </w:rPr>
      </w:pPr>
      <w:r w:rsidRPr="00EB7AE1">
        <w:rPr>
          <w:noProof/>
          <w:lang w:eastAsia="pl-PL"/>
        </w:rPr>
        <w:drawing>
          <wp:inline distT="0" distB="0" distL="0" distR="0" wp14:anchorId="5273FBEB" wp14:editId="469452F1">
            <wp:extent cx="3695700" cy="3298846"/>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a lesistosc 2017.jpe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699874" cy="3302572"/>
                    </a:xfrm>
                    <a:prstGeom prst="rect">
                      <a:avLst/>
                    </a:prstGeom>
                    <a:ln>
                      <a:noFill/>
                    </a:ln>
                    <a:extLst>
                      <a:ext uri="{53640926-AAD7-44D8-BBD7-CCE9431645EC}">
                        <a14:shadowObscured xmlns:a14="http://schemas.microsoft.com/office/drawing/2010/main"/>
                      </a:ext>
                    </a:extLst>
                  </pic:spPr>
                </pic:pic>
              </a:graphicData>
            </a:graphic>
          </wp:inline>
        </w:drawing>
      </w:r>
    </w:p>
    <w:p w14:paraId="4873F4B5" w14:textId="454B49B4" w:rsidR="000D75EA" w:rsidRPr="00EB7AE1" w:rsidRDefault="000D75EA" w:rsidP="003913F8">
      <w:pPr>
        <w:tabs>
          <w:tab w:val="left" w:pos="2816"/>
        </w:tabs>
        <w:spacing w:after="240"/>
        <w:jc w:val="both"/>
        <w:rPr>
          <w:b/>
          <w:sz w:val="18"/>
          <w:szCs w:val="18"/>
          <w:lang w:val="en-GB"/>
        </w:rPr>
      </w:pPr>
      <w:r w:rsidRPr="00EB7AE1">
        <w:rPr>
          <w:i/>
          <w:iCs/>
          <w:sz w:val="18"/>
          <w:szCs w:val="18"/>
          <w:lang w:val="en-GB"/>
        </w:rPr>
        <w:t xml:space="preserve">Forest cover per voivodship in </w:t>
      </w:r>
      <w:r w:rsidR="00037C09" w:rsidRPr="00EB7AE1">
        <w:rPr>
          <w:i/>
          <w:iCs/>
          <w:sz w:val="18"/>
          <w:szCs w:val="18"/>
          <w:lang w:val="en-GB"/>
        </w:rPr>
        <w:t>2017 Prepared</w:t>
      </w:r>
      <w:r w:rsidRPr="00EB7AE1">
        <w:rPr>
          <w:i/>
          <w:iCs/>
          <w:sz w:val="18"/>
          <w:szCs w:val="18"/>
          <w:lang w:val="en-GB"/>
        </w:rPr>
        <w:t xml:space="preserve"> using the data and tools of the STRATEG database.</w:t>
      </w:r>
    </w:p>
    <w:p w14:paraId="125B4C51" w14:textId="77777777" w:rsidR="00BB7332" w:rsidRPr="00EB7AE1" w:rsidRDefault="00BB7332" w:rsidP="003913F8">
      <w:pPr>
        <w:tabs>
          <w:tab w:val="left" w:pos="2816"/>
        </w:tabs>
        <w:spacing w:after="240"/>
        <w:rPr>
          <w:b/>
          <w:i/>
          <w:sz w:val="26"/>
          <w:szCs w:val="26"/>
          <w:lang w:val="en-GB"/>
        </w:rPr>
      </w:pPr>
      <w:r w:rsidRPr="00EB7AE1">
        <w:rPr>
          <w:b/>
          <w:bCs/>
          <w:i/>
          <w:iCs/>
          <w:sz w:val="26"/>
          <w:szCs w:val="26"/>
          <w:lang w:val="en-GB"/>
        </w:rPr>
        <w:t>Farmland Bird Index</w:t>
      </w:r>
    </w:p>
    <w:p w14:paraId="2BC60B6C" w14:textId="324BD56A" w:rsidR="00BB7332" w:rsidRPr="00EB7AE1" w:rsidRDefault="00BB7332" w:rsidP="00C61445">
      <w:pPr>
        <w:pStyle w:val="NormalnyWeb"/>
        <w:shd w:val="clear" w:color="auto" w:fill="FFFFFF"/>
        <w:spacing w:before="0" w:beforeAutospacing="0" w:after="240" w:afterAutospacing="0" w:line="276" w:lineRule="auto"/>
        <w:jc w:val="both"/>
        <w:rPr>
          <w:rFonts w:ascii="Calibri" w:hAnsi="Calibri"/>
          <w:color w:val="000000"/>
          <w:sz w:val="22"/>
          <w:szCs w:val="22"/>
          <w:lang w:val="en-GB"/>
        </w:rPr>
      </w:pPr>
      <w:r w:rsidRPr="00EB7AE1">
        <w:rPr>
          <w:rFonts w:ascii="Calibri" w:hAnsi="Calibri"/>
          <w:color w:val="000000"/>
          <w:sz w:val="22"/>
          <w:szCs w:val="22"/>
          <w:lang w:val="en-GB"/>
        </w:rPr>
        <w:t xml:space="preserve">The FBI is a population index of 22 bird species typical for agricultural landscape habitats. It is treated as an indicator of the state of "health" of ecosystems used for agricultural purposes, which constitute about 60% of the country's area. The Polish portfolio of species whose numerical indices make up the FBI currently includes: </w:t>
      </w:r>
      <w:r w:rsidRPr="00EB7AE1">
        <w:rPr>
          <w:rFonts w:ascii="Calibri" w:hAnsi="Calibri"/>
          <w:i/>
          <w:iCs/>
          <w:color w:val="000000"/>
          <w:sz w:val="22"/>
          <w:szCs w:val="22"/>
          <w:lang w:val="en-GB"/>
        </w:rPr>
        <w:t>Ciconia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Falco tinnunculus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Vanellus vanellus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Limosa limosa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Upupa epops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Streptopelia turtur</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Galerida cristata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Alauda arvensis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Hirundo rustica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Motacilla flava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Anthus pratensis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Saxicola rubetra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Saxicola rubicola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Sylvia communis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Lanius collurio</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Sturnus vulgaris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Passer montanus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Carduelis cannabina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Serinus serinus</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Emberiza citrinella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Emberiza hortulana</w:t>
      </w:r>
      <w:r w:rsidRPr="00EB7AE1">
        <w:rPr>
          <w:rFonts w:ascii="Calibri" w:hAnsi="Calibri"/>
          <w:color w:val="000000"/>
          <w:sz w:val="22"/>
          <w:szCs w:val="22"/>
          <w:lang w:val="en-GB"/>
        </w:rPr>
        <w:t xml:space="preserve">, </w:t>
      </w:r>
      <w:r w:rsidRPr="00EB7AE1">
        <w:rPr>
          <w:rFonts w:ascii="Calibri" w:hAnsi="Calibri"/>
          <w:i/>
          <w:iCs/>
          <w:color w:val="000000"/>
          <w:sz w:val="22"/>
          <w:szCs w:val="22"/>
          <w:lang w:val="en-GB"/>
        </w:rPr>
        <w:t>Miliaria calandra.</w:t>
      </w:r>
    </w:p>
    <w:p w14:paraId="0B45CED4" w14:textId="22471C26" w:rsidR="00700B11" w:rsidRPr="00EB7AE1" w:rsidRDefault="00700B11" w:rsidP="00C61445">
      <w:pPr>
        <w:pStyle w:val="NormalnyWeb"/>
        <w:shd w:val="clear" w:color="auto" w:fill="FFFFFF"/>
        <w:spacing w:before="0" w:beforeAutospacing="0" w:after="240" w:afterAutospacing="0" w:line="276" w:lineRule="auto"/>
        <w:jc w:val="both"/>
        <w:rPr>
          <w:rFonts w:ascii="Calibri" w:hAnsi="Calibri"/>
          <w:color w:val="000000"/>
          <w:sz w:val="22"/>
          <w:szCs w:val="22"/>
          <w:lang w:val="en-GB"/>
        </w:rPr>
      </w:pPr>
      <w:r w:rsidRPr="00EB7AE1">
        <w:rPr>
          <w:rFonts w:ascii="Calibri" w:hAnsi="Calibri"/>
          <w:color w:val="000000"/>
          <w:sz w:val="22"/>
          <w:szCs w:val="22"/>
          <w:lang w:val="en-GB"/>
        </w:rPr>
        <w:t xml:space="preserve">In 2017, the FBI value was 0.7998, the lowest level in the recorded history. The trend of changes in species abundance is downwards. The indicator decreased by 20% in relation to 2000. The highest level of the indicator was recorded in 2008 (0.99). The individual data show that the value of the indicator in relation to the base year increased the most for the </w:t>
      </w:r>
      <w:r w:rsidRPr="00EB7AE1">
        <w:rPr>
          <w:rFonts w:ascii="Calibri" w:hAnsi="Calibri"/>
          <w:i/>
          <w:iCs/>
          <w:color w:val="000000"/>
          <w:sz w:val="22"/>
          <w:szCs w:val="22"/>
          <w:lang w:val="en-GB"/>
        </w:rPr>
        <w:t xml:space="preserve">Saxicola rubicola </w:t>
      </w:r>
      <w:r w:rsidRPr="00EB7AE1">
        <w:rPr>
          <w:rFonts w:ascii="Calibri" w:hAnsi="Calibri"/>
          <w:color w:val="000000"/>
          <w:sz w:val="22"/>
          <w:szCs w:val="22"/>
          <w:lang w:val="en-GB"/>
        </w:rPr>
        <w:t>(by 66%</w:t>
      </w:r>
      <w:r w:rsidR="00037C09" w:rsidRPr="00EB7AE1">
        <w:rPr>
          <w:rFonts w:ascii="Calibri" w:hAnsi="Calibri"/>
          <w:color w:val="000000"/>
          <w:sz w:val="22"/>
          <w:szCs w:val="22"/>
          <w:lang w:val="en-GB"/>
        </w:rPr>
        <w:t>) and</w:t>
      </w:r>
      <w:r w:rsidRPr="00EB7AE1">
        <w:rPr>
          <w:rFonts w:ascii="Calibri" w:hAnsi="Calibri"/>
          <w:color w:val="000000"/>
          <w:sz w:val="22"/>
          <w:szCs w:val="22"/>
          <w:lang w:val="en-GB"/>
        </w:rPr>
        <w:t xml:space="preserve"> decreased the most for the </w:t>
      </w:r>
      <w:r w:rsidRPr="00EB7AE1">
        <w:rPr>
          <w:rFonts w:ascii="Calibri" w:hAnsi="Calibri"/>
          <w:i/>
          <w:iCs/>
          <w:color w:val="000000"/>
          <w:sz w:val="22"/>
          <w:szCs w:val="22"/>
          <w:lang w:val="en-GB"/>
        </w:rPr>
        <w:t xml:space="preserve">Vanellus </w:t>
      </w:r>
      <w:r w:rsidRPr="00EB7AE1">
        <w:rPr>
          <w:rFonts w:ascii="Calibri" w:hAnsi="Calibri"/>
          <w:color w:val="000000"/>
          <w:sz w:val="22"/>
          <w:szCs w:val="22"/>
          <w:lang w:val="en-GB"/>
        </w:rPr>
        <w:t>(by 76%). According to Eurostat data, the aggregate index for the European Union countries in 2014 amounted to 0.84 and was 16% lower compared to the base year</w:t>
      </w:r>
      <w:r w:rsidRPr="00EB7AE1">
        <w:rPr>
          <w:rStyle w:val="Odwoanieprzypisudolnego"/>
          <w:rFonts w:ascii="Calibri" w:hAnsi="Calibri"/>
          <w:color w:val="000000"/>
          <w:sz w:val="22"/>
          <w:szCs w:val="22"/>
          <w:lang w:val="en-GB"/>
        </w:rPr>
        <w:footnoteReference w:id="15"/>
      </w:r>
      <w:r w:rsidR="002B304D" w:rsidRPr="00EB7AE1">
        <w:rPr>
          <w:rFonts w:ascii="Calibri" w:hAnsi="Calibri"/>
          <w:color w:val="000000"/>
          <w:sz w:val="22"/>
          <w:szCs w:val="22"/>
          <w:lang w:val="en-GB"/>
        </w:rPr>
        <w:t>.</w:t>
      </w:r>
    </w:p>
    <w:p w14:paraId="23069019" w14:textId="77777777" w:rsidR="00D20EC8" w:rsidRPr="00EB7AE1" w:rsidRDefault="00D20EC8" w:rsidP="00C61445">
      <w:pPr>
        <w:shd w:val="clear" w:color="auto" w:fill="FFFFFF"/>
        <w:spacing w:after="240"/>
        <w:rPr>
          <w:rFonts w:ascii="titilliumtext22llight" w:hAnsi="titilliumtext22llight"/>
          <w:color w:val="000000"/>
          <w:sz w:val="21"/>
          <w:szCs w:val="21"/>
          <w:lang w:val="en-GB"/>
        </w:rPr>
      </w:pPr>
      <w:r w:rsidRPr="00EB7AE1">
        <w:rPr>
          <w:noProof/>
          <w:lang w:eastAsia="pl-PL"/>
        </w:rPr>
        <w:drawing>
          <wp:inline distT="0" distB="0" distL="0" distR="0" wp14:anchorId="2C55F8E7" wp14:editId="793A887C">
            <wp:extent cx="5705475" cy="367166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6706" t="34111" r="10880" b="5901"/>
                    <a:stretch/>
                  </pic:blipFill>
                  <pic:spPr bwMode="auto">
                    <a:xfrm>
                      <a:off x="0" y="0"/>
                      <a:ext cx="5718020" cy="3679735"/>
                    </a:xfrm>
                    <a:prstGeom prst="rect">
                      <a:avLst/>
                    </a:prstGeom>
                    <a:ln>
                      <a:noFill/>
                    </a:ln>
                    <a:extLst>
                      <a:ext uri="{53640926-AAD7-44D8-BBD7-CCE9431645EC}">
                        <a14:shadowObscured xmlns:a14="http://schemas.microsoft.com/office/drawing/2010/main"/>
                      </a:ext>
                    </a:extLst>
                  </pic:spPr>
                </pic:pic>
              </a:graphicData>
            </a:graphic>
          </wp:inline>
        </w:drawing>
      </w:r>
    </w:p>
    <w:p w14:paraId="4DD2D584" w14:textId="2933CCF3" w:rsidR="00D20EC8" w:rsidRPr="00EB7AE1" w:rsidRDefault="00D20EC8" w:rsidP="00C61445">
      <w:pPr>
        <w:tabs>
          <w:tab w:val="left" w:pos="2816"/>
        </w:tabs>
        <w:spacing w:after="240"/>
        <w:rPr>
          <w:i/>
          <w:sz w:val="18"/>
          <w:szCs w:val="18"/>
          <w:lang w:val="en-GB"/>
        </w:rPr>
      </w:pPr>
      <w:r w:rsidRPr="00EB7AE1">
        <w:rPr>
          <w:i/>
          <w:iCs/>
          <w:sz w:val="18"/>
          <w:szCs w:val="18"/>
          <w:lang w:val="en-GB"/>
        </w:rPr>
        <w:t xml:space="preserve">Source: "Environmental Protection 2018", </w:t>
      </w:r>
      <w:r w:rsidR="001A5072" w:rsidRPr="00EB7AE1">
        <w:rPr>
          <w:i/>
          <w:iCs/>
          <w:sz w:val="18"/>
          <w:szCs w:val="18"/>
          <w:lang w:val="en-GB"/>
        </w:rPr>
        <w:t>Statistics Poland (</w:t>
      </w:r>
      <w:r w:rsidRPr="00EB7AE1">
        <w:rPr>
          <w:i/>
          <w:iCs/>
          <w:sz w:val="18"/>
          <w:szCs w:val="18"/>
          <w:lang w:val="en-GB"/>
        </w:rPr>
        <w:t>GUS</w:t>
      </w:r>
      <w:r w:rsidR="001A5072" w:rsidRPr="00EB7AE1">
        <w:rPr>
          <w:i/>
          <w:iCs/>
          <w:sz w:val="18"/>
          <w:szCs w:val="18"/>
          <w:lang w:val="en-GB"/>
        </w:rPr>
        <w:t>)</w:t>
      </w:r>
      <w:r w:rsidRPr="00EB7AE1">
        <w:rPr>
          <w:i/>
          <w:iCs/>
          <w:sz w:val="18"/>
          <w:szCs w:val="18"/>
          <w:lang w:val="en-GB"/>
        </w:rPr>
        <w:t>, p. 123.</w:t>
      </w:r>
    </w:p>
    <w:p w14:paraId="67B0FA36" w14:textId="54A272D9" w:rsidR="00BB7332" w:rsidRPr="00EB7AE1" w:rsidRDefault="00BB7332" w:rsidP="00C61445">
      <w:pPr>
        <w:pStyle w:val="NormalnyWeb"/>
        <w:shd w:val="clear" w:color="auto" w:fill="FFFFFF"/>
        <w:spacing w:before="0" w:beforeAutospacing="0" w:after="240" w:afterAutospacing="0" w:line="276" w:lineRule="auto"/>
        <w:jc w:val="both"/>
        <w:rPr>
          <w:rFonts w:ascii="Calibri" w:hAnsi="Calibri"/>
          <w:color w:val="000000"/>
          <w:sz w:val="22"/>
          <w:szCs w:val="22"/>
          <w:lang w:val="en-GB"/>
        </w:rPr>
      </w:pPr>
      <w:r w:rsidRPr="00EB7AE1">
        <w:rPr>
          <w:rFonts w:ascii="Calibri" w:hAnsi="Calibri"/>
          <w:color w:val="000000"/>
          <w:sz w:val="22"/>
          <w:szCs w:val="22"/>
          <w:lang w:val="en-GB"/>
        </w:rPr>
        <w:t xml:space="preserve">The current CAP serves to protect many rare and endangered bird species. Within the framework of the agri-environment-climate measure of the Rural Development Programme for 2014-2020, support is provided for environmental practices conducive to the preservation of breeding habitats of endangered bird species in the Special Protection Area (SPA). The support is intended in particular for the following species: </w:t>
      </w:r>
      <w:r w:rsidRPr="00EB7AE1">
        <w:rPr>
          <w:rFonts w:ascii="Calibri" w:hAnsi="Calibri"/>
          <w:i/>
          <w:iCs/>
          <w:color w:val="000000"/>
          <w:sz w:val="22"/>
          <w:szCs w:val="22"/>
          <w:lang w:val="en-GB"/>
        </w:rPr>
        <w:t xml:space="preserve">Limosa, Gallinago gallinago, Tringa totanus, Vanellus, Acrocephalus paludicola, Gallinago media, Numenius arquata </w:t>
      </w:r>
      <w:r w:rsidRPr="00EB7AE1">
        <w:rPr>
          <w:rFonts w:ascii="Calibri" w:hAnsi="Calibri"/>
          <w:color w:val="000000"/>
          <w:sz w:val="22"/>
          <w:szCs w:val="22"/>
          <w:lang w:val="en-GB"/>
        </w:rPr>
        <w:t xml:space="preserve">and </w:t>
      </w:r>
      <w:r w:rsidRPr="00EB7AE1">
        <w:rPr>
          <w:rFonts w:ascii="Calibri" w:hAnsi="Calibri"/>
          <w:i/>
          <w:iCs/>
          <w:color w:val="000000"/>
          <w:sz w:val="22"/>
          <w:szCs w:val="22"/>
          <w:lang w:val="en-GB"/>
        </w:rPr>
        <w:t>Crex crex.</w:t>
      </w:r>
    </w:p>
    <w:p w14:paraId="27146505" w14:textId="74D075A1" w:rsidR="00BB7332" w:rsidRPr="00EB7AE1" w:rsidRDefault="00BB7332" w:rsidP="007C3386">
      <w:pPr>
        <w:pStyle w:val="NormalnyWeb"/>
        <w:shd w:val="clear" w:color="auto" w:fill="FFFFFF"/>
        <w:spacing w:before="0" w:beforeAutospacing="0" w:after="240" w:afterAutospacing="0" w:line="276" w:lineRule="auto"/>
        <w:jc w:val="both"/>
        <w:rPr>
          <w:rFonts w:ascii="Calibri" w:hAnsi="Calibri"/>
          <w:sz w:val="22"/>
          <w:szCs w:val="22"/>
          <w:lang w:val="en-GB"/>
        </w:rPr>
      </w:pPr>
      <w:r w:rsidRPr="00EB7AE1">
        <w:rPr>
          <w:rFonts w:ascii="Calibri" w:hAnsi="Calibri"/>
          <w:sz w:val="22"/>
          <w:szCs w:val="22"/>
          <w:lang w:val="en-GB"/>
        </w:rPr>
        <w:t>Packages of measures contributing to stopping the decline in the number of the indicator species of agricultural landscape are implemented in the Rural Development Programme 2007-2013 and 2014-2020, while in the perspective of 2014-2020, they have been assigned to agricultural areas located in special bird protection areas.</w:t>
      </w:r>
    </w:p>
    <w:p w14:paraId="5C3208E7" w14:textId="77777777" w:rsidR="00BB7332" w:rsidRPr="00EB7AE1" w:rsidRDefault="00BB7332" w:rsidP="007C3386">
      <w:pPr>
        <w:spacing w:after="240"/>
        <w:jc w:val="both"/>
        <w:rPr>
          <w:b/>
          <w:i/>
          <w:sz w:val="26"/>
          <w:szCs w:val="26"/>
          <w:lang w:val="en-GB"/>
        </w:rPr>
      </w:pPr>
      <w:r w:rsidRPr="00EB7AE1">
        <w:rPr>
          <w:b/>
          <w:bCs/>
          <w:i/>
          <w:iCs/>
          <w:sz w:val="26"/>
          <w:szCs w:val="26"/>
          <w:lang w:val="en-GB"/>
        </w:rPr>
        <w:t>Environmental technologies</w:t>
      </w:r>
    </w:p>
    <w:p w14:paraId="068C6588" w14:textId="01F40713" w:rsidR="00BB7332" w:rsidRPr="00EB7AE1" w:rsidRDefault="00030482" w:rsidP="007C3386">
      <w:pPr>
        <w:tabs>
          <w:tab w:val="left" w:pos="2816"/>
        </w:tabs>
        <w:spacing w:after="240"/>
        <w:jc w:val="both"/>
        <w:rPr>
          <w:lang w:val="en-GB"/>
        </w:rPr>
      </w:pPr>
      <w:r w:rsidRPr="00EB7AE1">
        <w:rPr>
          <w:lang w:val="en-GB"/>
        </w:rPr>
        <w:t>BEiŚ</w:t>
      </w:r>
      <w:r w:rsidR="00BB7332" w:rsidRPr="00EB7AE1">
        <w:rPr>
          <w:lang w:val="en-GB"/>
        </w:rPr>
        <w:t xml:space="preserve"> pointed to the need to reinforce research, implementation and promotion of environmental technologies as a necessary element to achieve an innovative low-carbon and </w:t>
      </w:r>
      <w:r w:rsidR="00037C09" w:rsidRPr="00EB7AE1">
        <w:rPr>
          <w:lang w:val="en-GB"/>
        </w:rPr>
        <w:t>environmentally friendly</w:t>
      </w:r>
      <w:r w:rsidR="00BB7332" w:rsidRPr="00EB7AE1">
        <w:rPr>
          <w:lang w:val="en-GB"/>
        </w:rPr>
        <w:t xml:space="preserve"> economy. Such activities as: promotion of Polish environmental technologies abroad as part of the GreenEvo project or implementation of the ETV system in Poland were intended to support it. They were to strengthen the transfer of ecological innovation research results to market practice, support the commercialisation of environmental technologies and create a market offer for these solutions on the domestic and foreign markets.</w:t>
      </w:r>
    </w:p>
    <w:p w14:paraId="531FBD31" w14:textId="7CDFC8F6" w:rsidR="00BB7332" w:rsidRPr="00EB7AE1" w:rsidRDefault="00BB7332" w:rsidP="007C3386">
      <w:pPr>
        <w:tabs>
          <w:tab w:val="left" w:pos="2816"/>
        </w:tabs>
        <w:spacing w:after="240"/>
        <w:jc w:val="both"/>
        <w:rPr>
          <w:lang w:val="en-GB"/>
        </w:rPr>
      </w:pPr>
      <w:r w:rsidRPr="00EB7AE1">
        <w:rPr>
          <w:lang w:val="en-GB"/>
        </w:rPr>
        <w:t>The Environmental Technology Verification (ETV)</w:t>
      </w:r>
      <w:r w:rsidR="007C3386" w:rsidRPr="00EB7AE1">
        <w:rPr>
          <w:lang w:val="en-GB"/>
        </w:rPr>
        <w:t xml:space="preserve"> system</w:t>
      </w:r>
      <w:r w:rsidRPr="00EB7AE1">
        <w:rPr>
          <w:lang w:val="en-GB"/>
        </w:rPr>
        <w:t xml:space="preserve">, based on the </w:t>
      </w:r>
      <w:r w:rsidR="007C3386" w:rsidRPr="00EB7AE1">
        <w:rPr>
          <w:i/>
          <w:iCs/>
          <w:lang w:val="en-GB"/>
        </w:rPr>
        <w:t xml:space="preserve">EU </w:t>
      </w:r>
      <w:r w:rsidRPr="00EB7AE1">
        <w:rPr>
          <w:i/>
          <w:iCs/>
          <w:lang w:val="en-GB"/>
        </w:rPr>
        <w:t xml:space="preserve">Environmental Technology Verification (ETV) </w:t>
      </w:r>
      <w:r w:rsidR="007C3386" w:rsidRPr="00EB7AE1">
        <w:rPr>
          <w:i/>
          <w:iCs/>
          <w:lang w:val="en-GB"/>
        </w:rPr>
        <w:t>pilot programme</w:t>
      </w:r>
      <w:r w:rsidRPr="00EB7AE1">
        <w:rPr>
          <w:rStyle w:val="Odwoanieprzypisudolnego"/>
          <w:lang w:val="en-GB"/>
        </w:rPr>
        <w:footnoteReference w:id="16"/>
      </w:r>
      <w:r w:rsidRPr="00EB7AE1">
        <w:rPr>
          <w:lang w:val="en-GB"/>
        </w:rPr>
        <w:t xml:space="preserve">, verifies the effect of the given technology declared by the manufacturer. The verification is performed by ETV Verification Units (VUs) accredited by the Polish Centre for Accreditation (PCA). Since August 2016, four such units have been operating in Poland. They are prepared to verify environmental technologies in all pilot EU areas. Each Verification Unit has been accredited by the type A inspection body, i.e. with the highest degree of impartiality and reliability of the performed testing. In this way, ETV realistically supports the commercialisation and promotion of innovative environmental technologies, and the Certificate of Verification obtained by businesses facilitates, and often allows them to access foreign markets. </w:t>
      </w:r>
    </w:p>
    <w:p w14:paraId="03A9CFC7" w14:textId="29E32F30" w:rsidR="00BB7332" w:rsidRPr="00EB7AE1" w:rsidRDefault="00030482" w:rsidP="004B5462">
      <w:pPr>
        <w:tabs>
          <w:tab w:val="left" w:pos="2816"/>
        </w:tabs>
        <w:spacing w:after="240"/>
        <w:jc w:val="both"/>
        <w:rPr>
          <w:lang w:val="en-GB"/>
        </w:rPr>
      </w:pPr>
      <w:r w:rsidRPr="00EB7AE1">
        <w:rPr>
          <w:lang w:val="en-GB"/>
        </w:rPr>
        <w:t>BEiŚ</w:t>
      </w:r>
      <w:r w:rsidR="00BB7332" w:rsidRPr="00EB7AE1">
        <w:rPr>
          <w:lang w:val="en-GB"/>
        </w:rPr>
        <w:t xml:space="preserve"> assumes that by 2020, 20 Polish technologies will have been verified under ETV. However, it is unlikely that the indicator estimated in </w:t>
      </w:r>
      <w:r w:rsidRPr="00EB7AE1">
        <w:rPr>
          <w:lang w:val="en-GB"/>
        </w:rPr>
        <w:t>BEiŚ</w:t>
      </w:r>
      <w:r w:rsidR="00BB7332" w:rsidRPr="00EB7AE1">
        <w:rPr>
          <w:lang w:val="en-GB"/>
        </w:rPr>
        <w:t xml:space="preserve"> is achieved. By the end of 2018, two Polish technologies had been verified, with a total of 29 verifications in the EU. The main reasons are high verification costs and poor recognition of ETV verification certificates on the market. This is a result of insufficient knowledge of businesses and administration, entities financing research and implementation of ecological innovations and investment projects, as well as scientific and industrial consortia, implementing R&amp;D&amp;I projects, regarding ETV and the possibility of using this tool to increase the probability of implementing the technology and increasing its commercialisation potential, building a competitive position of the company on the market. ETV can also be used to make innovation more credible, to confirm the environmental effect of the technology, in green public procurement tenders – as a confirmation that the offered technology meets the expectations of the contracting authority. Another factor limiting the number of verified technologies is the slower than expected pace of verification. The length of the verification process depends on the type and complexity of the technology and operating parameters to be verified. Some technologies may require tests confirming the efficiency throughout the entire year (e.g. sewage treatment technologies), hence the verification process before issuing the ETV verification certificate may take from a few months to over a year. Furthermore, the verification process is also slowed down by the degree and possibility of process involvement by the business and the availability of resources at its disposal.</w:t>
      </w:r>
    </w:p>
    <w:p w14:paraId="2494CA01" w14:textId="240FE08A" w:rsidR="00BB7332" w:rsidRPr="00EB7AE1" w:rsidRDefault="00BB7332" w:rsidP="004B5462">
      <w:pPr>
        <w:tabs>
          <w:tab w:val="left" w:pos="2816"/>
        </w:tabs>
        <w:spacing w:after="240"/>
        <w:jc w:val="both"/>
        <w:rPr>
          <w:lang w:val="en-GB"/>
        </w:rPr>
      </w:pPr>
      <w:r w:rsidRPr="00EB7AE1">
        <w:rPr>
          <w:lang w:val="en-GB"/>
        </w:rPr>
        <w:t>The main barrier to joining the programme turned out to be high costs of testing conducted by qualified units, including accredited laboratories. The answer to this problem is the subsidy</w:t>
      </w:r>
      <w:r w:rsidRPr="00EB7AE1">
        <w:rPr>
          <w:sz w:val="28"/>
          <w:szCs w:val="28"/>
          <w:lang w:val="en-GB"/>
        </w:rPr>
        <w:t xml:space="preserve"> </w:t>
      </w:r>
      <w:r w:rsidRPr="00EB7AE1">
        <w:rPr>
          <w:lang w:val="en-GB"/>
        </w:rPr>
        <w:t>programme of the National Fund for Environmental Protection and Water Management</w:t>
      </w:r>
      <w:r w:rsidRPr="00EB7AE1">
        <w:rPr>
          <w:rStyle w:val="Odwoanieprzypisudolnego"/>
          <w:lang w:val="en-GB"/>
        </w:rPr>
        <w:footnoteReference w:id="17"/>
      </w:r>
      <w:r w:rsidRPr="00EB7AE1">
        <w:rPr>
          <w:lang w:val="en-GB"/>
        </w:rPr>
        <w:t xml:space="preserve">, launched in 2017. The subsidy for businesses is a real incentive to verify as many Polish ecologically innovative technologies as possible. However, the proposed level of co-financing was perceived as too low in comparison with the assumed costs of testing. The decision to increase the maximum amount of co-financing was made in 2018. Insufficient level of co-financing combined with poor recognition of ETV on the market caused limited interest of Polish companies in the verifications. </w:t>
      </w:r>
      <w:r w:rsidR="008F59E1" w:rsidRPr="00EB7AE1">
        <w:rPr>
          <w:lang w:val="en-GB"/>
        </w:rPr>
        <w:t>Since</w:t>
      </w:r>
      <w:r w:rsidRPr="00EB7AE1">
        <w:rPr>
          <w:lang w:val="en-GB"/>
        </w:rPr>
        <w:t xml:space="preserve"> the ETV support programme in Poland has been operating only recently, the effects of the programme remain to be seen in the following years. The increase in the number of verified technologies in the future should be influenced by increased financing of the National Fund for Environmental Protection and Water Management and more effective dissemination of information on the ETV system in order to increase the recognition of ETV verification certificates on the market among the suppliers and purchasers of technologies, especially from the public finance and public administration sectors.</w:t>
      </w:r>
    </w:p>
    <w:p w14:paraId="7B16517D" w14:textId="2B9514FB" w:rsidR="00BB7332" w:rsidRPr="00EB7AE1" w:rsidRDefault="00BB7332" w:rsidP="004B5462">
      <w:pPr>
        <w:tabs>
          <w:tab w:val="left" w:pos="2816"/>
        </w:tabs>
        <w:spacing w:after="240"/>
        <w:jc w:val="both"/>
        <w:rPr>
          <w:lang w:val="en-GB"/>
        </w:rPr>
      </w:pPr>
      <w:r w:rsidRPr="00EB7AE1">
        <w:rPr>
          <w:lang w:val="en-GB"/>
        </w:rPr>
        <w:t xml:space="preserve">The expansion of the technological areas with the implementation of the full ETV programme at EU level may also have a significant impact on the number of verifications. This expansion covers technological areas closely related to the implementation of strategic projects in Poland, requiring innovative technical and technological solutions, including e.g. improvement of air quality management system, improvement of resource efficiency, protection of the land surface or new technologies related to natural resources. </w:t>
      </w:r>
    </w:p>
    <w:p w14:paraId="22413367" w14:textId="0B961E58" w:rsidR="00BB7332" w:rsidRPr="00EB7AE1" w:rsidRDefault="00BB7332" w:rsidP="004B5462">
      <w:pPr>
        <w:tabs>
          <w:tab w:val="left" w:pos="2816"/>
        </w:tabs>
        <w:spacing w:after="240"/>
        <w:jc w:val="both"/>
        <w:rPr>
          <w:lang w:val="en-GB"/>
        </w:rPr>
      </w:pPr>
      <w:r w:rsidRPr="00EB7AE1">
        <w:rPr>
          <w:lang w:val="en-GB"/>
        </w:rPr>
        <w:t>The increased interest in ETV will also be influenced by the wider possibilities of using ETV verification certificates due to the fact that the verification units run their processes in accordance with the global standard adopted also in Poland</w:t>
      </w:r>
      <w:r w:rsidRPr="00EB7AE1">
        <w:rPr>
          <w:rStyle w:val="Odwoanieprzypisudolnego"/>
          <w:lang w:val="en-GB"/>
        </w:rPr>
        <w:footnoteReference w:id="18"/>
      </w:r>
      <w:r w:rsidR="002B304D" w:rsidRPr="00EB7AE1">
        <w:rPr>
          <w:lang w:val="en-GB"/>
        </w:rPr>
        <w:t>.</w:t>
      </w:r>
      <w:r w:rsidRPr="00EB7AE1">
        <w:rPr>
          <w:lang w:val="en-GB"/>
        </w:rPr>
        <w:t xml:space="preserve"> This will increase the recognition of verification certificates issued for Polish technologies on international markets, e.g. in North America and Asia. Increasing the number of verified technologies should also result in using ETV as a system element to increase the probability of implementation and commercialisation potential of new environmental technologies in R&amp;D&amp;I projects.</w:t>
      </w:r>
    </w:p>
    <w:p w14:paraId="3A5DCE29" w14:textId="77777777" w:rsidR="00B4304D" w:rsidRPr="00EB7AE1" w:rsidRDefault="00B4304D" w:rsidP="00BB7332">
      <w:pPr>
        <w:rPr>
          <w:lang w:val="en-GB"/>
        </w:rPr>
      </w:pPr>
    </w:p>
    <w:sectPr w:rsidR="00B4304D" w:rsidRPr="00EB7AE1" w:rsidSect="00193660">
      <w:headerReference w:type="default" r:id="rId21"/>
      <w:footerReference w:type="default" r:id="rId22"/>
      <w:pgSz w:w="11906" w:h="16838" w:code="9"/>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ADD5" w14:textId="77777777" w:rsidR="009E3D28" w:rsidRDefault="009E3D28" w:rsidP="00BB7332">
      <w:pPr>
        <w:spacing w:after="0" w:line="240" w:lineRule="auto"/>
      </w:pPr>
      <w:r>
        <w:separator/>
      </w:r>
    </w:p>
  </w:endnote>
  <w:endnote w:type="continuationSeparator" w:id="0">
    <w:p w14:paraId="041F133A" w14:textId="77777777" w:rsidR="009E3D28" w:rsidRDefault="009E3D28" w:rsidP="00BB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tilliumtext22l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2253"/>
      <w:docPartObj>
        <w:docPartGallery w:val="Page Numbers (Bottom of Page)"/>
        <w:docPartUnique/>
      </w:docPartObj>
    </w:sdtPr>
    <w:sdtEndPr>
      <w:rPr>
        <w:rFonts w:ascii="Times New Roman" w:hAnsi="Times New Roman"/>
        <w:sz w:val="24"/>
      </w:rPr>
    </w:sdtEndPr>
    <w:sdtContent>
      <w:p w14:paraId="5012F9E9" w14:textId="56268B91" w:rsidR="00451604" w:rsidRPr="00EA4B9E" w:rsidRDefault="00451604" w:rsidP="00EA4B9E">
        <w:pPr>
          <w:pStyle w:val="Stopka"/>
          <w:jc w:val="center"/>
          <w:rPr>
            <w:rFonts w:ascii="Times New Roman" w:hAnsi="Times New Roman"/>
            <w:sz w:val="24"/>
          </w:rPr>
        </w:pPr>
        <w:r>
          <w:rPr>
            <w:rFonts w:ascii="Times New Roman" w:hAnsi="Times New Roman"/>
            <w:sz w:val="24"/>
            <w:lang w:val="en"/>
          </w:rPr>
          <w:fldChar w:fldCharType="begin"/>
        </w:r>
        <w:r>
          <w:rPr>
            <w:rFonts w:ascii="Times New Roman" w:hAnsi="Times New Roman"/>
            <w:sz w:val="24"/>
            <w:lang w:val="en"/>
          </w:rPr>
          <w:instrText>PAGE   \* MERGEFORMAT</w:instrText>
        </w:r>
        <w:r>
          <w:rPr>
            <w:rFonts w:ascii="Times New Roman" w:hAnsi="Times New Roman"/>
            <w:sz w:val="24"/>
            <w:lang w:val="en"/>
          </w:rPr>
          <w:fldChar w:fldCharType="separate"/>
        </w:r>
        <w:r w:rsidR="005D3250">
          <w:rPr>
            <w:rFonts w:ascii="Times New Roman" w:hAnsi="Times New Roman"/>
            <w:noProof/>
            <w:sz w:val="24"/>
            <w:lang w:val="en"/>
          </w:rPr>
          <w:t>17</w:t>
        </w:r>
        <w:r>
          <w:rPr>
            <w:rFonts w:ascii="Times New Roman" w:hAnsi="Times New Roman"/>
            <w:sz w:val="24"/>
            <w:lang w:val="e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21B20" w14:textId="77777777" w:rsidR="009E3D28" w:rsidRDefault="009E3D28" w:rsidP="00BB7332">
      <w:pPr>
        <w:spacing w:after="0" w:line="240" w:lineRule="auto"/>
      </w:pPr>
      <w:r>
        <w:separator/>
      </w:r>
    </w:p>
  </w:footnote>
  <w:footnote w:type="continuationSeparator" w:id="0">
    <w:p w14:paraId="551BA9CB" w14:textId="77777777" w:rsidR="009E3D28" w:rsidRDefault="009E3D28" w:rsidP="00BB7332">
      <w:pPr>
        <w:spacing w:after="0" w:line="240" w:lineRule="auto"/>
      </w:pPr>
      <w:r>
        <w:continuationSeparator/>
      </w:r>
    </w:p>
  </w:footnote>
  <w:footnote w:id="1">
    <w:p w14:paraId="3202AF21" w14:textId="1BC1F572" w:rsidR="00BB7332" w:rsidRPr="00E10EDC" w:rsidRDefault="00BB7332" w:rsidP="00755797">
      <w:pPr>
        <w:pStyle w:val="Tekstprzypisudolnego"/>
        <w:jc w:val="both"/>
        <w:rPr>
          <w:sz w:val="18"/>
          <w:szCs w:val="18"/>
          <w:lang w:val="en-US"/>
        </w:rPr>
      </w:pPr>
      <w:r w:rsidRPr="00E10EDC">
        <w:rPr>
          <w:rStyle w:val="Odwoanieprzypisudolnego"/>
          <w:sz w:val="18"/>
          <w:szCs w:val="18"/>
          <w:lang w:val="en"/>
        </w:rPr>
        <w:footnoteRef/>
      </w:r>
      <w:r w:rsidRPr="00E10EDC">
        <w:rPr>
          <w:sz w:val="18"/>
          <w:szCs w:val="18"/>
          <w:lang w:val="en"/>
        </w:rPr>
        <w:t xml:space="preserve"> Resolution no. 58 of the Council of Ministers of 15 April 2014 on the adoption of the </w:t>
      </w:r>
      <w:r w:rsidR="00814B40">
        <w:rPr>
          <w:sz w:val="18"/>
          <w:szCs w:val="18"/>
          <w:lang w:val="en"/>
        </w:rPr>
        <w:t>S</w:t>
      </w:r>
      <w:r w:rsidR="00030482">
        <w:rPr>
          <w:sz w:val="18"/>
          <w:szCs w:val="18"/>
          <w:lang w:val="en"/>
        </w:rPr>
        <w:t xml:space="preserve">trategy </w:t>
      </w:r>
      <w:r w:rsidR="00D91802" w:rsidRPr="00D91802">
        <w:rPr>
          <w:sz w:val="18"/>
          <w:szCs w:val="18"/>
          <w:lang w:val="en"/>
        </w:rPr>
        <w:t>"</w:t>
      </w:r>
      <w:r w:rsidR="00030482" w:rsidRPr="00030482">
        <w:rPr>
          <w:sz w:val="18"/>
          <w:szCs w:val="18"/>
          <w:lang w:val="en"/>
        </w:rPr>
        <w:t xml:space="preserve">Energy Security and Environment </w:t>
      </w:r>
      <w:r w:rsidR="00956D23">
        <w:rPr>
          <w:sz w:val="18"/>
          <w:szCs w:val="18"/>
          <w:lang w:val="en"/>
        </w:rPr>
        <w:t>–</w:t>
      </w:r>
      <w:r w:rsidR="00030482" w:rsidRPr="00030482">
        <w:rPr>
          <w:sz w:val="18"/>
          <w:szCs w:val="18"/>
          <w:lang w:val="en"/>
        </w:rPr>
        <w:t xml:space="preserve"> perspective to 2020</w:t>
      </w:r>
      <w:r w:rsidRPr="00E10EDC">
        <w:rPr>
          <w:sz w:val="18"/>
          <w:szCs w:val="18"/>
          <w:lang w:val="en"/>
        </w:rPr>
        <w:t>" (M.P. item 469).</w:t>
      </w:r>
    </w:p>
  </w:footnote>
  <w:footnote w:id="2">
    <w:p w14:paraId="2C05498D" w14:textId="3ACC88A6" w:rsidR="00BB7332" w:rsidRPr="006749DE" w:rsidRDefault="00BB7332" w:rsidP="00755797">
      <w:pPr>
        <w:pStyle w:val="Tekstprzypisudolnego"/>
        <w:jc w:val="both"/>
        <w:rPr>
          <w:sz w:val="18"/>
          <w:szCs w:val="18"/>
          <w:lang w:val="en-US"/>
        </w:rPr>
      </w:pPr>
      <w:r w:rsidRPr="00E10EDC">
        <w:rPr>
          <w:rStyle w:val="Odwoanieprzypisudolnego"/>
          <w:sz w:val="18"/>
          <w:szCs w:val="18"/>
          <w:lang w:val="en"/>
        </w:rPr>
        <w:footnoteRef/>
      </w:r>
      <w:r w:rsidRPr="00E10EDC">
        <w:rPr>
          <w:sz w:val="18"/>
          <w:szCs w:val="18"/>
          <w:lang w:val="en"/>
        </w:rPr>
        <w:t xml:space="preserve"> Act of 6 December 2006 on the principles of development policy (</w:t>
      </w:r>
      <w:r w:rsidR="00E10EDC" w:rsidRPr="00E10EDC">
        <w:rPr>
          <w:sz w:val="18"/>
          <w:szCs w:val="18"/>
          <w:lang w:val="en"/>
        </w:rPr>
        <w:t>OJ</w:t>
      </w:r>
      <w:r w:rsidRPr="00E10EDC">
        <w:rPr>
          <w:sz w:val="18"/>
          <w:szCs w:val="18"/>
          <w:lang w:val="en"/>
        </w:rPr>
        <w:t xml:space="preserve"> </w:t>
      </w:r>
      <w:r w:rsidR="008D797A">
        <w:rPr>
          <w:sz w:val="18"/>
          <w:szCs w:val="18"/>
          <w:lang w:val="en"/>
        </w:rPr>
        <w:t xml:space="preserve">L </w:t>
      </w:r>
      <w:r w:rsidRPr="00E10EDC">
        <w:rPr>
          <w:sz w:val="18"/>
          <w:szCs w:val="18"/>
          <w:lang w:val="en"/>
        </w:rPr>
        <w:t>of 2018, item 1307, as amended).</w:t>
      </w:r>
    </w:p>
  </w:footnote>
  <w:footnote w:id="3">
    <w:p w14:paraId="23CA37FC" w14:textId="33E05CEF" w:rsidR="009011E7" w:rsidRPr="006749DE" w:rsidRDefault="009011E7"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Act of 20 July 2017 – Water Law (</w:t>
      </w:r>
      <w:r w:rsidR="00D91802">
        <w:rPr>
          <w:sz w:val="18"/>
          <w:szCs w:val="18"/>
          <w:lang w:val="en"/>
        </w:rPr>
        <w:t>OJ</w:t>
      </w:r>
      <w:r>
        <w:rPr>
          <w:sz w:val="18"/>
          <w:szCs w:val="18"/>
          <w:lang w:val="en"/>
        </w:rPr>
        <w:t xml:space="preserve"> </w:t>
      </w:r>
      <w:r w:rsidR="008D797A">
        <w:rPr>
          <w:sz w:val="18"/>
          <w:szCs w:val="18"/>
          <w:lang w:val="en"/>
        </w:rPr>
        <w:t xml:space="preserve">L </w:t>
      </w:r>
      <w:r>
        <w:rPr>
          <w:sz w:val="18"/>
          <w:szCs w:val="18"/>
          <w:lang w:val="en"/>
        </w:rPr>
        <w:t xml:space="preserve">of 2018, item 2268, as amended) </w:t>
      </w:r>
    </w:p>
  </w:footnote>
  <w:footnote w:id="4">
    <w:p w14:paraId="668F36BF" w14:textId="38A4217C" w:rsidR="000B65FE" w:rsidRPr="006749DE" w:rsidRDefault="000B65FE"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w:t>
      </w:r>
      <w:r>
        <w:rPr>
          <w:i/>
          <w:iCs/>
          <w:sz w:val="18"/>
          <w:szCs w:val="18"/>
          <w:lang w:val="en"/>
        </w:rPr>
        <w:t>Water and sewage management in Poland in 2017</w:t>
      </w:r>
      <w:r>
        <w:rPr>
          <w:sz w:val="18"/>
          <w:szCs w:val="18"/>
          <w:lang w:val="en"/>
        </w:rPr>
        <w:t xml:space="preserve">. </w:t>
      </w:r>
      <w:r w:rsidR="001A5072">
        <w:rPr>
          <w:sz w:val="18"/>
          <w:szCs w:val="18"/>
          <w:lang w:val="en"/>
        </w:rPr>
        <w:t>Statistics Poland (</w:t>
      </w:r>
      <w:r>
        <w:rPr>
          <w:sz w:val="18"/>
          <w:szCs w:val="18"/>
          <w:lang w:val="en"/>
        </w:rPr>
        <w:t>GUS</w:t>
      </w:r>
      <w:r w:rsidR="001A5072">
        <w:rPr>
          <w:sz w:val="18"/>
          <w:szCs w:val="18"/>
          <w:lang w:val="en"/>
        </w:rPr>
        <w:t>)</w:t>
      </w:r>
      <w:r>
        <w:rPr>
          <w:sz w:val="18"/>
          <w:szCs w:val="18"/>
          <w:lang w:val="en"/>
        </w:rPr>
        <w:t>.</w:t>
      </w:r>
    </w:p>
  </w:footnote>
  <w:footnote w:id="5">
    <w:p w14:paraId="21FD5FA5" w14:textId="2B817286" w:rsidR="0025038D" w:rsidRPr="006749DE" w:rsidRDefault="0025038D"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w:t>
      </w:r>
      <w:r>
        <w:rPr>
          <w:i/>
          <w:iCs/>
          <w:sz w:val="18"/>
          <w:szCs w:val="18"/>
          <w:lang w:val="en"/>
        </w:rPr>
        <w:t>Environmental Protection 2018</w:t>
      </w:r>
      <w:r>
        <w:rPr>
          <w:sz w:val="18"/>
          <w:szCs w:val="18"/>
          <w:lang w:val="en"/>
        </w:rPr>
        <w:t xml:space="preserve">, </w:t>
      </w:r>
      <w:r w:rsidR="001A5072">
        <w:rPr>
          <w:sz w:val="18"/>
          <w:szCs w:val="18"/>
          <w:lang w:val="en"/>
        </w:rPr>
        <w:t>Statistics Poland (</w:t>
      </w:r>
      <w:r>
        <w:rPr>
          <w:sz w:val="18"/>
          <w:szCs w:val="18"/>
          <w:lang w:val="en"/>
        </w:rPr>
        <w:t>GUS</w:t>
      </w:r>
      <w:r w:rsidR="001A5072">
        <w:rPr>
          <w:sz w:val="18"/>
          <w:szCs w:val="18"/>
          <w:lang w:val="en"/>
        </w:rPr>
        <w:t>)</w:t>
      </w:r>
      <w:r>
        <w:rPr>
          <w:sz w:val="18"/>
          <w:szCs w:val="18"/>
          <w:lang w:val="en"/>
        </w:rPr>
        <w:t>, p. 66.</w:t>
      </w:r>
    </w:p>
  </w:footnote>
  <w:footnote w:id="6">
    <w:p w14:paraId="6B1D0C60" w14:textId="371EB533"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w:t>
      </w:r>
      <w:r w:rsidR="004D143F">
        <w:rPr>
          <w:sz w:val="18"/>
          <w:szCs w:val="18"/>
          <w:lang w:val="en"/>
        </w:rPr>
        <w:t>OJ</w:t>
      </w:r>
      <w:r>
        <w:rPr>
          <w:sz w:val="18"/>
          <w:szCs w:val="18"/>
          <w:lang w:val="en"/>
        </w:rPr>
        <w:t xml:space="preserve"> </w:t>
      </w:r>
      <w:r w:rsidR="008D797A">
        <w:rPr>
          <w:sz w:val="18"/>
          <w:szCs w:val="18"/>
          <w:lang w:val="en"/>
        </w:rPr>
        <w:t xml:space="preserve">L </w:t>
      </w:r>
      <w:r>
        <w:rPr>
          <w:sz w:val="18"/>
          <w:szCs w:val="18"/>
          <w:lang w:val="en"/>
        </w:rPr>
        <w:t>of 2018 item 1339.</w:t>
      </w:r>
    </w:p>
  </w:footnote>
  <w:footnote w:id="7">
    <w:p w14:paraId="7307FD4C" w14:textId="7DBD8598" w:rsidR="00755797" w:rsidRPr="006749DE" w:rsidRDefault="00755797"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Act of 25 January 2013 amending the Act on maintaining cleanliness and order in municipalities (</w:t>
      </w:r>
      <w:r w:rsidR="008356F3">
        <w:rPr>
          <w:sz w:val="18"/>
          <w:szCs w:val="18"/>
          <w:lang w:val="en"/>
        </w:rPr>
        <w:t>OJ</w:t>
      </w:r>
      <w:r w:rsidR="008D797A">
        <w:rPr>
          <w:sz w:val="18"/>
          <w:szCs w:val="18"/>
          <w:lang w:val="en"/>
        </w:rPr>
        <w:t xml:space="preserve"> L</w:t>
      </w:r>
      <w:r w:rsidR="008356F3">
        <w:rPr>
          <w:sz w:val="18"/>
          <w:szCs w:val="18"/>
          <w:lang w:val="en"/>
        </w:rPr>
        <w:t>,</w:t>
      </w:r>
      <w:r>
        <w:rPr>
          <w:sz w:val="18"/>
          <w:szCs w:val="18"/>
          <w:lang w:val="en"/>
        </w:rPr>
        <w:t xml:space="preserve"> item 228).</w:t>
      </w:r>
    </w:p>
  </w:footnote>
  <w:footnote w:id="8">
    <w:p w14:paraId="5470BC27" w14:textId="78A1FA77"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Regulation of the Minister of the Environment of 29 December 2016 on the detailed method of separate collection of selected waste groups (</w:t>
      </w:r>
      <w:r w:rsidR="008356F3">
        <w:rPr>
          <w:sz w:val="18"/>
          <w:szCs w:val="18"/>
          <w:lang w:val="en"/>
        </w:rPr>
        <w:t>OJ</w:t>
      </w:r>
      <w:r>
        <w:rPr>
          <w:sz w:val="18"/>
          <w:szCs w:val="18"/>
          <w:lang w:val="en"/>
        </w:rPr>
        <w:t xml:space="preserve"> </w:t>
      </w:r>
      <w:r w:rsidR="008D797A">
        <w:rPr>
          <w:sz w:val="18"/>
          <w:szCs w:val="18"/>
          <w:lang w:val="en"/>
        </w:rPr>
        <w:t xml:space="preserve">L </w:t>
      </w:r>
      <w:r>
        <w:rPr>
          <w:sz w:val="18"/>
          <w:szCs w:val="18"/>
          <w:lang w:val="en"/>
        </w:rPr>
        <w:t>of 2017, item 19, as amended).</w:t>
      </w:r>
    </w:p>
  </w:footnote>
  <w:footnote w:id="9">
    <w:p w14:paraId="03EF18FC" w14:textId="27DB2B04"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Regulation of the Council of Ministers of 6 March 2017 amending the Regulation on environmental charges (</w:t>
      </w:r>
      <w:r w:rsidR="008356F3">
        <w:rPr>
          <w:sz w:val="18"/>
          <w:szCs w:val="18"/>
          <w:lang w:val="en"/>
        </w:rPr>
        <w:t>OJ</w:t>
      </w:r>
      <w:r w:rsidR="008D797A">
        <w:rPr>
          <w:sz w:val="18"/>
          <w:szCs w:val="18"/>
          <w:lang w:val="en"/>
        </w:rPr>
        <w:t xml:space="preserve"> L</w:t>
      </w:r>
      <w:r w:rsidR="008356F3">
        <w:rPr>
          <w:sz w:val="18"/>
          <w:szCs w:val="18"/>
          <w:lang w:val="en"/>
        </w:rPr>
        <w:t xml:space="preserve">, </w:t>
      </w:r>
      <w:r>
        <w:rPr>
          <w:sz w:val="18"/>
          <w:szCs w:val="18"/>
          <w:lang w:val="en"/>
        </w:rPr>
        <w:t>item 723).</w:t>
      </w:r>
    </w:p>
  </w:footnote>
  <w:footnote w:id="10">
    <w:p w14:paraId="069E35D8" w14:textId="5B99FFE6"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The obligation was introduced by the provisions of the Act of 12 October 2017 amending the Act on packaging and packaging waste management and several other acts (</w:t>
      </w:r>
      <w:r w:rsidR="008356F3">
        <w:rPr>
          <w:sz w:val="18"/>
          <w:szCs w:val="18"/>
          <w:lang w:val="en"/>
        </w:rPr>
        <w:t>OJ</w:t>
      </w:r>
      <w:r w:rsidR="008D797A">
        <w:rPr>
          <w:sz w:val="18"/>
          <w:szCs w:val="18"/>
          <w:lang w:val="en"/>
        </w:rPr>
        <w:t xml:space="preserve"> L</w:t>
      </w:r>
      <w:r w:rsidR="008356F3">
        <w:rPr>
          <w:sz w:val="18"/>
          <w:szCs w:val="18"/>
          <w:lang w:val="en"/>
        </w:rPr>
        <w:t>,</w:t>
      </w:r>
      <w:r>
        <w:rPr>
          <w:sz w:val="18"/>
          <w:szCs w:val="18"/>
          <w:lang w:val="en"/>
        </w:rPr>
        <w:t xml:space="preserve"> item 2056, as amended).</w:t>
      </w:r>
    </w:p>
  </w:footnote>
  <w:footnote w:id="11">
    <w:p w14:paraId="7E845F14" w14:textId="75FCADA4"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w:t>
      </w:r>
      <w:r>
        <w:rPr>
          <w:i/>
          <w:iCs/>
          <w:sz w:val="18"/>
          <w:szCs w:val="18"/>
          <w:lang w:val="en"/>
        </w:rPr>
        <w:t>Change in the municipal waste management system in Poland in the years 2012-2016</w:t>
      </w:r>
      <w:r>
        <w:rPr>
          <w:sz w:val="18"/>
          <w:szCs w:val="18"/>
          <w:lang w:val="en"/>
        </w:rPr>
        <w:t xml:space="preserve">, </w:t>
      </w:r>
      <w:r w:rsidR="00411096">
        <w:rPr>
          <w:sz w:val="18"/>
          <w:szCs w:val="18"/>
          <w:lang w:val="en"/>
        </w:rPr>
        <w:t>Statistics Poland (</w:t>
      </w:r>
      <w:r>
        <w:rPr>
          <w:sz w:val="18"/>
          <w:szCs w:val="18"/>
          <w:lang w:val="en"/>
        </w:rPr>
        <w:t>GUS</w:t>
      </w:r>
      <w:r w:rsidR="00411096">
        <w:rPr>
          <w:sz w:val="18"/>
          <w:szCs w:val="18"/>
          <w:lang w:val="en"/>
        </w:rPr>
        <w:t>)</w:t>
      </w:r>
      <w:r>
        <w:rPr>
          <w:sz w:val="18"/>
          <w:szCs w:val="18"/>
          <w:lang w:val="en"/>
        </w:rPr>
        <w:t>, 29.09.2017.</w:t>
      </w:r>
    </w:p>
  </w:footnote>
  <w:footnote w:id="12">
    <w:p w14:paraId="37408AA3" w14:textId="63C2E738"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Regulation of the Minister of Economy of 8 January 2013 on the criteria and procedures for allowing waste to be stored at landfills for a given type of waste (</w:t>
      </w:r>
      <w:r w:rsidR="00411096">
        <w:rPr>
          <w:sz w:val="18"/>
          <w:szCs w:val="18"/>
          <w:lang w:val="en"/>
        </w:rPr>
        <w:t>OJ</w:t>
      </w:r>
      <w:r w:rsidR="008D797A">
        <w:rPr>
          <w:sz w:val="18"/>
          <w:szCs w:val="18"/>
          <w:lang w:val="en"/>
        </w:rPr>
        <w:t xml:space="preserve"> L</w:t>
      </w:r>
      <w:r w:rsidR="00411096">
        <w:rPr>
          <w:sz w:val="18"/>
          <w:szCs w:val="18"/>
          <w:lang w:val="en"/>
        </w:rPr>
        <w:t xml:space="preserve">, </w:t>
      </w:r>
      <w:r>
        <w:rPr>
          <w:sz w:val="18"/>
          <w:szCs w:val="18"/>
          <w:lang w:val="en"/>
        </w:rPr>
        <w:t>item 38).</w:t>
      </w:r>
    </w:p>
  </w:footnote>
  <w:footnote w:id="13">
    <w:p w14:paraId="4213592B" w14:textId="0315CB1F"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Act </w:t>
      </w:r>
      <w:r w:rsidR="00225C0C">
        <w:rPr>
          <w:sz w:val="18"/>
          <w:szCs w:val="18"/>
          <w:lang w:val="en"/>
        </w:rPr>
        <w:t xml:space="preserve">of 10 September 2015 </w:t>
      </w:r>
      <w:r>
        <w:rPr>
          <w:sz w:val="18"/>
          <w:szCs w:val="18"/>
          <w:lang w:val="en"/>
        </w:rPr>
        <w:t>on amending the Environmental Protection Law</w:t>
      </w:r>
      <w:r w:rsidR="00225C0C">
        <w:rPr>
          <w:sz w:val="18"/>
          <w:szCs w:val="18"/>
          <w:lang w:val="en"/>
        </w:rPr>
        <w:t xml:space="preserve"> </w:t>
      </w:r>
      <w:r>
        <w:rPr>
          <w:sz w:val="18"/>
          <w:szCs w:val="18"/>
          <w:lang w:val="en"/>
        </w:rPr>
        <w:t>(</w:t>
      </w:r>
      <w:r w:rsidR="00225C0C">
        <w:rPr>
          <w:sz w:val="18"/>
          <w:szCs w:val="18"/>
          <w:lang w:val="en"/>
        </w:rPr>
        <w:t>OJ</w:t>
      </w:r>
      <w:r w:rsidR="008D797A">
        <w:rPr>
          <w:sz w:val="18"/>
          <w:szCs w:val="18"/>
          <w:lang w:val="en"/>
        </w:rPr>
        <w:t xml:space="preserve"> L</w:t>
      </w:r>
      <w:r w:rsidR="00225C0C">
        <w:rPr>
          <w:sz w:val="18"/>
          <w:szCs w:val="18"/>
          <w:lang w:val="en"/>
        </w:rPr>
        <w:t>,</w:t>
      </w:r>
      <w:r>
        <w:rPr>
          <w:sz w:val="18"/>
          <w:szCs w:val="18"/>
          <w:lang w:val="en"/>
        </w:rPr>
        <w:t xml:space="preserve"> item 1593).</w:t>
      </w:r>
    </w:p>
  </w:footnote>
  <w:footnote w:id="14">
    <w:p w14:paraId="433EC8F5" w14:textId="6DA54291" w:rsidR="000D75EA" w:rsidRPr="006749DE" w:rsidRDefault="000D75EA" w:rsidP="00CC2867">
      <w:pPr>
        <w:pStyle w:val="Tekstprzypisudolnego"/>
        <w:jc w:val="both"/>
        <w:rPr>
          <w:sz w:val="18"/>
          <w:szCs w:val="18"/>
          <w:lang w:val="en-US"/>
        </w:rPr>
      </w:pPr>
      <w:r>
        <w:rPr>
          <w:rStyle w:val="Odwoanieprzypisudolnego"/>
          <w:sz w:val="18"/>
          <w:szCs w:val="18"/>
          <w:lang w:val="en"/>
        </w:rPr>
        <w:footnoteRef/>
      </w:r>
      <w:r>
        <w:rPr>
          <w:sz w:val="18"/>
          <w:szCs w:val="18"/>
          <w:lang w:val="en"/>
        </w:rPr>
        <w:t xml:space="preserve"> </w:t>
      </w:r>
      <w:r>
        <w:rPr>
          <w:i/>
          <w:iCs/>
          <w:sz w:val="18"/>
          <w:szCs w:val="18"/>
          <w:lang w:val="en"/>
        </w:rPr>
        <w:t>Statistical Yearbook of Forestry</w:t>
      </w:r>
      <w:r>
        <w:rPr>
          <w:sz w:val="18"/>
          <w:szCs w:val="18"/>
          <w:lang w:val="en"/>
        </w:rPr>
        <w:t xml:space="preserve">, </w:t>
      </w:r>
      <w:r w:rsidR="001A5072">
        <w:rPr>
          <w:sz w:val="18"/>
          <w:szCs w:val="18"/>
          <w:lang w:val="en"/>
        </w:rPr>
        <w:t>Statistics Poland (</w:t>
      </w:r>
      <w:r>
        <w:rPr>
          <w:sz w:val="18"/>
          <w:szCs w:val="18"/>
          <w:lang w:val="en"/>
        </w:rPr>
        <w:t>GUS</w:t>
      </w:r>
      <w:r w:rsidR="001A5072">
        <w:rPr>
          <w:sz w:val="18"/>
          <w:szCs w:val="18"/>
          <w:lang w:val="en"/>
        </w:rPr>
        <w:t>)</w:t>
      </w:r>
      <w:r>
        <w:rPr>
          <w:sz w:val="18"/>
          <w:szCs w:val="18"/>
          <w:lang w:val="en"/>
        </w:rPr>
        <w:t>, Wars</w:t>
      </w:r>
      <w:r w:rsidR="001A5072">
        <w:rPr>
          <w:sz w:val="18"/>
          <w:szCs w:val="18"/>
          <w:lang w:val="en"/>
        </w:rPr>
        <w:t>z</w:t>
      </w:r>
      <w:r>
        <w:rPr>
          <w:sz w:val="18"/>
          <w:szCs w:val="18"/>
          <w:lang w:val="en"/>
        </w:rPr>
        <w:t>aw</w:t>
      </w:r>
      <w:r w:rsidR="001A5072">
        <w:rPr>
          <w:sz w:val="18"/>
          <w:szCs w:val="18"/>
          <w:lang w:val="en"/>
        </w:rPr>
        <w:t>a</w:t>
      </w:r>
      <w:r>
        <w:rPr>
          <w:sz w:val="18"/>
          <w:szCs w:val="18"/>
          <w:lang w:val="en"/>
        </w:rPr>
        <w:t>, 2018, p. 81.</w:t>
      </w:r>
    </w:p>
  </w:footnote>
  <w:footnote w:id="15">
    <w:p w14:paraId="0D6B79A1" w14:textId="27BFBF0A" w:rsidR="00700B11" w:rsidRPr="00030482" w:rsidRDefault="00700B11" w:rsidP="00755797">
      <w:pPr>
        <w:pStyle w:val="Tekstprzypisudolnego"/>
        <w:jc w:val="both"/>
        <w:rPr>
          <w:sz w:val="18"/>
          <w:szCs w:val="18"/>
          <w:lang w:val="fr-FR"/>
        </w:rPr>
      </w:pPr>
      <w:r>
        <w:rPr>
          <w:rStyle w:val="Odwoanieprzypisudolnego"/>
          <w:sz w:val="18"/>
          <w:szCs w:val="18"/>
          <w:lang w:val="en"/>
        </w:rPr>
        <w:footnoteRef/>
      </w:r>
      <w:r w:rsidRPr="00030482">
        <w:rPr>
          <w:sz w:val="18"/>
          <w:szCs w:val="18"/>
          <w:lang w:val="fr-FR"/>
        </w:rPr>
        <w:t xml:space="preserve"> </w:t>
      </w:r>
      <w:r w:rsidRPr="00030482">
        <w:rPr>
          <w:i/>
          <w:iCs/>
          <w:sz w:val="18"/>
          <w:szCs w:val="18"/>
          <w:lang w:val="fr-FR"/>
        </w:rPr>
        <w:t>Environmental Protection 2018</w:t>
      </w:r>
      <w:r w:rsidRPr="00030482">
        <w:rPr>
          <w:sz w:val="18"/>
          <w:szCs w:val="18"/>
          <w:lang w:val="fr-FR"/>
        </w:rPr>
        <w:t xml:space="preserve">, </w:t>
      </w:r>
      <w:r w:rsidR="001A5072" w:rsidRPr="00030482">
        <w:rPr>
          <w:sz w:val="18"/>
          <w:szCs w:val="18"/>
          <w:lang w:val="fr-FR"/>
        </w:rPr>
        <w:t>Statistics Poland (</w:t>
      </w:r>
      <w:r w:rsidRPr="00030482">
        <w:rPr>
          <w:sz w:val="18"/>
          <w:szCs w:val="18"/>
          <w:lang w:val="fr-FR"/>
        </w:rPr>
        <w:t>GUS</w:t>
      </w:r>
      <w:r w:rsidR="001A5072" w:rsidRPr="00030482">
        <w:rPr>
          <w:sz w:val="18"/>
          <w:szCs w:val="18"/>
          <w:lang w:val="fr-FR"/>
        </w:rPr>
        <w:t>)</w:t>
      </w:r>
      <w:r w:rsidRPr="00030482">
        <w:rPr>
          <w:sz w:val="18"/>
          <w:szCs w:val="18"/>
          <w:lang w:val="fr-FR"/>
        </w:rPr>
        <w:t>, p. 123.</w:t>
      </w:r>
    </w:p>
  </w:footnote>
  <w:footnote w:id="16">
    <w:p w14:paraId="7B50AB2C" w14:textId="5360E042" w:rsidR="00BB7332" w:rsidRPr="00E13FEF" w:rsidRDefault="00BB7332" w:rsidP="00755797">
      <w:pPr>
        <w:pStyle w:val="Tekstprzypisudolnego"/>
        <w:jc w:val="both"/>
        <w:rPr>
          <w:i/>
          <w:iCs/>
          <w:sz w:val="18"/>
          <w:szCs w:val="18"/>
          <w:lang w:val="fr-FR"/>
        </w:rPr>
      </w:pPr>
      <w:r w:rsidRPr="007C3386">
        <w:rPr>
          <w:rStyle w:val="Odwoanieprzypisudolnego"/>
          <w:i/>
          <w:iCs/>
          <w:sz w:val="18"/>
          <w:szCs w:val="18"/>
          <w:lang w:val="en"/>
        </w:rPr>
        <w:footnoteRef/>
      </w:r>
      <w:r w:rsidRPr="00E13FEF">
        <w:rPr>
          <w:i/>
          <w:iCs/>
          <w:sz w:val="18"/>
          <w:szCs w:val="18"/>
          <w:lang w:val="fr-FR"/>
        </w:rPr>
        <w:t xml:space="preserve"> </w:t>
      </w:r>
      <w:r w:rsidR="00E13FEF" w:rsidRPr="00E13FEF">
        <w:rPr>
          <w:i/>
          <w:iCs/>
          <w:sz w:val="18"/>
          <w:szCs w:val="18"/>
          <w:lang w:val="fr-FR"/>
        </w:rPr>
        <w:t xml:space="preserve">EU Environmental Technology Verification (ETV) pilot programme </w:t>
      </w:r>
      <w:hyperlink r:id="rId1" w:history="1">
        <w:r w:rsidRPr="00E13FEF">
          <w:rPr>
            <w:rStyle w:val="Hipercze"/>
            <w:i/>
            <w:iCs/>
            <w:sz w:val="18"/>
            <w:szCs w:val="18"/>
            <w:lang w:val="fr-FR"/>
          </w:rPr>
          <w:t>https://ec.europa.eu/environment/ecoap/etv/</w:t>
        </w:r>
      </w:hyperlink>
      <w:r w:rsidRPr="00E13FEF">
        <w:rPr>
          <w:i/>
          <w:iCs/>
          <w:sz w:val="18"/>
          <w:szCs w:val="18"/>
          <w:lang w:val="fr-FR"/>
        </w:rPr>
        <w:t>)</w:t>
      </w:r>
    </w:p>
  </w:footnote>
  <w:footnote w:id="17">
    <w:p w14:paraId="60C3AE0B" w14:textId="77777777" w:rsidR="00BB7332" w:rsidRPr="006749DE" w:rsidRDefault="00BB7332" w:rsidP="00755797">
      <w:pPr>
        <w:pStyle w:val="Tekstprzypisudolnego"/>
        <w:jc w:val="both"/>
        <w:rPr>
          <w:sz w:val="18"/>
          <w:szCs w:val="18"/>
          <w:lang w:val="en-US"/>
        </w:rPr>
      </w:pPr>
      <w:r>
        <w:rPr>
          <w:rStyle w:val="Odwoanieprzypisudolnego"/>
          <w:sz w:val="18"/>
          <w:szCs w:val="18"/>
          <w:lang w:val="en"/>
        </w:rPr>
        <w:footnoteRef/>
      </w:r>
      <w:r>
        <w:rPr>
          <w:sz w:val="18"/>
          <w:szCs w:val="18"/>
          <w:lang w:val="en"/>
        </w:rPr>
        <w:t xml:space="preserve"> Priority Programme </w:t>
      </w:r>
      <w:r>
        <w:rPr>
          <w:i/>
          <w:iCs/>
          <w:sz w:val="18"/>
          <w:szCs w:val="18"/>
          <w:lang w:val="en"/>
        </w:rPr>
        <w:t>Support for innovation towards a resource-efficient and low-carbon economy. Part 2) Popularisation of technologies verified within the ETV Environmental Technology Verification System</w:t>
      </w:r>
      <w:r>
        <w:rPr>
          <w:sz w:val="18"/>
          <w:szCs w:val="18"/>
          <w:lang w:val="en"/>
        </w:rPr>
        <w:t>.</w:t>
      </w:r>
    </w:p>
  </w:footnote>
  <w:footnote w:id="18">
    <w:p w14:paraId="4DF8CDF6" w14:textId="77777777" w:rsidR="00BB7332" w:rsidRDefault="00BB7332" w:rsidP="00755797">
      <w:pPr>
        <w:pStyle w:val="Tekstprzypisudolnego"/>
        <w:jc w:val="both"/>
      </w:pPr>
      <w:r>
        <w:rPr>
          <w:rStyle w:val="Odwoanieprzypisudolnego"/>
          <w:sz w:val="18"/>
          <w:szCs w:val="18"/>
          <w:lang w:val="en"/>
        </w:rPr>
        <w:footnoteRef/>
      </w:r>
      <w:r>
        <w:rPr>
          <w:sz w:val="18"/>
          <w:szCs w:val="18"/>
          <w:lang w:val="en"/>
        </w:rPr>
        <w:t xml:space="preserve"> PN-ISO 14034:2016.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17E1" w14:textId="07AD9B72" w:rsidR="009D5407" w:rsidRDefault="009D5407">
    <w:pPr>
      <w:pStyle w:val="Nagwek"/>
    </w:pPr>
    <w:r>
      <w:rPr>
        <w:noProof/>
        <w:lang w:eastAsia="pl-PL"/>
      </w:rPr>
      <w:drawing>
        <wp:inline distT="0" distB="0" distL="0" distR="0" wp14:anchorId="2A311D23" wp14:editId="39378E73">
          <wp:extent cx="1678305" cy="628015"/>
          <wp:effectExtent l="0" t="0" r="0" b="635"/>
          <wp:docPr id="7" name="Obraz 7" descr="Logo Polityka ekologiczna panstwa 2030"/>
          <wp:cNvGraphicFramePr/>
          <a:graphic xmlns:a="http://schemas.openxmlformats.org/drawingml/2006/main">
            <a:graphicData uri="http://schemas.openxmlformats.org/drawingml/2006/picture">
              <pic:pic xmlns:pic="http://schemas.openxmlformats.org/drawingml/2006/picture">
                <pic:nvPicPr>
                  <pic:cNvPr id="1" name="Obraz 1" descr="Logo Polityka ekologiczna panstwa 2030"/>
                  <pic:cNvPicPr/>
                </pic:nvPicPr>
                <pic:blipFill>
                  <a:blip r:embed="rId1">
                    <a:extLst>
                      <a:ext uri="{28A0092B-C50C-407E-A947-70E740481C1C}">
                        <a14:useLocalDpi xmlns:a14="http://schemas.microsoft.com/office/drawing/2010/main" val="0"/>
                      </a:ext>
                    </a:extLst>
                  </a:blip>
                  <a:srcRect l="18681" t="27411" r="18956" b="29442"/>
                  <a:stretch>
                    <a:fillRect/>
                  </a:stretch>
                </pic:blipFill>
                <pic:spPr bwMode="auto">
                  <a:xfrm>
                    <a:off x="0" y="0"/>
                    <a:ext cx="1678305" cy="628015"/>
                  </a:xfrm>
                  <a:prstGeom prst="rect">
                    <a:avLst/>
                  </a:prstGeom>
                  <a:noFill/>
                  <a:ln>
                    <a:noFill/>
                  </a:ln>
                </pic:spPr>
              </pic:pic>
            </a:graphicData>
          </a:graphic>
        </wp:inline>
      </w:drawing>
    </w:r>
  </w:p>
  <w:p w14:paraId="2360973D" w14:textId="77777777" w:rsidR="009D5407" w:rsidRDefault="009D54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7A59"/>
    <w:multiLevelType w:val="hybridMultilevel"/>
    <w:tmpl w:val="971C9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37148"/>
    <w:multiLevelType w:val="multilevel"/>
    <w:tmpl w:val="F88CC0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2AE4BDC"/>
    <w:multiLevelType w:val="hybridMultilevel"/>
    <w:tmpl w:val="17B29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2"/>
    <w:rsid w:val="00030482"/>
    <w:rsid w:val="00037C09"/>
    <w:rsid w:val="0005686D"/>
    <w:rsid w:val="00080936"/>
    <w:rsid w:val="000B65FE"/>
    <w:rsid w:val="000D58DF"/>
    <w:rsid w:val="000D75EA"/>
    <w:rsid w:val="001915D3"/>
    <w:rsid w:val="00193660"/>
    <w:rsid w:val="001A0237"/>
    <w:rsid w:val="001A5072"/>
    <w:rsid w:val="001B5A1F"/>
    <w:rsid w:val="001B7CB1"/>
    <w:rsid w:val="001F0410"/>
    <w:rsid w:val="001F7540"/>
    <w:rsid w:val="002154B8"/>
    <w:rsid w:val="00225C0C"/>
    <w:rsid w:val="002361E9"/>
    <w:rsid w:val="00241AE7"/>
    <w:rsid w:val="0025038D"/>
    <w:rsid w:val="00261E6D"/>
    <w:rsid w:val="00266EFA"/>
    <w:rsid w:val="002804A0"/>
    <w:rsid w:val="002B304D"/>
    <w:rsid w:val="002B6159"/>
    <w:rsid w:val="002D516B"/>
    <w:rsid w:val="002E43C1"/>
    <w:rsid w:val="00307529"/>
    <w:rsid w:val="00344FC3"/>
    <w:rsid w:val="00362DBA"/>
    <w:rsid w:val="003703C4"/>
    <w:rsid w:val="00370D0E"/>
    <w:rsid w:val="003913F8"/>
    <w:rsid w:val="00394E10"/>
    <w:rsid w:val="003B0AEE"/>
    <w:rsid w:val="003C0506"/>
    <w:rsid w:val="00411096"/>
    <w:rsid w:val="00451604"/>
    <w:rsid w:val="00454413"/>
    <w:rsid w:val="004B5462"/>
    <w:rsid w:val="004B7338"/>
    <w:rsid w:val="004D143F"/>
    <w:rsid w:val="004D2CD7"/>
    <w:rsid w:val="004F37BD"/>
    <w:rsid w:val="005755BA"/>
    <w:rsid w:val="00581C7F"/>
    <w:rsid w:val="00592464"/>
    <w:rsid w:val="005D3250"/>
    <w:rsid w:val="00633F43"/>
    <w:rsid w:val="0066703F"/>
    <w:rsid w:val="006749DE"/>
    <w:rsid w:val="00675125"/>
    <w:rsid w:val="006A1F11"/>
    <w:rsid w:val="006D59FD"/>
    <w:rsid w:val="006D618E"/>
    <w:rsid w:val="006E218A"/>
    <w:rsid w:val="00700B11"/>
    <w:rsid w:val="00747C24"/>
    <w:rsid w:val="00755797"/>
    <w:rsid w:val="007559A5"/>
    <w:rsid w:val="00755AEA"/>
    <w:rsid w:val="00791AD4"/>
    <w:rsid w:val="00796220"/>
    <w:rsid w:val="007A6E5F"/>
    <w:rsid w:val="007C0AE0"/>
    <w:rsid w:val="007C3386"/>
    <w:rsid w:val="00814B40"/>
    <w:rsid w:val="0082778C"/>
    <w:rsid w:val="008356F3"/>
    <w:rsid w:val="00836A3F"/>
    <w:rsid w:val="008563BC"/>
    <w:rsid w:val="00857078"/>
    <w:rsid w:val="0087660B"/>
    <w:rsid w:val="00894535"/>
    <w:rsid w:val="008D797A"/>
    <w:rsid w:val="008F59E1"/>
    <w:rsid w:val="009011E7"/>
    <w:rsid w:val="00956D23"/>
    <w:rsid w:val="009624B8"/>
    <w:rsid w:val="009A6FE5"/>
    <w:rsid w:val="009D5407"/>
    <w:rsid w:val="009E3D28"/>
    <w:rsid w:val="009F2326"/>
    <w:rsid w:val="00A45E93"/>
    <w:rsid w:val="00A61297"/>
    <w:rsid w:val="00A7761E"/>
    <w:rsid w:val="00AB1F65"/>
    <w:rsid w:val="00AF3DA4"/>
    <w:rsid w:val="00AF733C"/>
    <w:rsid w:val="00B25ED3"/>
    <w:rsid w:val="00B359A9"/>
    <w:rsid w:val="00B4304D"/>
    <w:rsid w:val="00BB2CCA"/>
    <w:rsid w:val="00BB7332"/>
    <w:rsid w:val="00BD7C96"/>
    <w:rsid w:val="00C027C3"/>
    <w:rsid w:val="00C10367"/>
    <w:rsid w:val="00C15FE3"/>
    <w:rsid w:val="00C33FFA"/>
    <w:rsid w:val="00C60880"/>
    <w:rsid w:val="00C61445"/>
    <w:rsid w:val="00C63343"/>
    <w:rsid w:val="00C80D7F"/>
    <w:rsid w:val="00C9002A"/>
    <w:rsid w:val="00C971AD"/>
    <w:rsid w:val="00CA2A83"/>
    <w:rsid w:val="00CC2867"/>
    <w:rsid w:val="00CE1329"/>
    <w:rsid w:val="00D20EC8"/>
    <w:rsid w:val="00D222AC"/>
    <w:rsid w:val="00D300A1"/>
    <w:rsid w:val="00D322DD"/>
    <w:rsid w:val="00D6669F"/>
    <w:rsid w:val="00D6776E"/>
    <w:rsid w:val="00D72933"/>
    <w:rsid w:val="00D73354"/>
    <w:rsid w:val="00D8315A"/>
    <w:rsid w:val="00D86DF3"/>
    <w:rsid w:val="00D91802"/>
    <w:rsid w:val="00DC1D14"/>
    <w:rsid w:val="00DD2F46"/>
    <w:rsid w:val="00E10EDC"/>
    <w:rsid w:val="00E13FEF"/>
    <w:rsid w:val="00E41978"/>
    <w:rsid w:val="00E5493F"/>
    <w:rsid w:val="00E81A78"/>
    <w:rsid w:val="00E85050"/>
    <w:rsid w:val="00E90237"/>
    <w:rsid w:val="00E9591E"/>
    <w:rsid w:val="00E97EE2"/>
    <w:rsid w:val="00EA10C8"/>
    <w:rsid w:val="00EA4B9E"/>
    <w:rsid w:val="00EA6C9D"/>
    <w:rsid w:val="00EB7AE1"/>
    <w:rsid w:val="00EC3839"/>
    <w:rsid w:val="00EE480A"/>
    <w:rsid w:val="00EE6532"/>
    <w:rsid w:val="00EF1211"/>
    <w:rsid w:val="00F0053F"/>
    <w:rsid w:val="00F4541F"/>
    <w:rsid w:val="00F50BA2"/>
    <w:rsid w:val="00F566DD"/>
    <w:rsid w:val="00FB2699"/>
    <w:rsid w:val="00FB60BF"/>
    <w:rsid w:val="00FB7944"/>
    <w:rsid w:val="00FF3811"/>
    <w:rsid w:val="00FF5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F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733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B7332"/>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
    <w:semiHidden/>
    <w:unhideWhenUsed/>
    <w:qFormat/>
    <w:rsid w:val="00755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7332"/>
    <w:rPr>
      <w:rFonts w:ascii="Cambria" w:eastAsia="Times New Roman" w:hAnsi="Cambria" w:cs="Times New Roman"/>
      <w:color w:val="365F91"/>
      <w:sz w:val="32"/>
      <w:szCs w:val="32"/>
    </w:rPr>
  </w:style>
  <w:style w:type="paragraph" w:styleId="Akapitzlist">
    <w:name w:val="List Paragraph"/>
    <w:aliases w:val="opis dzialania,K-P_odwolanie,Akapit z listą mon"/>
    <w:basedOn w:val="Normalny"/>
    <w:link w:val="AkapitzlistZnak"/>
    <w:uiPriority w:val="34"/>
    <w:qFormat/>
    <w:rsid w:val="00BB7332"/>
    <w:pPr>
      <w:ind w:left="720"/>
      <w:contextualSpacing/>
    </w:p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BB7332"/>
    <w:pPr>
      <w:spacing w:after="0" w:line="240" w:lineRule="auto"/>
    </w:pPr>
    <w:rPr>
      <w:sz w:val="20"/>
      <w:szCs w:val="20"/>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BB7332"/>
    <w:rPr>
      <w:rFonts w:ascii="Calibri" w:eastAsia="Calibri" w:hAnsi="Calibri" w:cs="Times New Roman"/>
      <w:sz w:val="20"/>
      <w:szCs w:val="20"/>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BB7332"/>
    <w:rPr>
      <w:vertAlign w:val="superscript"/>
    </w:rPr>
  </w:style>
  <w:style w:type="character" w:customStyle="1" w:styleId="AkapitzlistZnak">
    <w:name w:val="Akapit z listą Znak"/>
    <w:aliases w:val="opis dzialania Znak,K-P_odwolanie Znak,Akapit z listą mon Znak"/>
    <w:link w:val="Akapitzlist"/>
    <w:uiPriority w:val="34"/>
    <w:rsid w:val="00BB7332"/>
    <w:rPr>
      <w:rFonts w:ascii="Calibri" w:eastAsia="Calibri" w:hAnsi="Calibri" w:cs="Times New Roman"/>
    </w:rPr>
  </w:style>
  <w:style w:type="paragraph" w:styleId="NormalnyWeb">
    <w:name w:val="Normal (Web)"/>
    <w:basedOn w:val="Normalny"/>
    <w:uiPriority w:val="99"/>
    <w:semiHidden/>
    <w:unhideWhenUsed/>
    <w:rsid w:val="00BB7332"/>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B7332"/>
    <w:rPr>
      <w:sz w:val="16"/>
      <w:szCs w:val="16"/>
    </w:rPr>
  </w:style>
  <w:style w:type="paragraph" w:styleId="Tekstkomentarza">
    <w:name w:val="annotation text"/>
    <w:basedOn w:val="Normalny"/>
    <w:link w:val="TekstkomentarzaZnak"/>
    <w:uiPriority w:val="99"/>
    <w:unhideWhenUsed/>
    <w:rsid w:val="00BB7332"/>
    <w:pPr>
      <w:spacing w:line="240" w:lineRule="auto"/>
    </w:pPr>
    <w:rPr>
      <w:sz w:val="20"/>
      <w:szCs w:val="20"/>
    </w:rPr>
  </w:style>
  <w:style w:type="character" w:customStyle="1" w:styleId="TekstkomentarzaZnak">
    <w:name w:val="Tekst komentarza Znak"/>
    <w:basedOn w:val="Domylnaczcionkaakapitu"/>
    <w:link w:val="Tekstkomentarza"/>
    <w:uiPriority w:val="99"/>
    <w:rsid w:val="00BB7332"/>
    <w:rPr>
      <w:rFonts w:ascii="Calibri" w:eastAsia="Calibri" w:hAnsi="Calibri" w:cs="Times New Roman"/>
      <w:sz w:val="20"/>
      <w:szCs w:val="20"/>
    </w:rPr>
  </w:style>
  <w:style w:type="character" w:styleId="Hipercze">
    <w:name w:val="Hyperlink"/>
    <w:uiPriority w:val="99"/>
    <w:unhideWhenUsed/>
    <w:rsid w:val="00BB7332"/>
    <w:rPr>
      <w:color w:val="0000FF"/>
      <w:u w:val="single"/>
    </w:rPr>
  </w:style>
  <w:style w:type="paragraph" w:styleId="Tekstdymka">
    <w:name w:val="Balloon Text"/>
    <w:basedOn w:val="Normalny"/>
    <w:link w:val="TekstdymkaZnak"/>
    <w:uiPriority w:val="99"/>
    <w:semiHidden/>
    <w:unhideWhenUsed/>
    <w:rsid w:val="00BB73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332"/>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16B"/>
    <w:rPr>
      <w:b/>
      <w:bCs/>
    </w:rPr>
  </w:style>
  <w:style w:type="character" w:customStyle="1" w:styleId="TematkomentarzaZnak">
    <w:name w:val="Temat komentarza Znak"/>
    <w:basedOn w:val="TekstkomentarzaZnak"/>
    <w:link w:val="Tematkomentarza"/>
    <w:uiPriority w:val="99"/>
    <w:semiHidden/>
    <w:rsid w:val="002D516B"/>
    <w:rPr>
      <w:rFonts w:ascii="Calibri" w:eastAsia="Calibri" w:hAnsi="Calibri" w:cs="Times New Roman"/>
      <w:b/>
      <w:bCs/>
      <w:sz w:val="20"/>
      <w:szCs w:val="20"/>
    </w:rPr>
  </w:style>
  <w:style w:type="paragraph" w:styleId="Nagwek">
    <w:name w:val="header"/>
    <w:basedOn w:val="Normalny"/>
    <w:link w:val="NagwekZnak"/>
    <w:uiPriority w:val="99"/>
    <w:unhideWhenUsed/>
    <w:rsid w:val="009D5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5407"/>
    <w:rPr>
      <w:rFonts w:ascii="Calibri" w:eastAsia="Calibri" w:hAnsi="Calibri" w:cs="Times New Roman"/>
    </w:rPr>
  </w:style>
  <w:style w:type="paragraph" w:styleId="Stopka">
    <w:name w:val="footer"/>
    <w:basedOn w:val="Normalny"/>
    <w:link w:val="StopkaZnak"/>
    <w:uiPriority w:val="99"/>
    <w:unhideWhenUsed/>
    <w:rsid w:val="009D5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5407"/>
    <w:rPr>
      <w:rFonts w:ascii="Calibri" w:eastAsia="Calibri" w:hAnsi="Calibri" w:cs="Times New Roman"/>
    </w:rPr>
  </w:style>
  <w:style w:type="character" w:customStyle="1" w:styleId="Nagwek2Znak">
    <w:name w:val="Nagłówek 2 Znak"/>
    <w:basedOn w:val="Domylnaczcionkaakapitu"/>
    <w:link w:val="Nagwek2"/>
    <w:uiPriority w:val="9"/>
    <w:semiHidden/>
    <w:rsid w:val="007557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CC28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0306">
      <w:bodyDiv w:val="1"/>
      <w:marLeft w:val="0"/>
      <w:marRight w:val="0"/>
      <w:marTop w:val="0"/>
      <w:marBottom w:val="0"/>
      <w:divBdr>
        <w:top w:val="none" w:sz="0" w:space="0" w:color="auto"/>
        <w:left w:val="none" w:sz="0" w:space="0" w:color="auto"/>
        <w:bottom w:val="none" w:sz="0" w:space="0" w:color="auto"/>
        <w:right w:val="none" w:sz="0" w:space="0" w:color="auto"/>
      </w:divBdr>
      <w:divsChild>
        <w:div w:id="1577591027">
          <w:marLeft w:val="0"/>
          <w:marRight w:val="0"/>
          <w:marTop w:val="0"/>
          <w:marBottom w:val="0"/>
          <w:divBdr>
            <w:top w:val="none" w:sz="0" w:space="0" w:color="auto"/>
            <w:left w:val="none" w:sz="0" w:space="0" w:color="auto"/>
            <w:bottom w:val="none" w:sz="0" w:space="0" w:color="auto"/>
            <w:right w:val="none" w:sz="0" w:space="0" w:color="auto"/>
          </w:divBdr>
        </w:div>
        <w:div w:id="754670276">
          <w:marLeft w:val="0"/>
          <w:marRight w:val="0"/>
          <w:marTop w:val="0"/>
          <w:marBottom w:val="0"/>
          <w:divBdr>
            <w:top w:val="none" w:sz="0" w:space="0" w:color="auto"/>
            <w:left w:val="none" w:sz="0" w:space="0" w:color="auto"/>
            <w:bottom w:val="none" w:sz="0" w:space="0" w:color="auto"/>
            <w:right w:val="none" w:sz="0" w:space="0" w:color="auto"/>
          </w:divBdr>
        </w:div>
        <w:div w:id="761414665">
          <w:marLeft w:val="0"/>
          <w:marRight w:val="0"/>
          <w:marTop w:val="0"/>
          <w:marBottom w:val="0"/>
          <w:divBdr>
            <w:top w:val="none" w:sz="0" w:space="0" w:color="auto"/>
            <w:left w:val="none" w:sz="0" w:space="0" w:color="auto"/>
            <w:bottom w:val="none" w:sz="0" w:space="0" w:color="auto"/>
            <w:right w:val="none" w:sz="0" w:space="0" w:color="auto"/>
          </w:divBdr>
        </w:div>
      </w:divsChild>
    </w:div>
    <w:div w:id="1677340455">
      <w:bodyDiv w:val="1"/>
      <w:marLeft w:val="0"/>
      <w:marRight w:val="0"/>
      <w:marTop w:val="0"/>
      <w:marBottom w:val="0"/>
      <w:divBdr>
        <w:top w:val="none" w:sz="0" w:space="0" w:color="auto"/>
        <w:left w:val="none" w:sz="0" w:space="0" w:color="auto"/>
        <w:bottom w:val="none" w:sz="0" w:space="0" w:color="auto"/>
        <w:right w:val="none" w:sz="0" w:space="0" w:color="auto"/>
      </w:divBdr>
    </w:div>
    <w:div w:id="17314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coap/e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81217%20Wskazniki%20BE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91204%20wska&#378;niki%20BEiS%20t&#322;uamczenie%20na%20ang.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nero\DZM\4.%20Wydzia&#322;%20Koordynacji%20Strategicznej\1.%20Wa&#380;ne%20dokumenty\PEP2030%20-%20wersja%20edytowalna\Wersja%20angielska\Dokumenty%20z%2012.11.2019\191204%20wska&#378;niki%20BEiS%20t&#322;uamczenie%20na%20ang.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91204%20wska&#378;niki%20BEiS%20t&#322;uamczenie%20na%20a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91204%20wska&#378;niki%20BEiS%20t&#322;uamczenie%20na%20a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81217%20Wskazniki%20BE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ero\DZM\4.%20Wydzia&#322;%20Koordynacji%20Strategicznej\1.%20Wa&#380;ne%20dokumenty\PEP2030%20-%20wersja%20edytowalna\Wersja%20angielska\Dokumenty%20z%2012.11.2019\181217%20Wskazniki%20BE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0" i="0" u="none" strike="noStrike" baseline="0">
                <a:effectLst/>
              </a:rPr>
              <a:t>Water consumption for the needs of national economy and general population [hm3</a:t>
            </a:r>
            <a:r>
              <a:rPr lang="pl-PL" sz="1800" b="0" i="0" u="none" strike="noStrike" baseline="0">
                <a:effectLst/>
              </a:rPr>
              <a:t>]</a:t>
            </a:r>
            <a:endParaRPr lang="pl-PL" b="0" i="0"/>
          </a:p>
        </c:rich>
      </c:tx>
      <c:layout/>
      <c:overlay val="0"/>
    </c:title>
    <c:autoTitleDeleted val="0"/>
    <c:plotArea>
      <c:layout/>
      <c:lineChart>
        <c:grouping val="standard"/>
        <c:varyColors val="0"/>
        <c:ser>
          <c:idx val="0"/>
          <c:order val="0"/>
          <c:tx>
            <c:strRef>
              <c:f>'Strateg tablica'!$A$5</c:f>
              <c:strCache>
                <c:ptCount val="1"/>
                <c:pt idx="0">
                  <c:v>Water consumption for the needs of national economy and general population [hm3]</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tablica'!$I$5:$P$5</c:f>
              <c:numCache>
                <c:formatCode>0.0</c:formatCode>
                <c:ptCount val="8"/>
                <c:pt idx="0">
                  <c:v>10356.5</c:v>
                </c:pt>
                <c:pt idx="1">
                  <c:v>10679.1</c:v>
                </c:pt>
                <c:pt idx="2">
                  <c:v>10349.5</c:v>
                </c:pt>
                <c:pt idx="3">
                  <c:v>10106</c:v>
                </c:pt>
                <c:pt idx="4">
                  <c:v>10243.700000000001</c:v>
                </c:pt>
                <c:pt idx="5">
                  <c:v>10058.700000000001</c:v>
                </c:pt>
                <c:pt idx="6">
                  <c:v>10138.799999999999</c:v>
                </c:pt>
                <c:pt idx="7">
                  <c:v>9656.2999999999993</c:v>
                </c:pt>
              </c:numCache>
            </c:numRef>
          </c:val>
          <c:smooth val="0"/>
        </c:ser>
        <c:ser>
          <c:idx val="1"/>
          <c:order val="1"/>
          <c:tx>
            <c:strRef>
              <c:f>'Strateg tablica'!$A$6</c:f>
              <c:strCache>
                <c:ptCount val="1"/>
                <c:pt idx="0">
                  <c:v>Target value in 2020</c:v>
                </c:pt>
              </c:strCache>
            </c:strRef>
          </c:tx>
          <c:marker>
            <c:symbol val="none"/>
          </c:marker>
          <c:dLbls>
            <c:dLbl>
              <c:idx val="0"/>
              <c:layout/>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tablica'!$I$6:$P$6</c:f>
              <c:numCache>
                <c:formatCode>General</c:formatCode>
                <c:ptCount val="8"/>
                <c:pt idx="0">
                  <c:v>10100</c:v>
                </c:pt>
                <c:pt idx="1">
                  <c:v>10100</c:v>
                </c:pt>
                <c:pt idx="2">
                  <c:v>10100</c:v>
                </c:pt>
                <c:pt idx="3">
                  <c:v>10100</c:v>
                </c:pt>
                <c:pt idx="4">
                  <c:v>10100</c:v>
                </c:pt>
                <c:pt idx="5">
                  <c:v>10100</c:v>
                </c:pt>
                <c:pt idx="6">
                  <c:v>10100</c:v>
                </c:pt>
                <c:pt idx="7">
                  <c:v>10100</c:v>
                </c:pt>
              </c:numCache>
            </c:numRef>
          </c:val>
          <c:smooth val="0"/>
        </c:ser>
        <c:dLbls>
          <c:showLegendKey val="0"/>
          <c:showVal val="0"/>
          <c:showCatName val="0"/>
          <c:showSerName val="0"/>
          <c:showPercent val="0"/>
          <c:showBubbleSize val="0"/>
        </c:dLbls>
        <c:marker val="1"/>
        <c:smooth val="0"/>
        <c:axId val="280949232"/>
        <c:axId val="280955448"/>
      </c:lineChart>
      <c:catAx>
        <c:axId val="280949232"/>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80955448"/>
        <c:crosses val="autoZero"/>
        <c:auto val="1"/>
        <c:lblAlgn val="ctr"/>
        <c:lblOffset val="100"/>
        <c:noMultiLvlLbl val="0"/>
      </c:catAx>
      <c:valAx>
        <c:axId val="280955448"/>
        <c:scaling>
          <c:orientation val="minMax"/>
          <c:min val="9600"/>
        </c:scaling>
        <c:delete val="0"/>
        <c:axPos val="l"/>
        <c:majorGridlines/>
        <c:title>
          <c:tx>
            <c:rich>
              <a:bodyPr/>
              <a:lstStyle/>
              <a:p>
                <a:pPr>
                  <a:defRPr/>
                </a:pPr>
                <a:r>
                  <a:rPr lang="pl-PL"/>
                  <a:t>hm</a:t>
                </a:r>
                <a:r>
                  <a:rPr lang="pl-PL" baseline="30000"/>
                  <a:t>3</a:t>
                </a:r>
              </a:p>
            </c:rich>
          </c:tx>
          <c:layout/>
          <c:overlay val="0"/>
        </c:title>
        <c:numFmt formatCode="0.0" sourceLinked="1"/>
        <c:majorTickMark val="out"/>
        <c:minorTickMark val="none"/>
        <c:tickLblPos val="nextTo"/>
        <c:crossAx val="280949232"/>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Percentage of population using sewage treatment plants [%]</a:t>
            </a:r>
            <a:endParaRPr lang="pl-PL" b="0" i="0"/>
          </a:p>
        </c:rich>
      </c:tx>
      <c:layout/>
      <c:overlay val="0"/>
    </c:title>
    <c:autoTitleDeleted val="0"/>
    <c:plotArea>
      <c:layout/>
      <c:lineChart>
        <c:grouping val="standard"/>
        <c:varyColors val="0"/>
        <c:ser>
          <c:idx val="0"/>
          <c:order val="0"/>
          <c:tx>
            <c:strRef>
              <c:f>'Strateg tablica'!$A$31</c:f>
              <c:strCache>
                <c:ptCount val="1"/>
                <c:pt idx="0">
                  <c:v>Percentage of population using sewage treatment plants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tablica'!$I$31:$P$31</c:f>
              <c:numCache>
                <c:formatCode>General</c:formatCode>
                <c:ptCount val="8"/>
                <c:pt idx="0">
                  <c:v>64.7</c:v>
                </c:pt>
                <c:pt idx="1">
                  <c:v>65.7</c:v>
                </c:pt>
                <c:pt idx="2">
                  <c:v>68.599999999999994</c:v>
                </c:pt>
                <c:pt idx="3">
                  <c:v>70.3</c:v>
                </c:pt>
                <c:pt idx="4">
                  <c:v>71.5</c:v>
                </c:pt>
                <c:pt idx="5">
                  <c:v>72.7</c:v>
                </c:pt>
                <c:pt idx="6">
                  <c:v>73.5</c:v>
                </c:pt>
                <c:pt idx="7">
                  <c:v>73.599999999999994</c:v>
                </c:pt>
              </c:numCache>
            </c:numRef>
          </c:val>
          <c:smooth val="0"/>
        </c:ser>
        <c:ser>
          <c:idx val="1"/>
          <c:order val="1"/>
          <c:tx>
            <c:strRef>
              <c:f>'Strateg tablica'!$A$32</c:f>
              <c:strCache>
                <c:ptCount val="1"/>
                <c:pt idx="0">
                  <c:v>Target value in 2020</c:v>
                </c:pt>
              </c:strCache>
            </c:strRef>
          </c:tx>
          <c:marker>
            <c:symbol val="none"/>
          </c:marker>
          <c:dLbls>
            <c:dLbl>
              <c:idx val="0"/>
              <c:layout/>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tablica'!$I$32:$P$32</c:f>
              <c:numCache>
                <c:formatCode>General</c:formatCode>
                <c:ptCount val="8"/>
                <c:pt idx="0">
                  <c:v>71.5</c:v>
                </c:pt>
                <c:pt idx="1">
                  <c:v>71.5</c:v>
                </c:pt>
                <c:pt idx="2">
                  <c:v>71.5</c:v>
                </c:pt>
                <c:pt idx="3">
                  <c:v>71.5</c:v>
                </c:pt>
                <c:pt idx="4">
                  <c:v>71.5</c:v>
                </c:pt>
                <c:pt idx="5">
                  <c:v>71.5</c:v>
                </c:pt>
                <c:pt idx="6">
                  <c:v>71.5</c:v>
                </c:pt>
                <c:pt idx="7">
                  <c:v>71.5</c:v>
                </c:pt>
              </c:numCache>
            </c:numRef>
          </c:val>
          <c:smooth val="0"/>
        </c:ser>
        <c:dLbls>
          <c:showLegendKey val="0"/>
          <c:showVal val="0"/>
          <c:showCatName val="0"/>
          <c:showSerName val="0"/>
          <c:showPercent val="0"/>
          <c:showBubbleSize val="0"/>
        </c:dLbls>
        <c:marker val="1"/>
        <c:smooth val="0"/>
        <c:axId val="281368288"/>
        <c:axId val="281368672"/>
      </c:lineChart>
      <c:catAx>
        <c:axId val="281368288"/>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81368672"/>
        <c:crosses val="autoZero"/>
        <c:auto val="1"/>
        <c:lblAlgn val="ctr"/>
        <c:lblOffset val="100"/>
        <c:noMultiLvlLbl val="0"/>
      </c:catAx>
      <c:valAx>
        <c:axId val="281368672"/>
        <c:scaling>
          <c:orientation val="minMax"/>
          <c:min val="64"/>
        </c:scaling>
        <c:delete val="0"/>
        <c:axPos val="l"/>
        <c:majorGridlines/>
        <c:title>
          <c:tx>
            <c:rich>
              <a:bodyPr/>
              <a:lstStyle/>
              <a:p>
                <a:pPr>
                  <a:defRPr/>
                </a:pPr>
                <a:r>
                  <a:rPr lang="pl-PL"/>
                  <a:t>%</a:t>
                </a:r>
              </a:p>
            </c:rich>
          </c:tx>
          <c:layout/>
          <c:overlay val="0"/>
        </c:title>
        <c:numFmt formatCode="General" sourceLinked="1"/>
        <c:majorTickMark val="out"/>
        <c:minorTickMark val="none"/>
        <c:tickLblPos val="nextTo"/>
        <c:crossAx val="281368288"/>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Level of recycling and preparation for re-use of selected waste groups: paper, metals, plastics and glass [%]</a:t>
            </a:r>
            <a:endParaRPr lang="pl-PL" i="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'Strateg tablica'!$A$33</c:f>
              <c:strCache>
                <c:ptCount val="1"/>
                <c:pt idx="0">
                  <c:v>Level of recycling and preparation for re-use of selected waste groups: paper, metals, plastics and glass [%]</c:v>
                </c:pt>
              </c:strCache>
            </c:strRef>
          </c:tx>
          <c:spPr>
            <a:solidFill>
              <a:schemeClr val="accent1"/>
            </a:solidFill>
            <a:ln>
              <a:noFill/>
            </a:ln>
            <a:effectLst/>
          </c:spPr>
          <c:invertIfNegative val="0"/>
          <c:dLbls>
            <c:dLbl>
              <c:idx val="0"/>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n.a.</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'Strateg tablica'!$I$33:$O$33</c:f>
              <c:numCache>
                <c:formatCode>General</c:formatCode>
                <c:ptCount val="7"/>
                <c:pt idx="0">
                  <c:v>0</c:v>
                </c:pt>
                <c:pt idx="1">
                  <c:v>0</c:v>
                </c:pt>
                <c:pt idx="2">
                  <c:v>18</c:v>
                </c:pt>
                <c:pt idx="3">
                  <c:v>22</c:v>
                </c:pt>
                <c:pt idx="4">
                  <c:v>26</c:v>
                </c:pt>
                <c:pt idx="5">
                  <c:v>26</c:v>
                </c:pt>
                <c:pt idx="6">
                  <c:v>28</c:v>
                </c:pt>
              </c:numCache>
            </c:numRef>
          </c:val>
        </c:ser>
        <c:dLbls>
          <c:showLegendKey val="0"/>
          <c:showVal val="0"/>
          <c:showCatName val="0"/>
          <c:showSerName val="0"/>
          <c:showPercent val="0"/>
          <c:showBubbleSize val="0"/>
        </c:dLbls>
        <c:gapWidth val="219"/>
        <c:overlap val="-27"/>
        <c:axId val="280704432"/>
        <c:axId val="280704816"/>
      </c:barChart>
      <c:lineChart>
        <c:grouping val="standard"/>
        <c:varyColors val="0"/>
        <c:ser>
          <c:idx val="1"/>
          <c:order val="1"/>
          <c:tx>
            <c:strRef>
              <c:f>'Strateg tablica'!$A$32</c:f>
              <c:strCache>
                <c:ptCount val="1"/>
                <c:pt idx="0">
                  <c:v>Target value in 2020</c:v>
                </c:pt>
              </c:strCache>
            </c:strRef>
          </c:tx>
          <c:spPr>
            <a:ln w="28575" cap="rnd">
              <a:solidFill>
                <a:schemeClr val="accent2"/>
              </a:solidFill>
              <a:round/>
            </a:ln>
            <a:effectLst/>
          </c:spPr>
          <c:marker>
            <c:symbol val="none"/>
          </c:marker>
          <c:dLbls>
            <c:dLbl>
              <c:idx val="6"/>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tablica'!$I$34:$O$34</c:f>
              <c:numCache>
                <c:formatCode>General</c:formatCode>
                <c:ptCount val="7"/>
                <c:pt idx="0">
                  <c:v>50</c:v>
                </c:pt>
                <c:pt idx="1">
                  <c:v>50</c:v>
                </c:pt>
                <c:pt idx="2">
                  <c:v>50</c:v>
                </c:pt>
                <c:pt idx="3">
                  <c:v>50</c:v>
                </c:pt>
                <c:pt idx="4">
                  <c:v>50</c:v>
                </c:pt>
                <c:pt idx="5">
                  <c:v>50</c:v>
                </c:pt>
                <c:pt idx="6">
                  <c:v>50</c:v>
                </c:pt>
              </c:numCache>
            </c:numRef>
          </c:val>
          <c:smooth val="0"/>
        </c:ser>
        <c:dLbls>
          <c:showLegendKey val="0"/>
          <c:showVal val="0"/>
          <c:showCatName val="0"/>
          <c:showSerName val="0"/>
          <c:showPercent val="0"/>
          <c:showBubbleSize val="0"/>
        </c:dLbls>
        <c:marker val="1"/>
        <c:smooth val="0"/>
        <c:axId val="280704432"/>
        <c:axId val="280704816"/>
      </c:lineChart>
      <c:catAx>
        <c:axId val="280704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0704816"/>
        <c:crosses val="autoZero"/>
        <c:auto val="1"/>
        <c:lblAlgn val="ctr"/>
        <c:lblOffset val="100"/>
        <c:tickLblSkip val="1"/>
        <c:noMultiLvlLbl val="0"/>
      </c:catAx>
      <c:valAx>
        <c:axId val="28070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0704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Level of recycling, preparation for re-use and recovery by other means for non-hazardous construction and demolition waste [%]</a:t>
            </a:r>
            <a:endParaRPr lang="pl-PL" b="0" i="0"/>
          </a:p>
        </c:rich>
      </c:tx>
      <c:layout/>
      <c:overlay val="0"/>
    </c:title>
    <c:autoTitleDeleted val="0"/>
    <c:plotArea>
      <c:layout/>
      <c:barChart>
        <c:barDir val="col"/>
        <c:grouping val="clustered"/>
        <c:varyColors val="0"/>
        <c:ser>
          <c:idx val="0"/>
          <c:order val="0"/>
          <c:tx>
            <c:strRef>
              <c:f>'Strateg tablica'!$A$35</c:f>
              <c:strCache>
                <c:ptCount val="1"/>
                <c:pt idx="0">
                  <c:v>Level of recycling, preparation for re-use and recovery by other means for non-hazardous construction and demolition waste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trendline>
            <c:trendlineType val="linear"/>
            <c:dispRSqr val="0"/>
            <c:dispEq val="0"/>
          </c:trendline>
          <c:cat>
            <c:strRef>
              <c:f>'Strateg tablica'!$I$1:$N$2</c:f>
              <c:strCache>
                <c:ptCount val="6"/>
                <c:pt idx="0">
                  <c:v>2010</c:v>
                </c:pt>
                <c:pt idx="1">
                  <c:v>2011</c:v>
                </c:pt>
                <c:pt idx="2">
                  <c:v>2012</c:v>
                </c:pt>
                <c:pt idx="3">
                  <c:v>2013</c:v>
                </c:pt>
                <c:pt idx="4">
                  <c:v>2014</c:v>
                </c:pt>
                <c:pt idx="5">
                  <c:v>2015</c:v>
                </c:pt>
              </c:strCache>
            </c:strRef>
          </c:cat>
          <c:val>
            <c:numRef>
              <c:f>'Strateg tablica'!$I$35:$N$35</c:f>
              <c:numCache>
                <c:formatCode>General</c:formatCode>
                <c:ptCount val="6"/>
                <c:pt idx="0">
                  <c:v>69</c:v>
                </c:pt>
                <c:pt idx="1">
                  <c:v>90</c:v>
                </c:pt>
                <c:pt idx="2">
                  <c:v>73</c:v>
                </c:pt>
                <c:pt idx="3">
                  <c:v>84</c:v>
                </c:pt>
                <c:pt idx="4">
                  <c:v>91</c:v>
                </c:pt>
                <c:pt idx="5">
                  <c:v>105</c:v>
                </c:pt>
              </c:numCache>
            </c:numRef>
          </c:val>
        </c:ser>
        <c:dLbls>
          <c:showLegendKey val="0"/>
          <c:showVal val="0"/>
          <c:showCatName val="0"/>
          <c:showSerName val="0"/>
          <c:showPercent val="0"/>
          <c:showBubbleSize val="0"/>
        </c:dLbls>
        <c:gapWidth val="150"/>
        <c:axId val="279509368"/>
        <c:axId val="279511328"/>
      </c:barChart>
      <c:lineChart>
        <c:grouping val="standard"/>
        <c:varyColors val="0"/>
        <c:ser>
          <c:idx val="1"/>
          <c:order val="1"/>
          <c:tx>
            <c:strRef>
              <c:f>'Strateg tablica'!$A$36</c:f>
              <c:strCache>
                <c:ptCount val="1"/>
                <c:pt idx="0">
                  <c:v>Target value in 2020</c:v>
                </c:pt>
              </c:strCache>
            </c:strRef>
          </c:tx>
          <c:marker>
            <c:symbol val="none"/>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'Strateg tablica'!$I$36:$N$36</c:f>
              <c:numCache>
                <c:formatCode>General</c:formatCode>
                <c:ptCount val="6"/>
                <c:pt idx="0">
                  <c:v>70</c:v>
                </c:pt>
                <c:pt idx="1">
                  <c:v>70</c:v>
                </c:pt>
                <c:pt idx="2">
                  <c:v>70</c:v>
                </c:pt>
                <c:pt idx="3">
                  <c:v>70</c:v>
                </c:pt>
                <c:pt idx="4">
                  <c:v>70</c:v>
                </c:pt>
                <c:pt idx="5">
                  <c:v>70</c:v>
                </c:pt>
              </c:numCache>
            </c:numRef>
          </c:val>
          <c:smooth val="0"/>
        </c:ser>
        <c:dLbls>
          <c:showLegendKey val="0"/>
          <c:showVal val="0"/>
          <c:showCatName val="0"/>
          <c:showSerName val="0"/>
          <c:showPercent val="0"/>
          <c:showBubbleSize val="0"/>
        </c:dLbls>
        <c:marker val="1"/>
        <c:smooth val="0"/>
        <c:axId val="279509368"/>
        <c:axId val="279511328"/>
      </c:lineChart>
      <c:catAx>
        <c:axId val="279509368"/>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79511328"/>
        <c:crosses val="autoZero"/>
        <c:auto val="1"/>
        <c:lblAlgn val="ctr"/>
        <c:lblOffset val="100"/>
        <c:noMultiLvlLbl val="0"/>
      </c:catAx>
      <c:valAx>
        <c:axId val="279511328"/>
        <c:scaling>
          <c:orientation val="minMax"/>
        </c:scaling>
        <c:delete val="0"/>
        <c:axPos val="l"/>
        <c:majorGridlines/>
        <c:title>
          <c:tx>
            <c:rich>
              <a:bodyPr/>
              <a:lstStyle/>
              <a:p>
                <a:pPr>
                  <a:defRPr/>
                </a:pPr>
                <a:r>
                  <a:rPr lang="pl-PL"/>
                  <a:t>%</a:t>
                </a:r>
              </a:p>
            </c:rich>
          </c:tx>
          <c:layout/>
          <c:overlay val="0"/>
        </c:title>
        <c:numFmt formatCode="General" sourceLinked="1"/>
        <c:majorTickMark val="out"/>
        <c:minorTickMark val="none"/>
        <c:tickLblPos val="nextTo"/>
        <c:crossAx val="279509368"/>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effectLst/>
              </a:rPr>
              <a:t>Degree of reduction of biodegradable municipal waste transported to landfills in relation to waste produced in 1995 [%]</a:t>
            </a:r>
            <a:endParaRPr lang="pl-PL" b="0" i="0"/>
          </a:p>
        </c:rich>
      </c:tx>
      <c:layout/>
      <c:overlay val="0"/>
    </c:title>
    <c:autoTitleDeleted val="0"/>
    <c:plotArea>
      <c:layout/>
      <c:lineChart>
        <c:grouping val="standard"/>
        <c:varyColors val="0"/>
        <c:ser>
          <c:idx val="0"/>
          <c:order val="0"/>
          <c:tx>
            <c:strRef>
              <c:f>'Strateg tablica'!$A$37</c:f>
              <c:strCache>
                <c:ptCount val="1"/>
                <c:pt idx="0">
                  <c:v>Degree of reduction of biodegradable municipal waste transported to landfills in relation to waste produced in 1995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tablica'!$I$37:$O$37</c:f>
              <c:numCache>
                <c:formatCode>General</c:formatCode>
                <c:ptCount val="7"/>
                <c:pt idx="0">
                  <c:v>79</c:v>
                </c:pt>
                <c:pt idx="1">
                  <c:v>61</c:v>
                </c:pt>
                <c:pt idx="2">
                  <c:v>56</c:v>
                </c:pt>
                <c:pt idx="3">
                  <c:v>40</c:v>
                </c:pt>
                <c:pt idx="4">
                  <c:v>35</c:v>
                </c:pt>
                <c:pt idx="5">
                  <c:v>31</c:v>
                </c:pt>
                <c:pt idx="6">
                  <c:v>12</c:v>
                </c:pt>
              </c:numCache>
            </c:numRef>
          </c:val>
          <c:smooth val="0"/>
        </c:ser>
        <c:ser>
          <c:idx val="1"/>
          <c:order val="1"/>
          <c:tx>
            <c:strRef>
              <c:f>'Strateg tablica'!$A$38</c:f>
              <c:strCache>
                <c:ptCount val="1"/>
                <c:pt idx="0">
                  <c:v>Target value in 2020</c:v>
                </c:pt>
              </c:strCache>
            </c:strRef>
          </c:tx>
          <c:marker>
            <c:symbol val="none"/>
          </c:marker>
          <c:dLbls>
            <c:dLbl>
              <c:idx val="0"/>
              <c:layout/>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tablica'!$I$38:$O$38</c:f>
              <c:numCache>
                <c:formatCode>General</c:formatCode>
                <c:ptCount val="7"/>
                <c:pt idx="0">
                  <c:v>35</c:v>
                </c:pt>
                <c:pt idx="1">
                  <c:v>35</c:v>
                </c:pt>
                <c:pt idx="2">
                  <c:v>35</c:v>
                </c:pt>
                <c:pt idx="3">
                  <c:v>35</c:v>
                </c:pt>
                <c:pt idx="4">
                  <c:v>35</c:v>
                </c:pt>
                <c:pt idx="5">
                  <c:v>35</c:v>
                </c:pt>
                <c:pt idx="6">
                  <c:v>35</c:v>
                </c:pt>
              </c:numCache>
            </c:numRef>
          </c:val>
          <c:smooth val="0"/>
        </c:ser>
        <c:dLbls>
          <c:showLegendKey val="0"/>
          <c:showVal val="0"/>
          <c:showCatName val="0"/>
          <c:showSerName val="0"/>
          <c:showPercent val="0"/>
          <c:showBubbleSize val="0"/>
        </c:dLbls>
        <c:marker val="1"/>
        <c:smooth val="0"/>
        <c:axId val="281171264"/>
        <c:axId val="281166168"/>
      </c:lineChart>
      <c:catAx>
        <c:axId val="281171264"/>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81166168"/>
        <c:crosses val="autoZero"/>
        <c:auto val="1"/>
        <c:lblAlgn val="ctr"/>
        <c:lblOffset val="100"/>
        <c:noMultiLvlLbl val="0"/>
      </c:catAx>
      <c:valAx>
        <c:axId val="281166168"/>
        <c:scaling>
          <c:orientation val="minMax"/>
        </c:scaling>
        <c:delete val="0"/>
        <c:axPos val="l"/>
        <c:majorGridlines/>
        <c:title>
          <c:tx>
            <c:rich>
              <a:bodyPr/>
              <a:lstStyle/>
              <a:p>
                <a:pPr>
                  <a:defRPr/>
                </a:pPr>
                <a:r>
                  <a:rPr lang="pl-PL"/>
                  <a:t>%</a:t>
                </a:r>
              </a:p>
            </c:rich>
          </c:tx>
          <c:layout/>
          <c:overlay val="0"/>
        </c:title>
        <c:numFmt formatCode="General" sourceLinked="1"/>
        <c:majorTickMark val="out"/>
        <c:minorTickMark val="none"/>
        <c:tickLblPos val="nextTo"/>
        <c:crossAx val="281171264"/>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0" i="0" u="none" strike="noStrike" baseline="0">
                <a:effectLst/>
              </a:rPr>
              <a:t>Air quality condition – percentage of zones with exceeded standards</a:t>
            </a:r>
            <a:r>
              <a:rPr lang="pl-PL" sz="1800" b="0" i="0" u="none" strike="noStrike" baseline="0">
                <a:effectLst/>
              </a:rPr>
              <a:t> [%]</a:t>
            </a:r>
            <a:endParaRPr lang="pl-PL" b="0" i="0"/>
          </a:p>
        </c:rich>
      </c:tx>
      <c:layout/>
      <c:overlay val="0"/>
    </c:title>
    <c:autoTitleDeleted val="0"/>
    <c:plotArea>
      <c:layout/>
      <c:lineChart>
        <c:grouping val="standard"/>
        <c:varyColors val="0"/>
        <c:ser>
          <c:idx val="0"/>
          <c:order val="0"/>
          <c:tx>
            <c:strRef>
              <c:f>'Strateg tablica'!$A$48</c:f>
              <c:strCache>
                <c:ptCount val="1"/>
                <c:pt idx="0">
                  <c:v>Air quality condition – percentage of zones with exceeded standards [%]</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'Strateg tablica'!$I$1:$N$2</c:f>
              <c:strCache>
                <c:ptCount val="6"/>
                <c:pt idx="0">
                  <c:v>2010</c:v>
                </c:pt>
                <c:pt idx="1">
                  <c:v>2011</c:v>
                </c:pt>
                <c:pt idx="2">
                  <c:v>2012</c:v>
                </c:pt>
                <c:pt idx="3">
                  <c:v>2013</c:v>
                </c:pt>
                <c:pt idx="4">
                  <c:v>2014</c:v>
                </c:pt>
                <c:pt idx="5">
                  <c:v>2015</c:v>
                </c:pt>
              </c:strCache>
            </c:strRef>
          </c:cat>
          <c:val>
            <c:numRef>
              <c:f>'Strateg tablica'!$I$48:$N$48</c:f>
              <c:numCache>
                <c:formatCode>General</c:formatCode>
                <c:ptCount val="6"/>
                <c:pt idx="0">
                  <c:v>91.3</c:v>
                </c:pt>
                <c:pt idx="1">
                  <c:v>91.3</c:v>
                </c:pt>
                <c:pt idx="2">
                  <c:v>84.8</c:v>
                </c:pt>
                <c:pt idx="3">
                  <c:v>80.400000000000006</c:v>
                </c:pt>
                <c:pt idx="4">
                  <c:v>91.3</c:v>
                </c:pt>
                <c:pt idx="5">
                  <c:v>87</c:v>
                </c:pt>
              </c:numCache>
            </c:numRef>
          </c:val>
          <c:smooth val="0"/>
        </c:ser>
        <c:ser>
          <c:idx val="1"/>
          <c:order val="1"/>
          <c:tx>
            <c:strRef>
              <c:f>'Strateg tablica'!$A$49</c:f>
              <c:strCache>
                <c:ptCount val="1"/>
                <c:pt idx="0">
                  <c:v>Target value in 2020</c:v>
                </c:pt>
              </c:strCache>
            </c:strRef>
          </c:tx>
          <c:marker>
            <c:symbol val="none"/>
          </c:marker>
          <c:dLbls>
            <c:dLbl>
              <c:idx val="0"/>
              <c:layout/>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tablica'!$I$1:$N$2</c:f>
              <c:strCache>
                <c:ptCount val="6"/>
                <c:pt idx="0">
                  <c:v>2010</c:v>
                </c:pt>
                <c:pt idx="1">
                  <c:v>2011</c:v>
                </c:pt>
                <c:pt idx="2">
                  <c:v>2012</c:v>
                </c:pt>
                <c:pt idx="3">
                  <c:v>2013</c:v>
                </c:pt>
                <c:pt idx="4">
                  <c:v>2014</c:v>
                </c:pt>
                <c:pt idx="5">
                  <c:v>2015</c:v>
                </c:pt>
              </c:strCache>
            </c:strRef>
          </c:cat>
          <c:val>
            <c:numRef>
              <c:f>'Strateg tablica'!$I$49:$N$49</c:f>
              <c:numCache>
                <c:formatCode>General</c:formatCode>
                <c:ptCount val="6"/>
                <c:pt idx="0">
                  <c:v>45</c:v>
                </c:pt>
                <c:pt idx="1">
                  <c:v>45</c:v>
                </c:pt>
                <c:pt idx="2">
                  <c:v>45</c:v>
                </c:pt>
                <c:pt idx="3">
                  <c:v>45</c:v>
                </c:pt>
                <c:pt idx="4">
                  <c:v>45</c:v>
                </c:pt>
                <c:pt idx="5">
                  <c:v>45</c:v>
                </c:pt>
              </c:numCache>
            </c:numRef>
          </c:val>
          <c:smooth val="0"/>
        </c:ser>
        <c:dLbls>
          <c:showLegendKey val="0"/>
          <c:showVal val="0"/>
          <c:showCatName val="0"/>
          <c:showSerName val="0"/>
          <c:showPercent val="0"/>
          <c:showBubbleSize val="0"/>
        </c:dLbls>
        <c:smooth val="0"/>
        <c:axId val="281170088"/>
        <c:axId val="281172048"/>
      </c:lineChart>
      <c:catAx>
        <c:axId val="281170088"/>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81172048"/>
        <c:crosses val="autoZero"/>
        <c:auto val="1"/>
        <c:lblAlgn val="ctr"/>
        <c:lblOffset val="100"/>
        <c:noMultiLvlLbl val="0"/>
      </c:catAx>
      <c:valAx>
        <c:axId val="281172048"/>
        <c:scaling>
          <c:orientation val="minMax"/>
          <c:min val="40"/>
        </c:scaling>
        <c:delete val="0"/>
        <c:axPos val="l"/>
        <c:majorGridlines/>
        <c:title>
          <c:tx>
            <c:rich>
              <a:bodyPr/>
              <a:lstStyle/>
              <a:p>
                <a:pPr>
                  <a:defRPr/>
                </a:pPr>
                <a:r>
                  <a:rPr lang="pl-PL"/>
                  <a:t>%</a:t>
                </a:r>
              </a:p>
            </c:rich>
          </c:tx>
          <c:layout/>
          <c:overlay val="0"/>
        </c:title>
        <c:numFmt formatCode="General" sourceLinked="1"/>
        <c:majorTickMark val="out"/>
        <c:minorTickMark val="none"/>
        <c:tickLblPos val="nextTo"/>
        <c:crossAx val="281170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b="0"/>
              <a:t>Forest cover</a:t>
            </a:r>
          </a:p>
        </c:rich>
      </c:tx>
      <c:layout/>
      <c:overlay val="0"/>
    </c:title>
    <c:autoTitleDeleted val="0"/>
    <c:plotArea>
      <c:layout/>
      <c:lineChart>
        <c:grouping val="standard"/>
        <c:varyColors val="0"/>
        <c:ser>
          <c:idx val="0"/>
          <c:order val="0"/>
          <c:tx>
            <c:strRef>
              <c:f>'Strateg tablica'!$A$7</c:f>
              <c:strCache>
                <c:ptCount val="1"/>
                <c:pt idx="0">
                  <c:v>Forest cover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tablica'!$I$7:$P$7</c:f>
              <c:numCache>
                <c:formatCode>General</c:formatCode>
                <c:ptCount val="8"/>
                <c:pt idx="0">
                  <c:v>29.2</c:v>
                </c:pt>
                <c:pt idx="1">
                  <c:v>29.2</c:v>
                </c:pt>
                <c:pt idx="2">
                  <c:v>29.3</c:v>
                </c:pt>
                <c:pt idx="3">
                  <c:v>29.4</c:v>
                </c:pt>
                <c:pt idx="4">
                  <c:v>29.4</c:v>
                </c:pt>
                <c:pt idx="5">
                  <c:v>29.5</c:v>
                </c:pt>
                <c:pt idx="6">
                  <c:v>29.5</c:v>
                </c:pt>
                <c:pt idx="7">
                  <c:v>29.6</c:v>
                </c:pt>
              </c:numCache>
            </c:numRef>
          </c:val>
          <c:smooth val="0"/>
        </c:ser>
        <c:ser>
          <c:idx val="1"/>
          <c:order val="1"/>
          <c:tx>
            <c:strRef>
              <c:f>'Strateg tablica'!$A$8</c:f>
              <c:strCache>
                <c:ptCount val="1"/>
                <c:pt idx="0">
                  <c:v>Target value in 2020</c:v>
                </c:pt>
              </c:strCache>
            </c:strRef>
          </c:tx>
          <c:marker>
            <c:symbol val="none"/>
          </c:marker>
          <c:dLbls>
            <c:dLbl>
              <c:idx val="0"/>
              <c:layout/>
              <c:dLblPos val="l"/>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tablica'!$I$1:$P$2</c:f>
              <c:strCache>
                <c:ptCount val="8"/>
                <c:pt idx="0">
                  <c:v>2010</c:v>
                </c:pt>
                <c:pt idx="1">
                  <c:v>2011</c:v>
                </c:pt>
                <c:pt idx="2">
                  <c:v>2012</c:v>
                </c:pt>
                <c:pt idx="3">
                  <c:v>2013</c:v>
                </c:pt>
                <c:pt idx="4">
                  <c:v>2014</c:v>
                </c:pt>
                <c:pt idx="5">
                  <c:v>2015</c:v>
                </c:pt>
                <c:pt idx="6">
                  <c:v>2016</c:v>
                </c:pt>
                <c:pt idx="7">
                  <c:v>2017</c:v>
                </c:pt>
              </c:strCache>
            </c:strRef>
          </c:cat>
          <c:val>
            <c:numRef>
              <c:f>'Strateg tablica'!$I$8:$P$8</c:f>
              <c:numCache>
                <c:formatCode>General</c:formatCode>
                <c:ptCount val="8"/>
                <c:pt idx="0">
                  <c:v>30</c:v>
                </c:pt>
                <c:pt idx="1">
                  <c:v>30</c:v>
                </c:pt>
                <c:pt idx="2">
                  <c:v>30</c:v>
                </c:pt>
                <c:pt idx="3">
                  <c:v>30</c:v>
                </c:pt>
                <c:pt idx="4">
                  <c:v>30</c:v>
                </c:pt>
                <c:pt idx="5">
                  <c:v>30</c:v>
                </c:pt>
                <c:pt idx="6">
                  <c:v>30</c:v>
                </c:pt>
                <c:pt idx="7">
                  <c:v>30</c:v>
                </c:pt>
              </c:numCache>
            </c:numRef>
          </c:val>
          <c:smooth val="0"/>
        </c:ser>
        <c:dLbls>
          <c:showLegendKey val="0"/>
          <c:showVal val="0"/>
          <c:showCatName val="0"/>
          <c:showSerName val="0"/>
          <c:showPercent val="0"/>
          <c:showBubbleSize val="0"/>
        </c:dLbls>
        <c:marker val="1"/>
        <c:smooth val="0"/>
        <c:axId val="281168520"/>
        <c:axId val="281166560"/>
      </c:lineChart>
      <c:catAx>
        <c:axId val="281168520"/>
        <c:scaling>
          <c:orientation val="minMax"/>
        </c:scaling>
        <c:delete val="0"/>
        <c:axPos val="b"/>
        <c:title>
          <c:tx>
            <c:rich>
              <a:bodyPr/>
              <a:lstStyle/>
              <a:p>
                <a:pPr>
                  <a:defRPr/>
                </a:pPr>
                <a:r>
                  <a:rPr lang="pl-PL"/>
                  <a:t>Year</a:t>
                </a:r>
              </a:p>
            </c:rich>
          </c:tx>
          <c:layout/>
          <c:overlay val="0"/>
        </c:title>
        <c:numFmt formatCode="General" sourceLinked="0"/>
        <c:majorTickMark val="none"/>
        <c:minorTickMark val="none"/>
        <c:tickLblPos val="nextTo"/>
        <c:crossAx val="281166560"/>
        <c:crosses val="autoZero"/>
        <c:auto val="1"/>
        <c:lblAlgn val="ctr"/>
        <c:lblOffset val="100"/>
        <c:noMultiLvlLbl val="0"/>
      </c:catAx>
      <c:valAx>
        <c:axId val="281166560"/>
        <c:scaling>
          <c:orientation val="minMax"/>
        </c:scaling>
        <c:delete val="0"/>
        <c:axPos val="l"/>
        <c:majorGridlines/>
        <c:title>
          <c:tx>
            <c:rich>
              <a:bodyPr/>
              <a:lstStyle/>
              <a:p>
                <a:pPr>
                  <a:defRPr/>
                </a:pPr>
                <a:r>
                  <a:rPr lang="pl-PL"/>
                  <a:t>%</a:t>
                </a:r>
              </a:p>
            </c:rich>
          </c:tx>
          <c:layout/>
          <c:overlay val="0"/>
        </c:title>
        <c:numFmt formatCode="General" sourceLinked="1"/>
        <c:majorTickMark val="out"/>
        <c:minorTickMark val="none"/>
        <c:tickLblPos val="nextTo"/>
        <c:crossAx val="281168520"/>
        <c:crosses val="autoZero"/>
        <c:crossBetween val="between"/>
      </c:valAx>
    </c:plotArea>
    <c:legend>
      <c:legendPos val="b"/>
      <c:legendEntry>
        <c:idx val="2"/>
        <c:delete val="1"/>
      </c:legendEntry>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A899-E321-45C3-92CB-2CC31DA8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3830</Words>
  <Characters>22986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2019-11-13T11:08:00Z</dcterms:created>
  <dcterms:modified xsi:type="dcterms:W3CDTF">2019-12-09T13:53:00Z</dcterms:modified>
</cp:coreProperties>
</file>