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F8AA7" w14:textId="4727101F" w:rsidR="00971BC1" w:rsidRPr="001E6E11" w:rsidRDefault="00971BC1" w:rsidP="00971BC1">
      <w:pPr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E6E1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Załącznik nr 1 </w:t>
      </w:r>
    </w:p>
    <w:p w14:paraId="0B38AA5B" w14:textId="5AD26C89" w:rsidR="001E6E11" w:rsidRPr="009D3D78" w:rsidRDefault="00971BC1" w:rsidP="001E6E11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D3D7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do Sprawozdania z </w:t>
      </w:r>
      <w:r w:rsidR="001E6E11" w:rsidRPr="009D3D78">
        <w:rPr>
          <w:rFonts w:ascii="Times New Roman" w:hAnsi="Times New Roman" w:cs="Times New Roman"/>
          <w:b/>
          <w:color w:val="0070C0"/>
          <w:sz w:val="28"/>
          <w:szCs w:val="28"/>
        </w:rPr>
        <w:t>r</w:t>
      </w:r>
      <w:r w:rsidRPr="009D3D7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ealizacji </w:t>
      </w:r>
    </w:p>
    <w:p w14:paraId="6A177CB2" w14:textId="77777777" w:rsidR="001E6E11" w:rsidRPr="009D3D78" w:rsidRDefault="001E6E11" w:rsidP="001E6E11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D3D7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Krajowego planu gospodarki odpadami </w:t>
      </w:r>
    </w:p>
    <w:p w14:paraId="202D58A6" w14:textId="77777777" w:rsidR="001E6E11" w:rsidRPr="009D3D78" w:rsidRDefault="001E6E11" w:rsidP="001E6E11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D3D7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za okres od dnia 1 stycznia 2014 r. </w:t>
      </w:r>
    </w:p>
    <w:p w14:paraId="55B0EAAF" w14:textId="66993FB1" w:rsidR="001E6E11" w:rsidRPr="009D3D78" w:rsidRDefault="001E6E11" w:rsidP="001E6E11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D3D78">
        <w:rPr>
          <w:rFonts w:ascii="Times New Roman" w:hAnsi="Times New Roman" w:cs="Times New Roman"/>
          <w:b/>
          <w:color w:val="0070C0"/>
          <w:sz w:val="28"/>
          <w:szCs w:val="28"/>
        </w:rPr>
        <w:t>do dnia 31 grudnia 2016 r.</w:t>
      </w:r>
    </w:p>
    <w:p w14:paraId="658B4DD7" w14:textId="484CEA83" w:rsidR="00971BC1" w:rsidRDefault="00971BC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CD8D04" w14:textId="08D6A246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C1852" w14:textId="2985360A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6F49F" w14:textId="154BFD95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BFD32" w14:textId="02D170C9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0917B" w14:textId="6DC75C0F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3A5A9" w14:textId="2D9E7177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3B21B" w14:textId="59B9871C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13176" w14:textId="56D0B8C1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CAE10" w14:textId="260670A7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C8052" w14:textId="7600C1A3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118387" w14:textId="6EDA7A0A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8B164" w14:textId="77777777" w:rsidR="001E6E11" w:rsidRPr="001E6E11" w:rsidRDefault="001E6E11" w:rsidP="001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B0B54" w14:textId="7C2759C4" w:rsidR="00971BC1" w:rsidRDefault="00971BC1" w:rsidP="001E6E11">
      <w:pPr>
        <w:spacing w:after="0" w:line="240" w:lineRule="auto"/>
        <w:rPr>
          <w:rFonts w:ascii="Times New Roman" w:hAnsi="Times New Roman" w:cs="Times New Roman"/>
          <w:b/>
        </w:rPr>
      </w:pPr>
    </w:p>
    <w:p w14:paraId="0CABB11D" w14:textId="2959A29A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</w:rPr>
      </w:pPr>
    </w:p>
    <w:p w14:paraId="01B34AC3" w14:textId="3C2C7E9B" w:rsidR="001E6E11" w:rsidRPr="001E6E11" w:rsidRDefault="001E6E11" w:rsidP="001E6E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E11">
        <w:rPr>
          <w:rFonts w:ascii="Times New Roman" w:hAnsi="Times New Roman" w:cs="Times New Roman"/>
          <w:b/>
          <w:sz w:val="36"/>
          <w:szCs w:val="36"/>
        </w:rPr>
        <w:t>Stan realizacji zadań</w:t>
      </w:r>
    </w:p>
    <w:p w14:paraId="2C0C71E4" w14:textId="77777777" w:rsidR="001E6E11" w:rsidRPr="001E6E11" w:rsidRDefault="001E6E11" w:rsidP="001E6E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E11">
        <w:rPr>
          <w:rFonts w:ascii="Times New Roman" w:hAnsi="Times New Roman" w:cs="Times New Roman"/>
          <w:b/>
          <w:sz w:val="36"/>
          <w:szCs w:val="36"/>
        </w:rPr>
        <w:t>wynikających z Kpgo 2014 i Kpgo 2022</w:t>
      </w:r>
    </w:p>
    <w:p w14:paraId="39347690" w14:textId="1A9B9E83" w:rsidR="001E6E11" w:rsidRPr="001E6E11" w:rsidRDefault="001E6E11" w:rsidP="001E6E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E11">
        <w:rPr>
          <w:rFonts w:ascii="Times New Roman" w:hAnsi="Times New Roman" w:cs="Times New Roman"/>
          <w:b/>
          <w:sz w:val="36"/>
          <w:szCs w:val="36"/>
        </w:rPr>
        <w:t>przewidywanych do realizacji w latach 2014 – 2016</w:t>
      </w:r>
    </w:p>
    <w:p w14:paraId="6EBFBB92" w14:textId="5117F958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</w:rPr>
      </w:pPr>
    </w:p>
    <w:p w14:paraId="1FC5918B" w14:textId="34A61DB4" w:rsidR="001E6E11" w:rsidRDefault="001E6E11" w:rsidP="001E6E11">
      <w:pPr>
        <w:spacing w:after="0" w:line="240" w:lineRule="auto"/>
        <w:rPr>
          <w:rFonts w:ascii="Times New Roman" w:hAnsi="Times New Roman" w:cs="Times New Roman"/>
          <w:b/>
        </w:rPr>
      </w:pPr>
    </w:p>
    <w:p w14:paraId="63CE49F2" w14:textId="77777777" w:rsidR="00CD3798" w:rsidRDefault="00CD3798" w:rsidP="001E6E11">
      <w:pPr>
        <w:spacing w:after="0" w:line="240" w:lineRule="auto"/>
        <w:rPr>
          <w:rFonts w:ascii="Times New Roman" w:hAnsi="Times New Roman" w:cs="Times New Roman"/>
          <w:b/>
        </w:rPr>
      </w:pPr>
    </w:p>
    <w:p w14:paraId="3C1C536E" w14:textId="49537C80" w:rsidR="00971BC1" w:rsidRDefault="00971BC1" w:rsidP="007002A3">
      <w:pPr>
        <w:rPr>
          <w:rFonts w:ascii="Times New Roman" w:hAnsi="Times New Roman" w:cs="Times New Roman"/>
          <w:b/>
        </w:rPr>
      </w:pPr>
    </w:p>
    <w:p w14:paraId="22DC2666" w14:textId="77777777" w:rsidR="00971BC1" w:rsidRDefault="00971BC1" w:rsidP="007002A3">
      <w:pPr>
        <w:rPr>
          <w:rFonts w:ascii="Times New Roman" w:hAnsi="Times New Roman" w:cs="Times New Roman"/>
          <w:b/>
        </w:rPr>
        <w:sectPr w:rsidR="00971BC1" w:rsidSect="00705814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8BA5B1D" w14:textId="19661061" w:rsidR="00705814" w:rsidRPr="00705814" w:rsidRDefault="001E6E11" w:rsidP="007002A3">
      <w:pPr>
        <w:rPr>
          <w:rFonts w:ascii="Times New Roman" w:hAnsi="Times New Roman" w:cs="Times New Roman"/>
          <w:b/>
          <w:sz w:val="24"/>
          <w:szCs w:val="24"/>
        </w:rPr>
      </w:pPr>
      <w:r w:rsidRPr="007058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1. </w:t>
      </w:r>
    </w:p>
    <w:p w14:paraId="2D98E89D" w14:textId="3E78D859" w:rsidR="007002A3" w:rsidRPr="00705814" w:rsidRDefault="007002A3" w:rsidP="007002A3">
      <w:pPr>
        <w:rPr>
          <w:rFonts w:ascii="Times New Roman" w:hAnsi="Times New Roman" w:cs="Times New Roman"/>
          <w:b/>
          <w:sz w:val="24"/>
          <w:szCs w:val="24"/>
        </w:rPr>
      </w:pPr>
      <w:r w:rsidRPr="00705814">
        <w:rPr>
          <w:rFonts w:ascii="Times New Roman" w:hAnsi="Times New Roman" w:cs="Times New Roman"/>
          <w:b/>
          <w:sz w:val="24"/>
          <w:szCs w:val="24"/>
        </w:rPr>
        <w:t>Zestawienie informacji na temat stanu realizacji zadań wynikających z Kpgo 2014 i Kpgo 2022</w:t>
      </w:r>
      <w:r w:rsidR="007D0C3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05814">
        <w:rPr>
          <w:rFonts w:ascii="Times New Roman" w:hAnsi="Times New Roman" w:cs="Times New Roman"/>
          <w:b/>
          <w:sz w:val="24"/>
          <w:szCs w:val="24"/>
        </w:rPr>
        <w:t xml:space="preserve">przewidywanych do realizacji w latach 2014 – 2016 </w:t>
      </w:r>
    </w:p>
    <w:tbl>
      <w:tblPr>
        <w:tblStyle w:val="Tabela-Siatka"/>
        <w:tblW w:w="148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3401"/>
        <w:gridCol w:w="1985"/>
        <w:gridCol w:w="1676"/>
        <w:gridCol w:w="1559"/>
        <w:gridCol w:w="5670"/>
      </w:tblGrid>
      <w:tr w:rsidR="00794FB2" w:rsidRPr="00CC20C7" w14:paraId="7CF37D86" w14:textId="77777777" w:rsidTr="00553DF5">
        <w:trPr>
          <w:tblHeader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32027EDE" w14:textId="46881080" w:rsidR="00794FB2" w:rsidRPr="00CC20C7" w:rsidRDefault="00553DF5" w:rsidP="00553DF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4C9D488" w14:textId="77777777" w:rsidR="00794FB2" w:rsidRPr="00CC20C7" w:rsidRDefault="00794FB2" w:rsidP="00CC20C7">
            <w:pPr>
              <w:spacing w:after="120"/>
              <w:jc w:val="center"/>
              <w:rPr>
                <w:b/>
              </w:rPr>
            </w:pPr>
            <w:r w:rsidRPr="00CC20C7">
              <w:rPr>
                <w:b/>
              </w:rPr>
              <w:t>Nazwa działania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EB1CA0" w14:textId="77777777" w:rsidR="00794FB2" w:rsidRPr="00CC20C7" w:rsidRDefault="00794FB2" w:rsidP="002253D7">
            <w:pPr>
              <w:spacing w:after="120"/>
              <w:jc w:val="center"/>
              <w:rPr>
                <w:b/>
              </w:rPr>
            </w:pPr>
            <w:r w:rsidRPr="00CC20C7">
              <w:rPr>
                <w:b/>
              </w:rPr>
              <w:t>Organ/instytucja wykonująca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6FB6214E" w14:textId="77777777" w:rsidR="00794FB2" w:rsidRPr="00CC20C7" w:rsidRDefault="00794FB2" w:rsidP="002253D7">
            <w:pPr>
              <w:spacing w:after="120"/>
              <w:jc w:val="center"/>
              <w:rPr>
                <w:b/>
              </w:rPr>
            </w:pPr>
            <w:r w:rsidRPr="00CC20C7">
              <w:rPr>
                <w:b/>
              </w:rPr>
              <w:t>Termin realizacji</w:t>
            </w:r>
            <w:r>
              <w:rPr>
                <w:b/>
              </w:rPr>
              <w:t xml:space="preserve"> wynikający z Kpgo2014/</w:t>
            </w:r>
            <w:proofErr w:type="spellStart"/>
            <w:r>
              <w:rPr>
                <w:b/>
              </w:rPr>
              <w:t>Kpzpo</w:t>
            </w:r>
            <w:proofErr w:type="spellEnd"/>
            <w:r>
              <w:rPr>
                <w:b/>
              </w:rPr>
              <w:t>/Kpgo2022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289EDA" w14:textId="77777777" w:rsidR="00794FB2" w:rsidRPr="00CC20C7" w:rsidRDefault="00794FB2" w:rsidP="00F91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9167A">
              <w:rPr>
                <w:b/>
                <w:bCs/>
              </w:rPr>
              <w:t>Nr i pkt tabeli zawartej w Kpgo2014/</w:t>
            </w:r>
            <w:proofErr w:type="spellStart"/>
            <w:r w:rsidRPr="00F9167A">
              <w:rPr>
                <w:b/>
                <w:bCs/>
              </w:rPr>
              <w:t>Kpzpo</w:t>
            </w:r>
            <w:proofErr w:type="spellEnd"/>
            <w:r w:rsidRPr="00F9167A">
              <w:rPr>
                <w:b/>
                <w:bCs/>
              </w:rPr>
              <w:t>/Kpgo2022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6662F23A" w14:textId="77777777" w:rsidR="00794FB2" w:rsidRPr="00CC20C7" w:rsidRDefault="00B02220" w:rsidP="00CC20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Stan realizacji</w:t>
            </w:r>
          </w:p>
        </w:tc>
      </w:tr>
      <w:tr w:rsidR="00794FB2" w:rsidRPr="00553DF5" w14:paraId="00ED9CA9" w14:textId="77777777" w:rsidTr="00553DF5">
        <w:trPr>
          <w:tblHeader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24237172" w14:textId="77777777" w:rsidR="00794FB2" w:rsidRPr="00553DF5" w:rsidRDefault="00794FB2" w:rsidP="00553DF5">
            <w:pPr>
              <w:jc w:val="center"/>
              <w:rPr>
                <w:b/>
                <w:i/>
              </w:rPr>
            </w:pPr>
            <w:r w:rsidRPr="00553DF5">
              <w:rPr>
                <w:b/>
                <w:i/>
              </w:rPr>
              <w:t>1.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EC3EE50" w14:textId="77777777" w:rsidR="00794FB2" w:rsidRPr="00553DF5" w:rsidRDefault="00794FB2" w:rsidP="00553DF5">
            <w:pPr>
              <w:jc w:val="center"/>
              <w:rPr>
                <w:b/>
                <w:i/>
              </w:rPr>
            </w:pPr>
            <w:r w:rsidRPr="00553DF5">
              <w:rPr>
                <w:b/>
                <w:i/>
              </w:rPr>
              <w:t>2.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9A7357" w14:textId="77777777" w:rsidR="00794FB2" w:rsidRPr="00553DF5" w:rsidRDefault="00794FB2" w:rsidP="00553DF5">
            <w:pPr>
              <w:jc w:val="center"/>
              <w:rPr>
                <w:b/>
                <w:i/>
              </w:rPr>
            </w:pPr>
            <w:r w:rsidRPr="00553DF5">
              <w:rPr>
                <w:b/>
                <w:i/>
              </w:rPr>
              <w:t>3.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6947A93E" w14:textId="77777777" w:rsidR="00794FB2" w:rsidRPr="00553DF5" w:rsidRDefault="00794FB2" w:rsidP="00553DF5">
            <w:pPr>
              <w:jc w:val="center"/>
              <w:rPr>
                <w:b/>
                <w:i/>
              </w:rPr>
            </w:pPr>
            <w:r w:rsidRPr="00553DF5">
              <w:rPr>
                <w:b/>
                <w:i/>
              </w:rPr>
              <w:t>4.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34AB27" w14:textId="77777777" w:rsidR="00794FB2" w:rsidRPr="00553DF5" w:rsidRDefault="00794FB2" w:rsidP="00553DF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553DF5">
              <w:rPr>
                <w:b/>
                <w:i/>
              </w:rPr>
              <w:t>6.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6896EC21" w14:textId="77777777" w:rsidR="00794FB2" w:rsidRPr="00553DF5" w:rsidRDefault="00794FB2" w:rsidP="00553DF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553DF5">
              <w:rPr>
                <w:b/>
                <w:bCs/>
                <w:i/>
              </w:rPr>
              <w:t>7.</w:t>
            </w:r>
          </w:p>
        </w:tc>
      </w:tr>
      <w:tr w:rsidR="006744CA" w:rsidRPr="00617C3C" w14:paraId="0C52E30F" w14:textId="77777777" w:rsidTr="00553DF5">
        <w:trPr>
          <w:trHeight w:val="3233"/>
        </w:trPr>
        <w:tc>
          <w:tcPr>
            <w:tcW w:w="539" w:type="dxa"/>
          </w:tcPr>
          <w:p w14:paraId="369FBDBC" w14:textId="77777777" w:rsidR="006744CA" w:rsidRPr="00B30A50" w:rsidRDefault="006744CA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293EB3EF" w14:textId="721473C0" w:rsidR="006744CA" w:rsidRPr="00F357B5" w:rsidRDefault="006744CA" w:rsidP="00910063">
            <w:pPr>
              <w:jc w:val="both"/>
              <w:rPr>
                <w:i/>
              </w:rPr>
            </w:pPr>
            <w:r w:rsidRPr="00F357B5">
              <w:t xml:space="preserve">Utworzenie i uruchomienie Bazy danych o produktach, opakowaniach i gospodarce odpadami (BDO) </w:t>
            </w:r>
            <w:r w:rsidRPr="00F357B5">
              <w:rPr>
                <w:i/>
              </w:rPr>
              <w:t>(Kontynuacja realizacji zadania wskazanego w Krajowym planie gospodarki odpadami 2010)</w:t>
            </w:r>
          </w:p>
          <w:p w14:paraId="6CC82B91" w14:textId="77777777" w:rsidR="006744CA" w:rsidRPr="00F357B5" w:rsidRDefault="006744CA" w:rsidP="00910063">
            <w:pPr>
              <w:jc w:val="both"/>
            </w:pPr>
          </w:p>
        </w:tc>
        <w:tc>
          <w:tcPr>
            <w:tcW w:w="1985" w:type="dxa"/>
          </w:tcPr>
          <w:p w14:paraId="563C5588" w14:textId="77777777" w:rsidR="006744CA" w:rsidRPr="006744CA" w:rsidRDefault="006744CA" w:rsidP="002253D7">
            <w:pPr>
              <w:rPr>
                <w:i/>
              </w:rPr>
            </w:pPr>
            <w:r w:rsidRPr="00F357B5">
              <w:t xml:space="preserve">Organ wyznaczony przez Ministra właściwego do spraw środowiska, marszałkowie województw </w:t>
            </w:r>
            <w:r w:rsidRPr="00F357B5">
              <w:rPr>
                <w:i/>
              </w:rPr>
              <w:t xml:space="preserve">(w przypadku marszałków województw współpraca przy funkcjonowaniu bazy poprzez wprowadzanie </w:t>
            </w:r>
            <w:r>
              <w:rPr>
                <w:i/>
              </w:rPr>
              <w:br/>
            </w:r>
            <w:r w:rsidRPr="00F357B5">
              <w:rPr>
                <w:i/>
              </w:rPr>
              <w:t>i weryfikację danych)</w:t>
            </w:r>
          </w:p>
        </w:tc>
        <w:tc>
          <w:tcPr>
            <w:tcW w:w="1676" w:type="dxa"/>
          </w:tcPr>
          <w:p w14:paraId="63AA25FC" w14:textId="77777777" w:rsidR="006744CA" w:rsidRPr="00F357B5" w:rsidRDefault="006744CA" w:rsidP="002253D7">
            <w:r w:rsidRPr="00F357B5">
              <w:t>2011-2013</w:t>
            </w:r>
          </w:p>
          <w:p w14:paraId="7B02031F" w14:textId="77777777" w:rsidR="006744CA" w:rsidRPr="00F357B5" w:rsidRDefault="006744CA" w:rsidP="002253D7"/>
        </w:tc>
        <w:tc>
          <w:tcPr>
            <w:tcW w:w="1559" w:type="dxa"/>
          </w:tcPr>
          <w:p w14:paraId="173EBB31" w14:textId="77777777" w:rsidR="006744CA" w:rsidRPr="00F9167A" w:rsidRDefault="006744CA" w:rsidP="00F9167A">
            <w:r w:rsidRPr="00F9167A">
              <w:t>Tab. 39 poz. 1</w:t>
            </w:r>
          </w:p>
          <w:p w14:paraId="5CA01540" w14:textId="77777777" w:rsidR="006744CA" w:rsidRPr="00F9167A" w:rsidRDefault="006744CA" w:rsidP="00F9167A">
            <w:r w:rsidRPr="00F9167A">
              <w:t>w Kpgo 2014</w:t>
            </w:r>
          </w:p>
          <w:p w14:paraId="60AA5FFB" w14:textId="77777777" w:rsidR="006744CA" w:rsidRPr="00F9167A" w:rsidRDefault="006744CA" w:rsidP="00F9167A"/>
        </w:tc>
        <w:tc>
          <w:tcPr>
            <w:tcW w:w="5670" w:type="dxa"/>
          </w:tcPr>
          <w:p w14:paraId="03311081" w14:textId="2C892934" w:rsidR="006744CA" w:rsidRPr="002873E5" w:rsidRDefault="0041735F" w:rsidP="00AC6E14">
            <w:pPr>
              <w:jc w:val="both"/>
            </w:pPr>
            <w:r w:rsidRPr="002873E5">
              <w:t>Decyzją z dnia 5 lutego 2016 r. Minister Środowiska wyznaczył Głównego Inspektora Ochrony Środowiska do utworzenia i administrowania BDO.</w:t>
            </w:r>
            <w:r w:rsidR="00AC6E14">
              <w:t xml:space="preserve"> </w:t>
            </w:r>
            <w:r w:rsidRPr="002873E5">
              <w:t>Opracowano koncepcję bazy danych o produktach, opakowaniach i gospodarce odpadami. Podjęcie dalszych działań w tym zakresie wymagało zakończenia prac legislacyjnych w sprawie zmiany ustawy o odpadach</w:t>
            </w:r>
            <w:r w:rsidR="00AC6E14">
              <w:t>.</w:t>
            </w:r>
          </w:p>
        </w:tc>
      </w:tr>
      <w:tr w:rsidR="00600FEC" w:rsidRPr="00CC20C7" w14:paraId="3F2B168A" w14:textId="77777777" w:rsidTr="00553DF5">
        <w:tc>
          <w:tcPr>
            <w:tcW w:w="539" w:type="dxa"/>
            <w:shd w:val="clear" w:color="auto" w:fill="auto"/>
          </w:tcPr>
          <w:p w14:paraId="62DD60C9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61D6E18A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>Opracowanie i wdrożenie BDO, umożliwiającej monitoring wdrażania ZPO.</w:t>
            </w:r>
          </w:p>
        </w:tc>
        <w:tc>
          <w:tcPr>
            <w:tcW w:w="1985" w:type="dxa"/>
            <w:shd w:val="clear" w:color="auto" w:fill="auto"/>
          </w:tcPr>
          <w:p w14:paraId="0B975695" w14:textId="77777777" w:rsidR="00600FEC" w:rsidRPr="00CC20C7" w:rsidRDefault="00600FEC" w:rsidP="002253D7">
            <w:pPr>
              <w:spacing w:after="120"/>
            </w:pPr>
            <w:r w:rsidRPr="00CC20C7">
              <w:t>Główny Inspektor Ochrony Środowiska</w:t>
            </w:r>
          </w:p>
        </w:tc>
        <w:tc>
          <w:tcPr>
            <w:tcW w:w="1676" w:type="dxa"/>
            <w:shd w:val="clear" w:color="auto" w:fill="auto"/>
          </w:tcPr>
          <w:p w14:paraId="47E157BD" w14:textId="77777777" w:rsidR="00600FEC" w:rsidRPr="00CC20C7" w:rsidRDefault="00600FEC" w:rsidP="002253D7">
            <w:pPr>
              <w:spacing w:after="120"/>
            </w:pPr>
            <w:r w:rsidRPr="00CC20C7">
              <w:t>do 2018 r.</w:t>
            </w:r>
          </w:p>
        </w:tc>
        <w:tc>
          <w:tcPr>
            <w:tcW w:w="1559" w:type="dxa"/>
          </w:tcPr>
          <w:p w14:paraId="4A4CBC1D" w14:textId="24FE762D" w:rsidR="00600FEC" w:rsidRPr="00CC20C7" w:rsidRDefault="00600FEC" w:rsidP="00AC6E14">
            <w:pPr>
              <w:spacing w:after="120"/>
            </w:pPr>
            <w:r w:rsidRPr="00F9167A">
              <w:t xml:space="preserve">Tab. 44 poz. 1 </w:t>
            </w:r>
            <w:r w:rsidRPr="00F9167A">
              <w:br/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7CD980B2" w14:textId="77777777" w:rsidR="00600FEC" w:rsidRPr="002873E5" w:rsidRDefault="00600FEC" w:rsidP="00DE3569">
            <w:pPr>
              <w:spacing w:after="120"/>
              <w:jc w:val="both"/>
            </w:pPr>
            <w:r w:rsidRPr="002873E5">
              <w:t xml:space="preserve">Decyzją Ministra Środowiska z dnia 19 lipca 2017 r. zadanie dotyczące utworzenia BDO zostało przejęte przez Ministerstwo Środowiska. </w:t>
            </w:r>
          </w:p>
        </w:tc>
      </w:tr>
      <w:tr w:rsidR="00600FEC" w:rsidRPr="00617C3C" w14:paraId="6F0E4172" w14:textId="77777777" w:rsidTr="00553DF5">
        <w:tc>
          <w:tcPr>
            <w:tcW w:w="539" w:type="dxa"/>
          </w:tcPr>
          <w:p w14:paraId="730C78EE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408849A2" w14:textId="77777777" w:rsidR="00600FEC" w:rsidRPr="00617C3C" w:rsidRDefault="00600FEC" w:rsidP="00910063">
            <w:pPr>
              <w:jc w:val="both"/>
              <w:rPr>
                <w:iCs/>
              </w:rPr>
            </w:pPr>
            <w:r w:rsidRPr="00617C3C">
              <w:rPr>
                <w:iCs/>
              </w:rPr>
              <w:t xml:space="preserve">Uwzględnianie w przetargach publicznych, poprzez zapisy w specyfikacji istotnych warunków zamówienia, zakupów wyrobów zawierających materiały lub substancje pochodzące z recyklingu odpadów; włączanie do procedur zamówień publicznych kryteriów, związanych z ochroną środowiska i zapobieganiem </w:t>
            </w:r>
            <w:r w:rsidRPr="00617C3C">
              <w:rPr>
                <w:iCs/>
              </w:rPr>
              <w:lastRenderedPageBreak/>
              <w:t>powstawaniu odpadów, przy czym w przypadku resortu Obrony Narodowej tylko w obszarach niemających bezpośredniego wpływu na zdolność bojową Sił Zbrojnych RP, z pełnym uwzględnieniem obowiązującego prawodawstwa ochrony środowiska (</w:t>
            </w:r>
            <w:r w:rsidRPr="00617C3C">
              <w:rPr>
                <w:i/>
              </w:rPr>
              <w:t>Kontynuacja realizacji zadania wskazanego w Krajowym planie gospodarki odpadami 2010</w:t>
            </w:r>
            <w:r w:rsidRPr="00617C3C">
              <w:rPr>
                <w:i/>
                <w:iCs/>
              </w:rPr>
              <w:t>).</w:t>
            </w:r>
          </w:p>
        </w:tc>
        <w:tc>
          <w:tcPr>
            <w:tcW w:w="1985" w:type="dxa"/>
          </w:tcPr>
          <w:p w14:paraId="477D9967" w14:textId="77777777" w:rsidR="00600FEC" w:rsidRPr="00617C3C" w:rsidRDefault="00600FEC" w:rsidP="002253D7">
            <w:r w:rsidRPr="00617C3C">
              <w:lastRenderedPageBreak/>
              <w:t>Urzędy administracji publicznej, przedsiębiorcy</w:t>
            </w:r>
          </w:p>
        </w:tc>
        <w:tc>
          <w:tcPr>
            <w:tcW w:w="1676" w:type="dxa"/>
          </w:tcPr>
          <w:p w14:paraId="3872DE2F" w14:textId="77777777" w:rsidR="00600FEC" w:rsidRPr="00617C3C" w:rsidRDefault="00600FEC" w:rsidP="002253D7">
            <w:r w:rsidRPr="00617C3C">
              <w:t>2011-2022</w:t>
            </w:r>
          </w:p>
        </w:tc>
        <w:tc>
          <w:tcPr>
            <w:tcW w:w="1559" w:type="dxa"/>
          </w:tcPr>
          <w:p w14:paraId="29C27BC8" w14:textId="77777777" w:rsidR="00600FEC" w:rsidRDefault="00600FEC" w:rsidP="00910063">
            <w:r w:rsidRPr="00617C3C">
              <w:t>Tab. 39 poz. 2</w:t>
            </w:r>
          </w:p>
          <w:p w14:paraId="25135ECE" w14:textId="77777777" w:rsidR="00600FEC" w:rsidRPr="00617C3C" w:rsidRDefault="00600FEC" w:rsidP="00910063">
            <w:r w:rsidRPr="00001907">
              <w:t>w Kpgo 2014</w:t>
            </w:r>
          </w:p>
        </w:tc>
        <w:tc>
          <w:tcPr>
            <w:tcW w:w="5670" w:type="dxa"/>
          </w:tcPr>
          <w:p w14:paraId="7328D2AF" w14:textId="77777777" w:rsidR="00600FEC" w:rsidRDefault="00600FEC" w:rsidP="00DE3569">
            <w:pPr>
              <w:jc w:val="both"/>
            </w:pPr>
            <w:r>
              <w:t>W Ministerstwie Środowiska z</w:t>
            </w:r>
            <w:r w:rsidRPr="0094536D">
              <w:t>apisy mają zastosowanie do udziela</w:t>
            </w:r>
            <w:r>
              <w:t xml:space="preserve">nych </w:t>
            </w:r>
            <w:r w:rsidRPr="0094536D">
              <w:t xml:space="preserve">zamówień publicznych </w:t>
            </w:r>
            <w:r>
              <w:t>- realizacja zadania jest ciągła.</w:t>
            </w:r>
            <w:r w:rsidRPr="0094536D">
              <w:t xml:space="preserve"> </w:t>
            </w:r>
            <w:r w:rsidRPr="00337D2D">
              <w:t>W postę</w:t>
            </w:r>
            <w:r>
              <w:t xml:space="preserve">powaniach o udzielenie zamówień </w:t>
            </w:r>
            <w:r w:rsidRPr="00337D2D">
              <w:t>publicznych, w których przedmiot na to pozwala, warunkiem koniecznym jest stosowanie zapisów</w:t>
            </w:r>
            <w:r>
              <w:t xml:space="preserve"> </w:t>
            </w:r>
            <w:r w:rsidRPr="00337D2D">
              <w:t>dot. „zielonych zamówień”.</w:t>
            </w:r>
          </w:p>
          <w:p w14:paraId="00277937" w14:textId="77777777" w:rsidR="00600FEC" w:rsidRPr="00251F00" w:rsidRDefault="00600FEC" w:rsidP="00DE3569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eastAsia="Calibri"/>
                <w:bCs/>
              </w:rPr>
            </w:pPr>
            <w:r w:rsidRPr="00251F00">
              <w:rPr>
                <w:rFonts w:eastAsia="Calibri"/>
                <w:bCs/>
              </w:rPr>
              <w:t xml:space="preserve">W szczegółowych opisach przedmiotów zamówienia na zakup i dostarczenie do siedziby zamawiającego materiałów informacyjno-promocyjnych na potrzeby projektów/zadań realizowanych przez </w:t>
            </w:r>
            <w:r w:rsidRPr="00251F00">
              <w:rPr>
                <w:rFonts w:eastAsia="Calibri"/>
                <w:bCs/>
              </w:rPr>
              <w:lastRenderedPageBreak/>
              <w:t>komórkę zajmującą się edukacją ekologiczną zostały zawarte wymagania dot. wykonania materiałów promocyjnych: plastik z surowców wtórnych, papier ekologiczny (z recyklingu), min. 60 % makulatury.</w:t>
            </w:r>
          </w:p>
          <w:p w14:paraId="0561ED5A" w14:textId="77777777" w:rsidR="00600FEC" w:rsidRPr="00251F00" w:rsidRDefault="00600FEC" w:rsidP="00DE3569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eastAsia="Calibri"/>
              </w:rPr>
            </w:pPr>
            <w:r w:rsidRPr="00251F00">
              <w:rPr>
                <w:rFonts w:eastAsia="Calibri"/>
                <w:bCs/>
              </w:rPr>
              <w:t>W ślad za powyższym, w 2015 r. do wewnętrznego dokumentu resortu (tzw. planu komunikacji) wprowadzono zalecenia w postaci zapisu: „</w:t>
            </w:r>
            <w:r w:rsidRPr="00251F00">
              <w:rPr>
                <w:rFonts w:eastAsia="Calibri"/>
              </w:rPr>
              <w:t xml:space="preserve">Ministerstwo promując zrównoważone wzorce konsumpcji będzie ograniczać ilość kupowanych gadżetów, </w:t>
            </w:r>
            <w:r w:rsidRPr="00251F00">
              <w:rPr>
                <w:rFonts w:eastAsia="Calibri"/>
              </w:rPr>
              <w:br/>
              <w:t>jak również będzie propagować idee wykorzystania do produkcji gadżetów materiałów naturalnych/biodegradowalnych, pochodzących z recyclingu lub łatwo poddawanych recyclingowi. Stosując zielone zamówienia publiczne stosowane będą kryteria promujące produkty użytkowe i takie, które w procesie produkcji i transportu powodują możliwie najmniejsze emisje do środowiska”.</w:t>
            </w:r>
          </w:p>
          <w:p w14:paraId="18DB5C48" w14:textId="77777777" w:rsidR="00600FEC" w:rsidRDefault="00600FEC" w:rsidP="00DE3569">
            <w:pPr>
              <w:spacing w:after="60"/>
              <w:jc w:val="both"/>
            </w:pPr>
            <w:r>
              <w:rPr>
                <w:rFonts w:eastAsia="Calibri"/>
                <w:lang w:eastAsia="en-US"/>
              </w:rPr>
              <w:t>W związku z posiadaniem przez</w:t>
            </w:r>
            <w:r w:rsidRPr="00251F00">
              <w:rPr>
                <w:rFonts w:eastAsia="Calibri"/>
                <w:lang w:eastAsia="en-US"/>
              </w:rPr>
              <w:t xml:space="preserve"> Ministerstw</w:t>
            </w:r>
            <w:r>
              <w:rPr>
                <w:rFonts w:eastAsia="Calibri"/>
                <w:lang w:eastAsia="en-US"/>
              </w:rPr>
              <w:t>o</w:t>
            </w:r>
            <w:r w:rsidRPr="00251F00">
              <w:rPr>
                <w:rFonts w:eastAsia="Calibri"/>
                <w:lang w:eastAsia="en-US"/>
              </w:rPr>
              <w:t xml:space="preserve"> Środowiska certyfikatu EMAS, w umowach /zamówieniach pojawia się również zapis: „Wykonawca zapoznał się z treścią Polityki Środowiskowej, zamieszczonej na stronie internetowej Zamawiającego (zakładka Ministerstwo/EMAS w MŚ) oraz że jest świadomy znaczenia zgodności z Polityką przy realizacji postanowień umowy.”</w:t>
            </w:r>
          </w:p>
          <w:p w14:paraId="326FFC0D" w14:textId="68655069" w:rsidR="00600FEC" w:rsidRPr="007B57F8" w:rsidRDefault="00600FEC" w:rsidP="00DE3569">
            <w:pPr>
              <w:jc w:val="both"/>
              <w:rPr>
                <w:u w:val="single"/>
              </w:rPr>
            </w:pPr>
            <w:r>
              <w:t xml:space="preserve">Na podstawie zapytania przesłanego do wybranych jednostek, </w:t>
            </w:r>
            <w:proofErr w:type="spellStart"/>
            <w:r>
              <w:t>t.j</w:t>
            </w:r>
            <w:proofErr w:type="spellEnd"/>
            <w:r>
              <w:t>.</w:t>
            </w:r>
            <w:r w:rsidRPr="006253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25379">
              <w:t>NFOŚiGW, Ministerstw</w:t>
            </w:r>
            <w:r>
              <w:t>a</w:t>
            </w:r>
            <w:r w:rsidRPr="00625379">
              <w:t xml:space="preserve"> Nauki i Szkolnictwa Wyższego, Ministerstw</w:t>
            </w:r>
            <w:r>
              <w:t>a</w:t>
            </w:r>
            <w:r w:rsidRPr="00625379">
              <w:t xml:space="preserve"> Gospodarki Morskiej i Żeglugi Śródlądowej, Ministerstwo Finansów</w:t>
            </w:r>
            <w:r>
              <w:t xml:space="preserve">, GIOŚ, Komendy Głównej Policji, </w:t>
            </w:r>
            <w:r w:rsidRPr="00C34779">
              <w:t>Komendy Głównej</w:t>
            </w:r>
            <w:r>
              <w:t xml:space="preserve"> Państwowej Straży Pożarnej, Ministerstwa Edukacji Narodowej, Ministerstwa </w:t>
            </w:r>
            <w:r w:rsidRPr="007B57F8">
              <w:t>Zdrowia, Ministerstwa Przedsiębiorczości i Technologii, można wskazać, że zadanie w różnym stopniu realizowało 8 spośród nich :</w:t>
            </w:r>
          </w:p>
          <w:p w14:paraId="0D2553BB" w14:textId="3270144F" w:rsidR="00600FEC" w:rsidRDefault="00600FEC" w:rsidP="00DE3569">
            <w:pPr>
              <w:jc w:val="both"/>
            </w:pPr>
            <w:r w:rsidRPr="007B57F8">
              <w:t>NFOŚiGW, Ministerstwo Nauki i Szkolnictwa Wyższego</w:t>
            </w:r>
            <w:r w:rsidRPr="006D759F">
              <w:t xml:space="preserve"> </w:t>
            </w:r>
            <w:r>
              <w:t xml:space="preserve">(oraz </w:t>
            </w:r>
            <w:r w:rsidRPr="003610B9">
              <w:t>Narodowa Agencja Wymiany Akademickiej (</w:t>
            </w:r>
            <w:r>
              <w:t xml:space="preserve">dawniej </w:t>
            </w:r>
            <w:r w:rsidRPr="003610B9">
              <w:t xml:space="preserve">Biuro </w:t>
            </w:r>
            <w:r w:rsidRPr="003610B9">
              <w:lastRenderedPageBreak/>
              <w:t>Uznawalności Wykształcenia i Wymiany Międzynarodowej)</w:t>
            </w:r>
            <w:r>
              <w:t>,</w:t>
            </w:r>
            <w:r w:rsidRPr="00E77B7F">
              <w:t xml:space="preserve"> Ministerstw</w:t>
            </w:r>
            <w:r>
              <w:t>o</w:t>
            </w:r>
            <w:r w:rsidRPr="00E77B7F">
              <w:t xml:space="preserve"> Gospodarki Morskiej i Żeglugi Śródlądowej</w:t>
            </w:r>
            <w:r>
              <w:t xml:space="preserve">, Ministerstwo Finansów, </w:t>
            </w:r>
            <w:r w:rsidRPr="00F565E9">
              <w:t>Komend</w:t>
            </w:r>
            <w:r>
              <w:t>ę</w:t>
            </w:r>
            <w:r w:rsidRPr="00F565E9">
              <w:t xml:space="preserve"> Główn</w:t>
            </w:r>
            <w:r>
              <w:t>ą</w:t>
            </w:r>
            <w:r w:rsidRPr="00F565E9">
              <w:t xml:space="preserve"> Policji, Komend</w:t>
            </w:r>
            <w:r>
              <w:t>ę</w:t>
            </w:r>
            <w:r w:rsidRPr="00F565E9">
              <w:t xml:space="preserve"> Gł</w:t>
            </w:r>
            <w:r>
              <w:t>ówną</w:t>
            </w:r>
            <w:r w:rsidRPr="00F565E9">
              <w:t xml:space="preserve"> Państwowej Straży Pożarnej</w:t>
            </w:r>
            <w:r>
              <w:t xml:space="preserve">, Ministerstwo Zdrowia, </w:t>
            </w:r>
            <w:r w:rsidRPr="005438BA">
              <w:t>Ministerstw</w:t>
            </w:r>
            <w:r>
              <w:t>o</w:t>
            </w:r>
            <w:r w:rsidRPr="005438BA">
              <w:t xml:space="preserve"> Przedsiębiorczości i Technologii</w:t>
            </w:r>
            <w:r>
              <w:t>.</w:t>
            </w:r>
          </w:p>
          <w:p w14:paraId="6C09F653" w14:textId="2B6024E7" w:rsidR="00600FEC" w:rsidRPr="00BD2585" w:rsidRDefault="00600FEC" w:rsidP="00DE3569">
            <w:pPr>
              <w:jc w:val="both"/>
              <w:rPr>
                <w:u w:val="single"/>
              </w:rPr>
            </w:pPr>
            <w:r>
              <w:t xml:space="preserve">Ponadto zadanie było realizowane przez </w:t>
            </w:r>
            <w:proofErr w:type="spellStart"/>
            <w:r>
              <w:t>WFOŚiGW</w:t>
            </w:r>
            <w:proofErr w:type="spellEnd"/>
            <w:r w:rsidR="00AC6E14">
              <w:t>:</w:t>
            </w:r>
            <w:r>
              <w:t xml:space="preserve"> we Wrocławiu, </w:t>
            </w:r>
            <w:r w:rsidRPr="00B64CAC">
              <w:t>w</w:t>
            </w:r>
            <w:r>
              <w:t xml:space="preserve"> Łodzi, </w:t>
            </w:r>
            <w:r w:rsidRPr="00B64CAC">
              <w:t>w</w:t>
            </w:r>
            <w:r>
              <w:t xml:space="preserve"> Krakowie, </w:t>
            </w:r>
            <w:r w:rsidRPr="00B64CAC">
              <w:t>w</w:t>
            </w:r>
            <w:r>
              <w:t xml:space="preserve"> Warszawie, </w:t>
            </w:r>
            <w:r w:rsidRPr="00B64CAC">
              <w:t>w</w:t>
            </w:r>
            <w:r>
              <w:t xml:space="preserve"> Białymstoku, </w:t>
            </w:r>
            <w:r w:rsidRPr="00B64CAC">
              <w:t>w</w:t>
            </w:r>
            <w:r>
              <w:t xml:space="preserve"> Katowicach, </w:t>
            </w:r>
            <w:r w:rsidRPr="00B64CAC">
              <w:t>w</w:t>
            </w:r>
            <w:r>
              <w:t xml:space="preserve"> Kielcach, </w:t>
            </w:r>
            <w:r w:rsidRPr="00B64CAC">
              <w:t>w</w:t>
            </w:r>
            <w:r>
              <w:t xml:space="preserve"> Poznaniu.</w:t>
            </w:r>
          </w:p>
          <w:p w14:paraId="553BB7FD" w14:textId="6FD6C277" w:rsidR="00600FEC" w:rsidRPr="00617C3C" w:rsidRDefault="00600FEC" w:rsidP="00DE3569">
            <w:pPr>
              <w:jc w:val="both"/>
            </w:pPr>
            <w:r>
              <w:t>Zadanie, realizowano np. przez uwzględnienie wymogu</w:t>
            </w:r>
            <w:r w:rsidR="00F3258D">
              <w:t xml:space="preserve"> </w:t>
            </w:r>
            <w:r>
              <w:t xml:space="preserve">zastosowania materiałów pochodzących z recyklingu w postepowaniach o zamówienia publiczne na papier kserograficzny, artykuły promocyjne, artykuły biurowe, usługi szkoleniowe, obsługę konferencji, usługi sprzątania itp. </w:t>
            </w:r>
          </w:p>
        </w:tc>
      </w:tr>
      <w:tr w:rsidR="00600FEC" w:rsidRPr="00E6183E" w14:paraId="4008880C" w14:textId="77777777" w:rsidTr="00553DF5">
        <w:tc>
          <w:tcPr>
            <w:tcW w:w="539" w:type="dxa"/>
          </w:tcPr>
          <w:p w14:paraId="10F198C5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1F7E75D7" w14:textId="77777777" w:rsidR="00600FEC" w:rsidRPr="00E6183E" w:rsidRDefault="00600FEC" w:rsidP="00910063">
            <w:pPr>
              <w:jc w:val="both"/>
              <w:rPr>
                <w:sz w:val="22"/>
              </w:rPr>
            </w:pPr>
            <w:r w:rsidRPr="00E6183E">
              <w:t>Przeprowadzenie procesu legislacyjnego wydania rozporządzeń na podstawie upoważnień zawartych w nowej ustawie o odpadach</w:t>
            </w:r>
          </w:p>
        </w:tc>
        <w:tc>
          <w:tcPr>
            <w:tcW w:w="1985" w:type="dxa"/>
          </w:tcPr>
          <w:p w14:paraId="517B7C64" w14:textId="77777777" w:rsidR="00600FEC" w:rsidRPr="00E6183E" w:rsidRDefault="00600FEC" w:rsidP="002253D7">
            <w:pPr>
              <w:rPr>
                <w:sz w:val="22"/>
              </w:rPr>
            </w:pPr>
            <w:r w:rsidRPr="00A47689">
              <w:t>Minister właściwy do spraw gospodarki</w:t>
            </w:r>
          </w:p>
        </w:tc>
        <w:tc>
          <w:tcPr>
            <w:tcW w:w="1676" w:type="dxa"/>
          </w:tcPr>
          <w:p w14:paraId="095FE684" w14:textId="77777777" w:rsidR="00600FEC" w:rsidRPr="00E6183E" w:rsidRDefault="00600FEC" w:rsidP="002253D7">
            <w:pPr>
              <w:rPr>
                <w:sz w:val="22"/>
              </w:rPr>
            </w:pPr>
            <w:r w:rsidRPr="00E6183E">
              <w:t>2011-2013</w:t>
            </w:r>
          </w:p>
        </w:tc>
        <w:tc>
          <w:tcPr>
            <w:tcW w:w="1559" w:type="dxa"/>
          </w:tcPr>
          <w:p w14:paraId="3F1B15CB" w14:textId="77777777" w:rsidR="00600FEC" w:rsidRPr="00E6183E" w:rsidRDefault="00600FEC" w:rsidP="00910063">
            <w:r w:rsidRPr="00E6183E">
              <w:t>Tab. 39 poz.7</w:t>
            </w:r>
          </w:p>
          <w:p w14:paraId="0D1FDD4C" w14:textId="77777777" w:rsidR="00600FEC" w:rsidRPr="00E6183E" w:rsidRDefault="00600FEC" w:rsidP="00910063">
            <w:r w:rsidRPr="00E6183E">
              <w:t>w Kpgo 2014</w:t>
            </w:r>
          </w:p>
        </w:tc>
        <w:tc>
          <w:tcPr>
            <w:tcW w:w="5670" w:type="dxa"/>
          </w:tcPr>
          <w:p w14:paraId="3E6AF677" w14:textId="77777777" w:rsidR="00600FEC" w:rsidRPr="005E7E3B" w:rsidRDefault="00600FEC" w:rsidP="00AC6E14">
            <w:pPr>
              <w:jc w:val="both"/>
            </w:pPr>
            <w:r w:rsidRPr="005E7E3B">
              <w:t>Wydane zostały następujące rozporządzenia :</w:t>
            </w:r>
          </w:p>
          <w:p w14:paraId="287E1936" w14:textId="77777777" w:rsidR="00600FEC" w:rsidRPr="005E7E3B" w:rsidRDefault="00600FEC" w:rsidP="00AC6E14">
            <w:pPr>
              <w:numPr>
                <w:ilvl w:val="0"/>
                <w:numId w:val="22"/>
              </w:numPr>
              <w:ind w:left="176" w:hanging="142"/>
              <w:jc w:val="both"/>
            </w:pPr>
            <w:r w:rsidRPr="005E7E3B">
              <w:t xml:space="preserve">rozporządzenie Ministra Gospodarki z dnia 16 lipca 2015 r. w sprawie dopuszczania odpadów do składowania na składowiskach (Dz. U. poz. 1277), </w:t>
            </w:r>
          </w:p>
          <w:p w14:paraId="0899E844" w14:textId="77777777" w:rsidR="00600FEC" w:rsidRPr="005E7E3B" w:rsidRDefault="00600FEC" w:rsidP="00AC6E14">
            <w:pPr>
              <w:numPr>
                <w:ilvl w:val="0"/>
                <w:numId w:val="22"/>
              </w:numPr>
              <w:ind w:left="176" w:hanging="142"/>
              <w:jc w:val="both"/>
            </w:pPr>
            <w:r w:rsidRPr="005E7E3B">
              <w:t xml:space="preserve">rozporządzenie Ministra Gospodarki z dnia 16 stycznia 2015 r. w sprawie rodzajów odpadów, które mogą być składowane na składowisku odpadów w sposób nieselektywny </w:t>
            </w:r>
          </w:p>
          <w:p w14:paraId="13701C4C" w14:textId="77777777" w:rsidR="00600FEC" w:rsidRPr="005E7E3B" w:rsidRDefault="00600FEC" w:rsidP="00AC6E14">
            <w:pPr>
              <w:numPr>
                <w:ilvl w:val="0"/>
                <w:numId w:val="22"/>
              </w:numPr>
              <w:ind w:left="176" w:hanging="142"/>
              <w:jc w:val="both"/>
            </w:pPr>
            <w:r w:rsidRPr="005E7E3B">
              <w:t xml:space="preserve">rozporządzenie Ministra Gospodarki z dnia 5 października 2015 r. w sprawie szczegółowego sposobu postępowania z olejami odpadowymi </w:t>
            </w:r>
          </w:p>
          <w:p w14:paraId="3CD7DB65" w14:textId="6C02C492" w:rsidR="00600FEC" w:rsidRPr="005E7E3B" w:rsidRDefault="00600FEC" w:rsidP="00AC6E14">
            <w:pPr>
              <w:numPr>
                <w:ilvl w:val="0"/>
                <w:numId w:val="22"/>
              </w:numPr>
              <w:ind w:left="176" w:hanging="142"/>
              <w:jc w:val="both"/>
            </w:pPr>
            <w:r w:rsidRPr="005E7E3B">
              <w:t>rozporządzenie Ministra Rozwoju z dnia 21 stycznia 2016 r. w sprawie wymagań dotyczących prowadzenia procesu termicznego przekształcania odpadów oraz sposobów postępowania z odpadami powstałymi w wyniku tego procesu</w:t>
            </w:r>
            <w:r w:rsidR="00AC6E14">
              <w:t>.</w:t>
            </w:r>
          </w:p>
        </w:tc>
      </w:tr>
      <w:tr w:rsidR="00600FEC" w14:paraId="54D0CCCC" w14:textId="77777777" w:rsidTr="00553DF5">
        <w:tc>
          <w:tcPr>
            <w:tcW w:w="539" w:type="dxa"/>
          </w:tcPr>
          <w:p w14:paraId="22580822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263CB6AD" w14:textId="77777777" w:rsidR="00600FEC" w:rsidRPr="001B1F95" w:rsidRDefault="00600FEC" w:rsidP="00910063">
            <w:pPr>
              <w:jc w:val="both"/>
              <w:rPr>
                <w:iCs/>
              </w:rPr>
            </w:pPr>
            <w:r w:rsidRPr="001B1F95">
              <w:t>Przeprowadzenie procesu legislacyjnego wydania rozporządzeń na podstawie upoważnień zawartych w nowej ustawie o odpadach</w:t>
            </w:r>
          </w:p>
        </w:tc>
        <w:tc>
          <w:tcPr>
            <w:tcW w:w="1985" w:type="dxa"/>
          </w:tcPr>
          <w:p w14:paraId="0238D8C7" w14:textId="77777777" w:rsidR="00600FEC" w:rsidRPr="001B1F95" w:rsidRDefault="00600FEC" w:rsidP="002253D7">
            <w:r w:rsidRPr="001B1F95">
              <w:t>Minister właściwy do spraw zdrowia</w:t>
            </w:r>
          </w:p>
        </w:tc>
        <w:tc>
          <w:tcPr>
            <w:tcW w:w="1676" w:type="dxa"/>
          </w:tcPr>
          <w:p w14:paraId="59E0FA2C" w14:textId="77777777" w:rsidR="00600FEC" w:rsidRDefault="00600FEC" w:rsidP="002253D7">
            <w:r>
              <w:t>2011-2013</w:t>
            </w:r>
          </w:p>
        </w:tc>
        <w:tc>
          <w:tcPr>
            <w:tcW w:w="1559" w:type="dxa"/>
          </w:tcPr>
          <w:p w14:paraId="26EA4673" w14:textId="77777777" w:rsidR="00600FEC" w:rsidRDefault="00600FEC" w:rsidP="00910063">
            <w:r w:rsidRPr="000919B8">
              <w:t>Tab. 39 poz. 8</w:t>
            </w:r>
          </w:p>
          <w:p w14:paraId="049D79CE" w14:textId="59E7C36A" w:rsidR="00600FEC" w:rsidRPr="000919B8" w:rsidRDefault="00AC6E14" w:rsidP="00910063">
            <w:r>
              <w:t>w</w:t>
            </w:r>
            <w:r w:rsidR="00600FEC">
              <w:t xml:space="preserve"> Kpgo 2014</w:t>
            </w:r>
          </w:p>
        </w:tc>
        <w:tc>
          <w:tcPr>
            <w:tcW w:w="5670" w:type="dxa"/>
          </w:tcPr>
          <w:p w14:paraId="16D2AD2B" w14:textId="77777777" w:rsidR="00600FEC" w:rsidRPr="00020B40" w:rsidRDefault="00600FEC" w:rsidP="00DE3569">
            <w:pPr>
              <w:ind w:left="72"/>
              <w:jc w:val="both"/>
            </w:pPr>
            <w:r w:rsidRPr="002A3855">
              <w:t>W okresie sprawozdawczym wydano następujące rozporządzenia:</w:t>
            </w:r>
          </w:p>
          <w:p w14:paraId="2B4A16C0" w14:textId="08CDE5BB" w:rsidR="00600FEC" w:rsidRPr="00C25D15" w:rsidRDefault="00600FEC" w:rsidP="00DE3569">
            <w:pPr>
              <w:numPr>
                <w:ilvl w:val="0"/>
                <w:numId w:val="5"/>
              </w:numPr>
              <w:ind w:left="214" w:hanging="142"/>
              <w:jc w:val="both"/>
            </w:pPr>
            <w:r w:rsidRPr="00C25D15">
              <w:t xml:space="preserve">na podstawie art. 94 ust. 2 ustawy </w:t>
            </w:r>
            <w:r w:rsidR="002D5E91" w:rsidRPr="00C25D15">
              <w:t xml:space="preserve">z dnia 14 grudnia 2012 r. o odpadach (Dz. U. z 2018 r. poz. 992 i 1000) </w:t>
            </w:r>
            <w:r w:rsidRPr="00C25D15">
              <w:t xml:space="preserve">- rozporządzenie Ministra Zdrowia z dnia 24 lipca 2015 r. w sprawie rodzajów odpadów medycznych i odpadów weterynaryjnych, których </w:t>
            </w:r>
            <w:r w:rsidRPr="00C25D15">
              <w:lastRenderedPageBreak/>
              <w:t>odzysk jest dopuszczalny (Dz. U. poz.1116, opublikowano 07.08.2015 r., wejście w życie 22.08.2015 r.);</w:t>
            </w:r>
          </w:p>
          <w:p w14:paraId="54578C34" w14:textId="77777777" w:rsidR="00600FEC" w:rsidRPr="00C25D15" w:rsidRDefault="00600FEC" w:rsidP="00DE3569">
            <w:pPr>
              <w:numPr>
                <w:ilvl w:val="0"/>
                <w:numId w:val="5"/>
              </w:numPr>
              <w:ind w:left="214" w:hanging="142"/>
              <w:jc w:val="both"/>
            </w:pPr>
            <w:r w:rsidRPr="00C25D15">
              <w:t xml:space="preserve">na podstawie art. 95 ust. 11 ustawy o odpadach - rozporządzenie Ministra Zdrowia z dnia 21 października 2016 r. w sprawie wymagań i sposobów unieszkodliwiania odpadów medycznych i weterynaryjnych (Dz. U. poz. 1819, opublikowane w dniu 8.11.2016, wejście w życie w dniu 23.11.2016). </w:t>
            </w:r>
          </w:p>
          <w:p w14:paraId="3DAA9988" w14:textId="33C3E452" w:rsidR="00600FEC" w:rsidRPr="00020B40" w:rsidRDefault="00600FEC" w:rsidP="00DE3569">
            <w:pPr>
              <w:jc w:val="both"/>
            </w:pPr>
            <w:r w:rsidRPr="00C25D15">
              <w:t>Ponadto na podstawie art. 33 ust. 2 ustawy o odpadach (upoważnienie fakultatywne) Minister Zdrowia przygotował projekt rozporządzenia w sprawie szczegółowego postępowania z odpadami medycznymi, który w dniu 31.12.2016 r. był na etapie analizy i uzgadniania uwag zgłoszonych w ramach ponownych uzgodnień, opiniowania i konsultacji publicznych (termin zgłaszania uwag do dnia 3.10.2016 r., na podstawie art. 48 ust. 2-4 uchwały 190 Rady Ministrów z 29 października 2013 r. – Regulamin pracy Rady Ministrów).</w:t>
            </w:r>
            <w:r w:rsidR="00B81C1A" w:rsidRPr="00C25D15">
              <w:t xml:space="preserve"> Obecnie obowiązuje rozporządzenie Ministra Zdrowia z dnia 5 października 2017 r. w sprawie szczegółowego sposobu postępowania z odpadami medycznymi (Dz. U. poz. 1975)</w:t>
            </w:r>
          </w:p>
        </w:tc>
      </w:tr>
      <w:tr w:rsidR="00600FEC" w14:paraId="4E4A0FC4" w14:textId="77777777" w:rsidTr="00553DF5">
        <w:tc>
          <w:tcPr>
            <w:tcW w:w="539" w:type="dxa"/>
          </w:tcPr>
          <w:p w14:paraId="694D9881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60E08A5E" w14:textId="47E58D19" w:rsidR="00600FEC" w:rsidRDefault="00600FEC" w:rsidP="00910063">
            <w:pPr>
              <w:jc w:val="both"/>
              <w:rPr>
                <w:iCs/>
              </w:rPr>
            </w:pPr>
            <w:r w:rsidRPr="00933E95">
              <w:rPr>
                <w:iCs/>
              </w:rPr>
              <w:t>Przeprowadzenie procesu legislacyjnego wydania rozporządzeń na podstawie upoważnień zawartych w nowej ustawie o odpadach</w:t>
            </w:r>
            <w:r w:rsidR="00AC6E14">
              <w:rPr>
                <w:iCs/>
              </w:rPr>
              <w:t>.</w:t>
            </w:r>
          </w:p>
        </w:tc>
        <w:tc>
          <w:tcPr>
            <w:tcW w:w="1985" w:type="dxa"/>
          </w:tcPr>
          <w:p w14:paraId="21291B81" w14:textId="77777777" w:rsidR="00600FEC" w:rsidRDefault="00600FEC" w:rsidP="002253D7">
            <w:r w:rsidRPr="00933E95">
              <w:t>Minister właściwy do spraw środowiska</w:t>
            </w:r>
          </w:p>
          <w:p w14:paraId="4110F828" w14:textId="77777777" w:rsidR="00600FEC" w:rsidRDefault="00600FEC" w:rsidP="002253D7"/>
          <w:p w14:paraId="646B074A" w14:textId="3A216DA0" w:rsidR="00600FEC" w:rsidRPr="00770FC6" w:rsidRDefault="00600FEC" w:rsidP="002253D7"/>
        </w:tc>
        <w:tc>
          <w:tcPr>
            <w:tcW w:w="1676" w:type="dxa"/>
          </w:tcPr>
          <w:p w14:paraId="7903A11C" w14:textId="77777777" w:rsidR="00600FEC" w:rsidRPr="00CC70AC" w:rsidRDefault="00600FEC" w:rsidP="002253D7">
            <w:r w:rsidRPr="00CC70AC">
              <w:t>2011-2013</w:t>
            </w:r>
          </w:p>
        </w:tc>
        <w:tc>
          <w:tcPr>
            <w:tcW w:w="1559" w:type="dxa"/>
          </w:tcPr>
          <w:p w14:paraId="3442144F" w14:textId="77777777" w:rsidR="00600FEC" w:rsidRDefault="00600FEC" w:rsidP="00910063">
            <w:r w:rsidRPr="00CC70AC">
              <w:t>Tab. 39, poz. 6</w:t>
            </w:r>
          </w:p>
          <w:p w14:paraId="1B489959" w14:textId="609BAD46" w:rsidR="00AC6E14" w:rsidRPr="00CC70AC" w:rsidRDefault="00AC6E14" w:rsidP="00910063">
            <w:r>
              <w:t>w Kpgo 2014</w:t>
            </w:r>
          </w:p>
        </w:tc>
        <w:tc>
          <w:tcPr>
            <w:tcW w:w="5670" w:type="dxa"/>
          </w:tcPr>
          <w:p w14:paraId="5E222801" w14:textId="77777777" w:rsidR="00600FEC" w:rsidRPr="00A72977" w:rsidRDefault="00600FEC" w:rsidP="00DE3569">
            <w:pPr>
              <w:jc w:val="both"/>
            </w:pPr>
            <w:r w:rsidRPr="00A72977">
              <w:t>Na podstawie art. 250 nowej ustawy o odpadach, akty wykonawcze w nim wymienione zachowują ważność do czasu wydania nowych aktów wykonawczych, jednak nie dłużej niż do 24 stycznia 2015 r.</w:t>
            </w:r>
          </w:p>
          <w:p w14:paraId="5F65A952" w14:textId="77777777" w:rsidR="00600FEC" w:rsidRPr="002A3855" w:rsidRDefault="00600FEC" w:rsidP="00DE3569">
            <w:pPr>
              <w:jc w:val="both"/>
            </w:pPr>
            <w:r w:rsidRPr="002A3855">
              <w:t>W okresie sprawozdawczym wydano następujące rozporządzenia:</w:t>
            </w:r>
          </w:p>
          <w:p w14:paraId="5A1D8B66" w14:textId="77777777" w:rsidR="00600FEC" w:rsidRPr="00463239" w:rsidRDefault="00600FEC" w:rsidP="00DE3569">
            <w:pPr>
              <w:jc w:val="both"/>
            </w:pPr>
            <w:r w:rsidRPr="00463239">
              <w:t>- r</w:t>
            </w:r>
            <w:r w:rsidRPr="00463239">
              <w:rPr>
                <w:bCs/>
              </w:rPr>
              <w:t xml:space="preserve">ozporządzenie Ministra Środowiska z dnia 9 grudnia 2014 r. w sprawie katalogu odpadów </w:t>
            </w:r>
            <w:r w:rsidRPr="00463239">
              <w:t>(Dz. U. poz. 1923),</w:t>
            </w:r>
          </w:p>
          <w:p w14:paraId="3A79B560" w14:textId="77777777" w:rsidR="00600FEC" w:rsidRPr="00463239" w:rsidRDefault="00600FEC" w:rsidP="00DE3569">
            <w:pPr>
              <w:jc w:val="both"/>
            </w:pPr>
            <w:r w:rsidRPr="00463239">
              <w:t>- r</w:t>
            </w:r>
            <w:r w:rsidRPr="00463239">
              <w:rPr>
                <w:bCs/>
              </w:rPr>
              <w:t xml:space="preserve">ozporządzenie Ministra Środowiska z dnia 8 czerwca 2016 r. w sprawie </w:t>
            </w:r>
            <w:r w:rsidRPr="00463239">
              <w:t>warunków technicznych kwalifikowania części energii odzyskanej z termicznego przekształcania odpadów</w:t>
            </w:r>
            <w:r w:rsidRPr="00463239">
              <w:rPr>
                <w:bCs/>
              </w:rPr>
              <w:t xml:space="preserve"> </w:t>
            </w:r>
            <w:r w:rsidRPr="00463239">
              <w:t>(Dz. U. poz. 847);</w:t>
            </w:r>
          </w:p>
          <w:p w14:paraId="6A2FFE3C" w14:textId="77777777" w:rsidR="00600FEC" w:rsidRPr="00463239" w:rsidRDefault="00600FEC" w:rsidP="00DE3569">
            <w:pPr>
              <w:keepNext/>
              <w:jc w:val="both"/>
              <w:outlineLvl w:val="0"/>
              <w:rPr>
                <w:bCs/>
              </w:rPr>
            </w:pPr>
            <w:r w:rsidRPr="00463239">
              <w:rPr>
                <w:bCs/>
              </w:rPr>
              <w:t xml:space="preserve">- rozporządzenie Ministra Środowiska z dnia 11 maja 2015 r. w sprawie odzysku odpadów </w:t>
            </w:r>
            <w:bookmarkStart w:id="1" w:name="highlightHit_0"/>
            <w:bookmarkEnd w:id="1"/>
            <w:r w:rsidRPr="00463239">
              <w:rPr>
                <w:bCs/>
              </w:rPr>
              <w:t xml:space="preserve">poza </w:t>
            </w:r>
            <w:bookmarkStart w:id="2" w:name="highlightHit_1"/>
            <w:bookmarkEnd w:id="2"/>
            <w:r w:rsidRPr="00463239">
              <w:rPr>
                <w:bCs/>
              </w:rPr>
              <w:t>instalacjami i urządzeniami (Dz. U. poz. 796);</w:t>
            </w:r>
          </w:p>
          <w:p w14:paraId="4E39463F" w14:textId="117AB80A" w:rsidR="00600FEC" w:rsidRPr="00463239" w:rsidRDefault="00600FEC" w:rsidP="00DE3569">
            <w:pPr>
              <w:jc w:val="both"/>
            </w:pPr>
            <w:r w:rsidRPr="00463239">
              <w:lastRenderedPageBreak/>
              <w:t xml:space="preserve">- rozporządzenie Ministra Środowiska z dnia 10 listopada 2015 r. w sprawie listy rodzajów odpadów, które osoby fizyczne lub jednostki organizacyjne niebędące przedsiębiorcami mogą poddawać odzyskowi na potrzeby własne, oraz dopuszczalnych metod ich odzysku </w:t>
            </w:r>
            <w:r w:rsidR="00343E81">
              <w:t>(</w:t>
            </w:r>
            <w:r w:rsidRPr="00463239">
              <w:t>Dz. U. 2016 poz. 93</w:t>
            </w:r>
            <w:r w:rsidR="00343E81">
              <w:t>)</w:t>
            </w:r>
            <w:r w:rsidRPr="00463239">
              <w:t>;</w:t>
            </w:r>
          </w:p>
          <w:p w14:paraId="0648C1CC" w14:textId="77777777" w:rsidR="00600FEC" w:rsidRDefault="00600FEC" w:rsidP="00DE3569">
            <w:pPr>
              <w:jc w:val="both"/>
              <w:rPr>
                <w:bCs/>
              </w:rPr>
            </w:pPr>
            <w:r w:rsidRPr="00463239">
              <w:rPr>
                <w:bCs/>
              </w:rPr>
              <w:t>- rozporządzenie Ministra Środowiska z dnia 23 września 2016 r. w sprawie szczegółowych warunków uznania odpadów niebezpiecznych za odpady inne niż niebezpieczne (Dz. U. 2016 poz. 1601)</w:t>
            </w:r>
          </w:p>
          <w:p w14:paraId="095CF5B0" w14:textId="232ECE01" w:rsidR="00600FEC" w:rsidRPr="00463239" w:rsidRDefault="00600FEC" w:rsidP="00AC6E14">
            <w:pPr>
              <w:jc w:val="both"/>
            </w:pPr>
            <w:r>
              <w:rPr>
                <w:bCs/>
              </w:rPr>
              <w:t>- r</w:t>
            </w:r>
            <w:r w:rsidRPr="005D0098">
              <w:rPr>
                <w:bCs/>
              </w:rPr>
              <w:t>ozporządzenie Ministra Środowiska</w:t>
            </w:r>
            <w:r w:rsidR="00F3258D">
              <w:rPr>
                <w:bCs/>
              </w:rPr>
              <w:t xml:space="preserve"> </w:t>
            </w:r>
            <w:r w:rsidRPr="005D0098">
              <w:rPr>
                <w:bCs/>
              </w:rPr>
              <w:t>z dnia 10 lutego 2016 r. w sprawie wzoru formularza sprawozdania za rok 2015 i za rok 2016 (Dz. U. z 2016 r. poz. 182)</w:t>
            </w:r>
            <w:r>
              <w:rPr>
                <w:bCs/>
              </w:rPr>
              <w:t>.</w:t>
            </w:r>
          </w:p>
        </w:tc>
      </w:tr>
      <w:tr w:rsidR="00600FEC" w14:paraId="6E881698" w14:textId="77777777" w:rsidTr="00553DF5">
        <w:tc>
          <w:tcPr>
            <w:tcW w:w="539" w:type="dxa"/>
          </w:tcPr>
          <w:p w14:paraId="0A4BC034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171930E2" w14:textId="3FF8D3E3" w:rsidR="00600FEC" w:rsidRPr="00D81639" w:rsidRDefault="00600FEC" w:rsidP="008B4956">
            <w:pPr>
              <w:jc w:val="both"/>
              <w:rPr>
                <w:iCs/>
                <w:highlight w:val="yellow"/>
              </w:rPr>
            </w:pPr>
            <w:r w:rsidRPr="00CC70AC">
              <w:rPr>
                <w:iCs/>
              </w:rPr>
              <w:t xml:space="preserve">Przeprowadzenie procesu legislacyjnego dotyczącego nowelizacji ustawy o zużytym sprzęcie elektrycznym i elektronicznym </w:t>
            </w:r>
            <w:r w:rsidRPr="00CC70AC">
              <w:rPr>
                <w:i/>
                <w:iCs/>
              </w:rPr>
              <w:t xml:space="preserve">(po wejściu w życie nowelizacji dyrektywy 2002/96/WE, Parlamentu Europejskiego i Rady z dnia 27 stycznia 2003 r. w sprawie zużytego sprzętu elektrotechnicznego i elektronicznego (WEEE) (Dz. Urz. WE L 37 z 13.2.2003, str. 24; Dz. Urz. UE Polskie wydanie specjalne, rozdz. 15, t. 7, str. 359, z </w:t>
            </w:r>
            <w:proofErr w:type="spellStart"/>
            <w:r w:rsidRPr="00CC70AC">
              <w:rPr>
                <w:i/>
                <w:iCs/>
              </w:rPr>
              <w:t>późn</w:t>
            </w:r>
            <w:proofErr w:type="spellEnd"/>
            <w:r w:rsidRPr="00CC70AC">
              <w:rPr>
                <w:i/>
                <w:iCs/>
              </w:rPr>
              <w:t>. zm.) a także wdrożenie rozwiązań, ograniczających istnienie szarej strefy i likwidujących możliwość tzw. „handlu kwitami”)</w:t>
            </w:r>
            <w:r w:rsidR="00AC6E14">
              <w:rPr>
                <w:i/>
                <w:iCs/>
              </w:rPr>
              <w:t>.</w:t>
            </w:r>
            <w:r w:rsidRPr="00CC70AC">
              <w:rPr>
                <w:i/>
                <w:iCs/>
              </w:rPr>
              <w:t xml:space="preserve"> </w:t>
            </w:r>
          </w:p>
        </w:tc>
        <w:tc>
          <w:tcPr>
            <w:tcW w:w="1985" w:type="dxa"/>
          </w:tcPr>
          <w:p w14:paraId="3C750519" w14:textId="77777777" w:rsidR="00600FEC" w:rsidRPr="00CC70AC" w:rsidRDefault="00600FEC" w:rsidP="002253D7">
            <w:r w:rsidRPr="00CC70AC">
              <w:t>Minister właściwy do spraw środowiska</w:t>
            </w:r>
          </w:p>
          <w:p w14:paraId="00367EF1" w14:textId="400BC2DB" w:rsidR="00600FEC" w:rsidRPr="00D81639" w:rsidRDefault="00600FEC" w:rsidP="002253D7">
            <w:pPr>
              <w:rPr>
                <w:highlight w:val="yellow"/>
              </w:rPr>
            </w:pPr>
          </w:p>
        </w:tc>
        <w:tc>
          <w:tcPr>
            <w:tcW w:w="1676" w:type="dxa"/>
          </w:tcPr>
          <w:p w14:paraId="45B09D05" w14:textId="77777777" w:rsidR="00600FEC" w:rsidRPr="00CC70AC" w:rsidRDefault="00600FEC" w:rsidP="002253D7">
            <w:r w:rsidRPr="00CC70AC">
              <w:t>2011-2014</w:t>
            </w:r>
          </w:p>
        </w:tc>
        <w:tc>
          <w:tcPr>
            <w:tcW w:w="1559" w:type="dxa"/>
          </w:tcPr>
          <w:p w14:paraId="23762645" w14:textId="77777777" w:rsidR="00600FEC" w:rsidRDefault="00600FEC" w:rsidP="00910063">
            <w:r w:rsidRPr="00CC70AC">
              <w:t>Tab. 39, poz.11</w:t>
            </w:r>
          </w:p>
          <w:p w14:paraId="2384AEDF" w14:textId="433285D2" w:rsidR="00AC6E14" w:rsidRPr="00CC70AC" w:rsidRDefault="00AC6E14" w:rsidP="00910063">
            <w:r>
              <w:t>w Kpgo 2014</w:t>
            </w:r>
          </w:p>
        </w:tc>
        <w:tc>
          <w:tcPr>
            <w:tcW w:w="5670" w:type="dxa"/>
          </w:tcPr>
          <w:p w14:paraId="15B4CDB2" w14:textId="77777777" w:rsidR="00343E81" w:rsidRPr="00343E81" w:rsidRDefault="00343E81" w:rsidP="00343E81">
            <w:pPr>
              <w:jc w:val="both"/>
            </w:pPr>
            <w:r w:rsidRPr="00343E81">
              <w:t>Ustawa z dnia 11 września 2015 r. o zużytym sprzęcie elektrycznym i elektronicznym (Dz.U. 2015 poz. 1688) została ogłoszona w dniu 23 października 2015 r. a jej przepisy obowiązują od 1 stycznia 2016 roku.</w:t>
            </w:r>
          </w:p>
          <w:p w14:paraId="17B3F9EF" w14:textId="77777777" w:rsidR="00600FEC" w:rsidRPr="00CC70AC" w:rsidRDefault="00600FEC" w:rsidP="00910063">
            <w:pPr>
              <w:rPr>
                <w:i/>
              </w:rPr>
            </w:pPr>
          </w:p>
        </w:tc>
      </w:tr>
      <w:tr w:rsidR="00600FEC" w14:paraId="3D51F31A" w14:textId="77777777" w:rsidTr="00553DF5">
        <w:tc>
          <w:tcPr>
            <w:tcW w:w="539" w:type="dxa"/>
          </w:tcPr>
          <w:p w14:paraId="75D7BE13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70A3DEA7" w14:textId="6ED749D8" w:rsidR="00600FEC" w:rsidRPr="00D20D00" w:rsidRDefault="00600FEC" w:rsidP="00FB5BD6">
            <w:pPr>
              <w:jc w:val="both"/>
              <w:rPr>
                <w:iCs/>
                <w:highlight w:val="yellow"/>
              </w:rPr>
            </w:pPr>
            <w:r w:rsidRPr="00CC70AC">
              <w:rPr>
                <w:iCs/>
              </w:rPr>
              <w:t xml:space="preserve">Zakończenie procesu legislacyjnego – wydanie rozporządzeń wykonawczych do ustawy z dnia 10 lipca 2008 r. o odpadach wydobywczych </w:t>
            </w:r>
            <w:r w:rsidR="00FB5BD6" w:rsidRPr="00FB5BD6">
              <w:rPr>
                <w:iCs/>
              </w:rPr>
              <w:t xml:space="preserve">(Dz. U. z </w:t>
            </w:r>
            <w:r w:rsidR="00FB5BD6" w:rsidRPr="00FB5BD6">
              <w:rPr>
                <w:iCs/>
              </w:rPr>
              <w:lastRenderedPageBreak/>
              <w:t>2017 r. poz. 1849</w:t>
            </w:r>
            <w:r w:rsidR="00FB5BD6">
              <w:rPr>
                <w:iCs/>
              </w:rPr>
              <w:t>)</w:t>
            </w:r>
          </w:p>
        </w:tc>
        <w:tc>
          <w:tcPr>
            <w:tcW w:w="1985" w:type="dxa"/>
          </w:tcPr>
          <w:p w14:paraId="59A1A155" w14:textId="77777777" w:rsidR="00600FEC" w:rsidRPr="00CC70AC" w:rsidRDefault="00600FEC" w:rsidP="002253D7">
            <w:r w:rsidRPr="00CC70AC">
              <w:lastRenderedPageBreak/>
              <w:t>Minister właściwy do spraw środowiska</w:t>
            </w:r>
          </w:p>
          <w:p w14:paraId="28B70CAD" w14:textId="77777777" w:rsidR="00600FEC" w:rsidRDefault="00600FEC" w:rsidP="002253D7">
            <w:pPr>
              <w:rPr>
                <w:highlight w:val="yellow"/>
              </w:rPr>
            </w:pPr>
          </w:p>
          <w:p w14:paraId="478EFE9F" w14:textId="2C982278" w:rsidR="00600FEC" w:rsidRPr="00D20D00" w:rsidRDefault="00600FEC" w:rsidP="002253D7">
            <w:pPr>
              <w:rPr>
                <w:highlight w:val="yellow"/>
              </w:rPr>
            </w:pPr>
          </w:p>
        </w:tc>
        <w:tc>
          <w:tcPr>
            <w:tcW w:w="1676" w:type="dxa"/>
          </w:tcPr>
          <w:p w14:paraId="53CAEB22" w14:textId="77777777" w:rsidR="00600FEC" w:rsidRPr="00CC70AC" w:rsidRDefault="00600FEC" w:rsidP="002253D7">
            <w:r w:rsidRPr="00CC70AC">
              <w:t>2011-2012</w:t>
            </w:r>
          </w:p>
        </w:tc>
        <w:tc>
          <w:tcPr>
            <w:tcW w:w="1559" w:type="dxa"/>
          </w:tcPr>
          <w:p w14:paraId="0B3BCDE3" w14:textId="77777777" w:rsidR="00600FEC" w:rsidRDefault="00600FEC" w:rsidP="00910063">
            <w:r w:rsidRPr="00CC70AC">
              <w:t>Tab. 39, poz. 26</w:t>
            </w:r>
          </w:p>
          <w:p w14:paraId="2AAB5B3C" w14:textId="10562B2D" w:rsidR="00AC6E14" w:rsidRPr="00CC70AC" w:rsidRDefault="00AC6E14" w:rsidP="00910063">
            <w:r>
              <w:t>w Kpgo 2014</w:t>
            </w:r>
          </w:p>
        </w:tc>
        <w:tc>
          <w:tcPr>
            <w:tcW w:w="5670" w:type="dxa"/>
          </w:tcPr>
          <w:p w14:paraId="3D3FC55A" w14:textId="77777777" w:rsidR="00600FEC" w:rsidRDefault="00600FEC" w:rsidP="00910063">
            <w:r>
              <w:t>W okresie sprawozdawczym</w:t>
            </w:r>
            <w:r w:rsidRPr="00463239">
              <w:t xml:space="preserve"> wydano następujące rozporządzenia</w:t>
            </w:r>
            <w:r>
              <w:t>:</w:t>
            </w:r>
          </w:p>
          <w:p w14:paraId="5282F0AD" w14:textId="21C5D777" w:rsidR="00600FEC" w:rsidRPr="006614EA" w:rsidRDefault="00600FEC" w:rsidP="00910063">
            <w:r w:rsidRPr="006614EA">
              <w:t>- zmiana rozporządzenia: rozporządzenie Ministra Środowiska z dnia 29 maja 2014 r. w sprawie prowadzenia monitoringu obiektu unieszkodliwiania odpadów wydobywczych (Dz. U.</w:t>
            </w:r>
            <w:r w:rsidR="00F3258D">
              <w:t xml:space="preserve"> </w:t>
            </w:r>
            <w:r w:rsidRPr="006614EA">
              <w:t>poz. 875),</w:t>
            </w:r>
          </w:p>
          <w:p w14:paraId="0457F4AB" w14:textId="7D7FA5E4" w:rsidR="00600FEC" w:rsidRPr="00792F25" w:rsidRDefault="00600FEC" w:rsidP="00910063">
            <w:r w:rsidRPr="006614EA">
              <w:lastRenderedPageBreak/>
              <w:t>- rozporządzenie Ministra Środowiska z dnia 11 lutego 2015 r. w sprawie gwarancji finansowej i jej ekwiwalentu dla obiektu unieszkodliwiania odpadów wydobywczych (Dz. U.</w:t>
            </w:r>
            <w:r w:rsidR="00F3258D">
              <w:t xml:space="preserve"> </w:t>
            </w:r>
            <w:r w:rsidRPr="006614EA">
              <w:t>poz. 311)</w:t>
            </w:r>
            <w:r w:rsidR="00AC6E14">
              <w:t>.</w:t>
            </w:r>
          </w:p>
        </w:tc>
      </w:tr>
      <w:tr w:rsidR="00600FEC" w:rsidRPr="00AC6E14" w14:paraId="684A83D6" w14:textId="77777777" w:rsidTr="00553DF5">
        <w:tc>
          <w:tcPr>
            <w:tcW w:w="539" w:type="dxa"/>
            <w:shd w:val="clear" w:color="auto" w:fill="auto"/>
            <w:vAlign w:val="center"/>
          </w:tcPr>
          <w:p w14:paraId="0BE80204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5EA21790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>Przeprowadzenie ogólnopolskiej kampanii informacyjno-edukacyjnej na temat postępowania z poszczególnymi rodzajami odpadów (w tym opracowanie zaleceń dla gmin odnoszących się do przeprowadzenia kampanii informacyjno-promocyjnych dotyczących postępowania z odpadami, w szczególności w zakresie selektywnego zbierania odpadów).</w:t>
            </w:r>
          </w:p>
          <w:p w14:paraId="0B6ECD6D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</w:p>
          <w:p w14:paraId="34CB8778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</w:tcPr>
          <w:p w14:paraId="7F18DB42" w14:textId="77777777" w:rsidR="00600FEC" w:rsidRPr="00CC20C7" w:rsidRDefault="00600FEC" w:rsidP="002253D7">
            <w:pPr>
              <w:spacing w:after="120"/>
            </w:pPr>
            <w:r w:rsidRPr="00CC20C7">
              <w:t>Minister Środowiska</w:t>
            </w:r>
          </w:p>
        </w:tc>
        <w:tc>
          <w:tcPr>
            <w:tcW w:w="1676" w:type="dxa"/>
            <w:shd w:val="clear" w:color="auto" w:fill="auto"/>
          </w:tcPr>
          <w:p w14:paraId="77A07CEB" w14:textId="77777777" w:rsidR="00600FEC" w:rsidRPr="00CC20C7" w:rsidRDefault="00600FEC" w:rsidP="002253D7">
            <w:pPr>
              <w:spacing w:after="120"/>
            </w:pPr>
            <w:r w:rsidRPr="00CC20C7">
              <w:t>do końca 2018 r.</w:t>
            </w:r>
          </w:p>
        </w:tc>
        <w:tc>
          <w:tcPr>
            <w:tcW w:w="1559" w:type="dxa"/>
          </w:tcPr>
          <w:p w14:paraId="62E52CA5" w14:textId="77777777" w:rsidR="00600FEC" w:rsidRPr="00CC20C7" w:rsidRDefault="00600FEC" w:rsidP="00F9167A">
            <w:pPr>
              <w:spacing w:after="120"/>
            </w:pPr>
            <w:r w:rsidRPr="00EF3A0C">
              <w:t xml:space="preserve">Tab. 44 poz. 2 </w:t>
            </w:r>
            <w:r w:rsidRPr="00EF3A0C">
              <w:br/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0CEE97BA" w14:textId="77777777" w:rsidR="00600FEC" w:rsidRPr="00AC6E14" w:rsidRDefault="00600FEC" w:rsidP="00E45E5C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 xml:space="preserve">W 2014 r. została przeprowadzona kampania edukacyjno-informacyjna promująca właściwe postępowanie z odpadami. </w:t>
            </w:r>
          </w:p>
          <w:p w14:paraId="383F6F9F" w14:textId="77777777" w:rsidR="00600FEC" w:rsidRPr="00AC6E14" w:rsidRDefault="00600FEC" w:rsidP="00D30EB7">
            <w:pPr>
              <w:spacing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Kampania stanowiła kontynuację działań informacyjno-promocyjnych prowadzonych w latach 2011-2013, skierowanych zarówno do mieszkańców miast, jak i do gmin. Celem działań w 2014 r. było podniesienie stanu świadomości ekologicznej społeczeństwa o korzyściach wynikających z właściwego postępowania z odpadami powstającymi w gospodarstwach domowych, a także motywowanie do segregowania odpadów. Zaangażowanie mieszkańców w segregowanie śmieci było kluczowym aspektem wobec potrzeby osiągniecia wymaganych poziomów segregacji oraz odzysku surowców wtórnych.</w:t>
            </w:r>
          </w:p>
          <w:p w14:paraId="74A9F150" w14:textId="77777777" w:rsidR="00600FEC" w:rsidRPr="00AC6E14" w:rsidRDefault="00600FEC" w:rsidP="00D30EB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Główny przekaz kampanii:</w:t>
            </w:r>
          </w:p>
          <w:p w14:paraId="369B8000" w14:textId="77777777" w:rsidR="00600FEC" w:rsidRPr="00AC6E14" w:rsidRDefault="00600FEC" w:rsidP="00D30EB7">
            <w:pPr>
              <w:numPr>
                <w:ilvl w:val="0"/>
                <w:numId w:val="6"/>
              </w:numPr>
              <w:spacing w:line="259" w:lineRule="auto"/>
              <w:ind w:left="317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Domowy system segregacji można łatwo zaaranżować zarówno w eleganckich wnętrzach, jak i małych kuchniach. Segregacja śmieci jest częścią miejskiego stylu życia.</w:t>
            </w:r>
          </w:p>
          <w:p w14:paraId="068A563F" w14:textId="59440D84" w:rsidR="00600FEC" w:rsidRPr="00AC6E14" w:rsidRDefault="00600FEC" w:rsidP="00D30EB7">
            <w:pPr>
              <w:numPr>
                <w:ilvl w:val="0"/>
                <w:numId w:val="6"/>
              </w:numPr>
              <w:spacing w:line="259" w:lineRule="auto"/>
              <w:ind w:left="317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 xml:space="preserve">Segreguję śmieci - kreowanie mody na segregowanie śmieci, zwiększenie motywacji do segregowania . </w:t>
            </w:r>
          </w:p>
          <w:p w14:paraId="041B64FD" w14:textId="22C758B2" w:rsidR="00600FEC" w:rsidRPr="00AC6E14" w:rsidRDefault="00600FEC" w:rsidP="00D30E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ind w:left="317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Śmieci różnią się od siebie – surowce do wykorzystania (papier, szkło, metal, plastik); śmieci niebezpieczne (świetlówki, baterie, przeterminowane leki); śmieci, których nie da się ponownie wykorzystać, to zdecydowana mniejszość.</w:t>
            </w:r>
          </w:p>
          <w:p w14:paraId="29FDF6EF" w14:textId="6DFF8503" w:rsidR="00600FEC" w:rsidRPr="00AC6E14" w:rsidRDefault="00600FEC" w:rsidP="00D30EB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 xml:space="preserve">Kampania </w:t>
            </w:r>
            <w:r w:rsidRPr="00AC6E14">
              <w:rPr>
                <w:rFonts w:eastAsia="Calibri"/>
                <w:bCs/>
                <w:i/>
              </w:rPr>
              <w:t>„Segregujesz… i śmiecisz mniej”</w:t>
            </w:r>
            <w:r w:rsidRPr="00AC6E14">
              <w:rPr>
                <w:rFonts w:eastAsia="Calibri"/>
                <w:bCs/>
              </w:rPr>
              <w:t xml:space="preserve"> składała się z: kampanii w telewizji (emisja spotów i lokowanie idei m.in. w popularnych serialach i programach kulinarnych), kampanii w Internecie (nowa odsłona strony </w:t>
            </w:r>
            <w:hyperlink r:id="rId10" w:history="1">
              <w:r w:rsidRPr="00AC6E14">
                <w:rPr>
                  <w:rFonts w:eastAsia="Calibri"/>
                </w:rPr>
                <w:t>www.naszesmieci.pl</w:t>
              </w:r>
            </w:hyperlink>
            <w:r w:rsidR="004F703D">
              <w:rPr>
                <w:rFonts w:eastAsia="Calibri"/>
              </w:rPr>
              <w:t xml:space="preserve">, obecnie - portal </w:t>
            </w:r>
            <w:r w:rsidR="004F703D" w:rsidRPr="004F703D">
              <w:rPr>
                <w:rFonts w:eastAsia="Calibri"/>
              </w:rPr>
              <w:t>naszesmieci.mos.gov.pl</w:t>
            </w:r>
            <w:r w:rsidRPr="00AC6E14">
              <w:rPr>
                <w:rFonts w:eastAsia="Calibri"/>
                <w:bCs/>
              </w:rPr>
              <w:t xml:space="preserve">) i działań niestandardowych, tj. </w:t>
            </w:r>
            <w:r w:rsidRPr="00AC6E14">
              <w:rPr>
                <w:rFonts w:eastAsia="Calibri"/>
                <w:bCs/>
              </w:rPr>
              <w:lastRenderedPageBreak/>
              <w:t xml:space="preserve">stworzenie instalacji </w:t>
            </w:r>
            <w:r w:rsidRPr="00AC6E14">
              <w:rPr>
                <w:rFonts w:eastAsia="Calibri"/>
                <w:bCs/>
                <w:i/>
              </w:rPr>
              <w:t>Dziki Bluszcz</w:t>
            </w:r>
            <w:r w:rsidRPr="00AC6E14">
              <w:rPr>
                <w:rFonts w:eastAsia="Calibri"/>
                <w:bCs/>
              </w:rPr>
              <w:t xml:space="preserve"> (z posegregowanych odpadów).</w:t>
            </w:r>
          </w:p>
          <w:p w14:paraId="0EF6EB12" w14:textId="77777777" w:rsidR="00600FEC" w:rsidRPr="00AC6E14" w:rsidRDefault="00600FEC" w:rsidP="00E45E5C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W ramach projektu zostały przeprowadzone też działania, których celem było wsparcie gmin w zadaniach informacyjnych dotyczących gospodarki odpadami. Na stronie naszesmieci.pl stworzono m.in. wyszukiwarkę internetową na temat zasad segregacji odpadów w danej gminie, udostępniono do pobrania przygotowane naklejki na pojemniki (zgodne z nowym systemem segregacji odpadów) w edytowalnych formatach, poradnik komunikacyjny oraz opisy dobrych praktyk.</w:t>
            </w:r>
          </w:p>
          <w:p w14:paraId="31A4C684" w14:textId="7F5847B9" w:rsidR="00600FEC" w:rsidRPr="00AC6E14" w:rsidRDefault="00600FEC" w:rsidP="00E45E5C">
            <w:pPr>
              <w:spacing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W 2015 r. w ramach kontynuacji kampanii wyemitowano ponownie spoty w telewizji na temat segregacji odpadów (reemisja). Dodatkowo wyprodukowano i wyemitowano audycję telewizyjną oraz audycje radiowe o charakterze informacyjno-edukacyjnym dotyczące segregacji odpadów:</w:t>
            </w:r>
          </w:p>
          <w:p w14:paraId="1960798B" w14:textId="77777777" w:rsidR="00600FEC" w:rsidRPr="00AC6E14" w:rsidRDefault="00600FEC" w:rsidP="00E45E5C">
            <w:pPr>
              <w:numPr>
                <w:ilvl w:val="0"/>
                <w:numId w:val="8"/>
              </w:numPr>
              <w:spacing w:line="259" w:lineRule="auto"/>
              <w:ind w:left="357" w:hanging="357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audycja telewizyjna: „Święte śmieci” poprzedzona rozmową w studiu z ekspertami oraz sondą uliczną lub wypowiedziami dzieci w temacie odcinka</w:t>
            </w:r>
          </w:p>
          <w:p w14:paraId="252376D4" w14:textId="77777777" w:rsidR="00600FEC" w:rsidRPr="00AC6E14" w:rsidRDefault="00600FEC" w:rsidP="00E45E5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>audycje radiowe:</w:t>
            </w:r>
          </w:p>
          <w:p w14:paraId="5C9278BB" w14:textId="77777777" w:rsidR="00600FEC" w:rsidRPr="00AC6E14" w:rsidRDefault="00600FEC" w:rsidP="00E45E5C">
            <w:pPr>
              <w:numPr>
                <w:ilvl w:val="0"/>
                <w:numId w:val="7"/>
              </w:numPr>
              <w:spacing w:line="259" w:lineRule="auto"/>
              <w:ind w:left="714" w:hanging="357"/>
              <w:jc w:val="both"/>
              <w:rPr>
                <w:rFonts w:eastAsia="Calibri"/>
                <w:bCs/>
              </w:rPr>
            </w:pPr>
            <w:r w:rsidRPr="00AC6E14">
              <w:rPr>
                <w:rFonts w:eastAsia="Calibri"/>
                <w:bCs/>
              </w:rPr>
              <w:t xml:space="preserve">„Jak utylizować odpady ? Skala mikro (dom)” </w:t>
            </w:r>
          </w:p>
          <w:p w14:paraId="7A2E9657" w14:textId="77777777" w:rsidR="00600FEC" w:rsidRPr="00AC6E14" w:rsidRDefault="00600FEC" w:rsidP="00284DAB">
            <w:pPr>
              <w:pStyle w:val="Akapitzlist"/>
              <w:numPr>
                <w:ilvl w:val="0"/>
                <w:numId w:val="7"/>
              </w:numPr>
            </w:pPr>
            <w:r w:rsidRPr="00AC6E14">
              <w:rPr>
                <w:rFonts w:eastAsia="Calibri"/>
                <w:bCs/>
                <w:lang w:eastAsia="en-US"/>
              </w:rPr>
              <w:t>„Jak utylizować odpady? Skala makro (miasto, kraj)”</w:t>
            </w:r>
          </w:p>
        </w:tc>
      </w:tr>
      <w:tr w:rsidR="00600FEC" w:rsidRPr="00617C3C" w14:paraId="216BDC21" w14:textId="77777777" w:rsidTr="00553DF5">
        <w:tc>
          <w:tcPr>
            <w:tcW w:w="539" w:type="dxa"/>
          </w:tcPr>
          <w:p w14:paraId="0DB088E1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</w:tcPr>
          <w:p w14:paraId="487FD4F0" w14:textId="77777777" w:rsidR="00600FEC" w:rsidRPr="00A47ED3" w:rsidRDefault="00600FEC" w:rsidP="00910063">
            <w:pPr>
              <w:snapToGrid w:val="0"/>
              <w:spacing w:before="120"/>
              <w:jc w:val="both"/>
            </w:pPr>
            <w:r w:rsidRPr="00210DFF">
              <w:t xml:space="preserve">Prowadzenie kontroli likwidacji mogilników w celu oceny realizacji zadania ujętego w </w:t>
            </w:r>
            <w:r w:rsidRPr="00210DFF">
              <w:rPr>
                <w:i/>
                <w:iCs/>
              </w:rPr>
              <w:t>Krajowym planie gospodarki odpadami 2010</w:t>
            </w:r>
            <w:r w:rsidRPr="00210DFF">
              <w:t xml:space="preserve"> „Likwidacja magazynów i mogilników środków chemicznych ochrony roślin” przewidywanego do wykonania do 2010 r.</w:t>
            </w:r>
          </w:p>
        </w:tc>
        <w:tc>
          <w:tcPr>
            <w:tcW w:w="1985" w:type="dxa"/>
          </w:tcPr>
          <w:p w14:paraId="6B18D3AD" w14:textId="77777777" w:rsidR="00600FEC" w:rsidRPr="00617C3C" w:rsidRDefault="00600FEC" w:rsidP="002253D7">
            <w:pPr>
              <w:snapToGrid w:val="0"/>
            </w:pPr>
            <w:r w:rsidRPr="00617C3C">
              <w:t>Główny Inspektor Ochrony Środowiska, wojewódzcy inspektorzy ochrony środowiska</w:t>
            </w:r>
          </w:p>
        </w:tc>
        <w:tc>
          <w:tcPr>
            <w:tcW w:w="1676" w:type="dxa"/>
          </w:tcPr>
          <w:p w14:paraId="327D818B" w14:textId="77777777" w:rsidR="00600FEC" w:rsidRDefault="00600FEC" w:rsidP="002253D7">
            <w:r w:rsidRPr="004D525D">
              <w:t>2011-2022</w:t>
            </w:r>
          </w:p>
          <w:p w14:paraId="3A5B9C2C" w14:textId="77777777" w:rsidR="00600FEC" w:rsidRDefault="00600FEC" w:rsidP="002253D7"/>
          <w:p w14:paraId="67830E9C" w14:textId="77777777" w:rsidR="00600FEC" w:rsidRPr="00617C3C" w:rsidRDefault="00600FEC" w:rsidP="002253D7"/>
        </w:tc>
        <w:tc>
          <w:tcPr>
            <w:tcW w:w="1559" w:type="dxa"/>
          </w:tcPr>
          <w:p w14:paraId="29D47394" w14:textId="77777777" w:rsidR="00600FEC" w:rsidRDefault="00600FEC" w:rsidP="00910063">
            <w:r w:rsidRPr="00617C3C">
              <w:t>Tab. 39 poz. 18</w:t>
            </w:r>
          </w:p>
          <w:p w14:paraId="5662C6BC" w14:textId="77777777" w:rsidR="00600FEC" w:rsidRDefault="00600FEC" w:rsidP="00910063">
            <w:r w:rsidRPr="00001907">
              <w:t>w Kpgo 2014</w:t>
            </w:r>
          </w:p>
          <w:p w14:paraId="5907027F" w14:textId="77777777" w:rsidR="00600FEC" w:rsidRDefault="00600FEC" w:rsidP="00910063"/>
          <w:p w14:paraId="7CF79D79" w14:textId="77777777" w:rsidR="00600FEC" w:rsidRPr="00617C3C" w:rsidRDefault="00600FEC" w:rsidP="00910063"/>
        </w:tc>
        <w:tc>
          <w:tcPr>
            <w:tcW w:w="5670" w:type="dxa"/>
          </w:tcPr>
          <w:p w14:paraId="426114E8" w14:textId="77777777" w:rsidR="00600FEC" w:rsidRPr="00C35AB3" w:rsidRDefault="00600FEC" w:rsidP="00DE3569">
            <w:pPr>
              <w:pStyle w:val="Akapitzlist"/>
              <w:ind w:left="34"/>
              <w:jc w:val="both"/>
            </w:pPr>
            <w:r w:rsidRPr="00237809">
              <w:t xml:space="preserve">Zadanie realizowane przez wojewódzkich inspektorów ochrony środowiska na bieżąco. Wg oceny wojewódzkich inspektorów ochrony środowiska na 11 sierpnia 2016 roku nadal niezlikwidowane były </w:t>
            </w:r>
            <w:r w:rsidRPr="00237809">
              <w:rPr>
                <w:b/>
              </w:rPr>
              <w:t xml:space="preserve">3 </w:t>
            </w:r>
            <w:r w:rsidRPr="00237809">
              <w:t>składowiska przeterminowanych środków ochrony roślin.</w:t>
            </w:r>
          </w:p>
        </w:tc>
      </w:tr>
      <w:tr w:rsidR="00600FEC" w:rsidRPr="00CC20C7" w14:paraId="03D24A3B" w14:textId="77777777" w:rsidTr="00553DF5">
        <w:tc>
          <w:tcPr>
            <w:tcW w:w="539" w:type="dxa"/>
            <w:shd w:val="clear" w:color="auto" w:fill="auto"/>
            <w:vAlign w:val="center"/>
          </w:tcPr>
          <w:p w14:paraId="41E89B48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1399E2F7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 xml:space="preserve">Prowadzenie kontroli likwidacji trzech </w:t>
            </w:r>
            <w:r w:rsidRPr="00CC20C7">
              <w:lastRenderedPageBreak/>
              <w:t xml:space="preserve">mogilników na </w:t>
            </w:r>
            <w:r w:rsidRPr="00CC20C7">
              <w:rPr>
                <w:color w:val="000000"/>
              </w:rPr>
              <w:t>terenie województw: dolnośląskiego, opolskiego i podlaskiego.</w:t>
            </w:r>
          </w:p>
          <w:p w14:paraId="7A7F157C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868272F" w14:textId="017399FE" w:rsidR="00600FEC" w:rsidRPr="00CC20C7" w:rsidRDefault="00600FEC" w:rsidP="00AC6E14">
            <w:pPr>
              <w:spacing w:after="120"/>
            </w:pPr>
            <w:r w:rsidRPr="00CC20C7">
              <w:lastRenderedPageBreak/>
              <w:t xml:space="preserve">Główny Inspektor </w:t>
            </w:r>
            <w:r w:rsidRPr="00CC20C7">
              <w:lastRenderedPageBreak/>
              <w:t>Ochrony Środowiska, wojewódzcy inspektorzy ochrony środowiska, administracja publiczna na terenie właściwych województw</w:t>
            </w:r>
          </w:p>
        </w:tc>
        <w:tc>
          <w:tcPr>
            <w:tcW w:w="1676" w:type="dxa"/>
            <w:shd w:val="clear" w:color="auto" w:fill="auto"/>
          </w:tcPr>
          <w:p w14:paraId="4EB44111" w14:textId="77777777" w:rsidR="00600FEC" w:rsidRPr="00CC20C7" w:rsidRDefault="00600FEC" w:rsidP="002253D7">
            <w:pPr>
              <w:spacing w:after="120"/>
            </w:pPr>
            <w:r w:rsidRPr="00CC20C7">
              <w:lastRenderedPageBreak/>
              <w:t>do końca 2017 r.</w:t>
            </w:r>
          </w:p>
        </w:tc>
        <w:tc>
          <w:tcPr>
            <w:tcW w:w="1559" w:type="dxa"/>
          </w:tcPr>
          <w:p w14:paraId="743100EA" w14:textId="77777777" w:rsidR="00600FEC" w:rsidRPr="00CC20C7" w:rsidRDefault="00600FEC" w:rsidP="00F9167A">
            <w:pPr>
              <w:spacing w:after="120"/>
            </w:pPr>
            <w:r>
              <w:t xml:space="preserve">Tab. 44. poz. 3 </w:t>
            </w:r>
            <w:r>
              <w:br/>
            </w:r>
            <w:r>
              <w:lastRenderedPageBreak/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16FD05C0" w14:textId="77777777" w:rsidR="00600FEC" w:rsidRPr="00237809" w:rsidRDefault="00600FEC" w:rsidP="00DE3569">
            <w:pPr>
              <w:spacing w:after="120"/>
              <w:jc w:val="both"/>
            </w:pPr>
            <w:r w:rsidRPr="00237809">
              <w:lastRenderedPageBreak/>
              <w:t xml:space="preserve">Wojewódzcy inspektorzy ochrony środowiska prowadzą okresowe </w:t>
            </w:r>
            <w:r w:rsidRPr="00237809">
              <w:lastRenderedPageBreak/>
              <w:t>kontrole miejsc występowania mogilników i podejmują działania w ramach posiadanych kompetencji.</w:t>
            </w:r>
          </w:p>
        </w:tc>
      </w:tr>
      <w:tr w:rsidR="00600FEC" w:rsidRPr="00CC20C7" w14:paraId="1963EAF2" w14:textId="77777777" w:rsidTr="00553DF5">
        <w:tc>
          <w:tcPr>
            <w:tcW w:w="539" w:type="dxa"/>
            <w:shd w:val="clear" w:color="auto" w:fill="auto"/>
            <w:vAlign w:val="center"/>
          </w:tcPr>
          <w:p w14:paraId="357664BE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1913FEBC" w14:textId="54A2730A" w:rsidR="00600FEC" w:rsidRPr="00CC20C7" w:rsidRDefault="00600FEC" w:rsidP="00AC6E14">
            <w:pPr>
              <w:autoSpaceDE w:val="0"/>
              <w:autoSpaceDN w:val="0"/>
              <w:adjustRightInd w:val="0"/>
            </w:pPr>
            <w:r w:rsidRPr="00CC20C7">
              <w:t>Przeprowadzenie kontroli terenów zanieczyszczonych i zdegradowanych w celu oceny realizacji zadania ujętego w Krajowym planie gospodarki odpadami 2010 „Rekultywacja terenów zanieczyszczonych i zdegradowanych składowaniem niebezpiecznych odpadów przemysłowych” przewidywanego do wykonania w latach 2009 – 2010.</w:t>
            </w:r>
          </w:p>
        </w:tc>
        <w:tc>
          <w:tcPr>
            <w:tcW w:w="1985" w:type="dxa"/>
            <w:shd w:val="clear" w:color="auto" w:fill="auto"/>
          </w:tcPr>
          <w:p w14:paraId="2F203E0D" w14:textId="25E04AF9" w:rsidR="00600FEC" w:rsidRPr="00CC20C7" w:rsidRDefault="00600FEC" w:rsidP="00AC6E14">
            <w:pPr>
              <w:spacing w:after="120"/>
            </w:pPr>
            <w:r w:rsidRPr="00CC20C7">
              <w:t>Główny Inspektor Ochrony Środowiska, wojewódzcy inspektorzy ochrony środowiska</w:t>
            </w:r>
          </w:p>
        </w:tc>
        <w:tc>
          <w:tcPr>
            <w:tcW w:w="1676" w:type="dxa"/>
            <w:shd w:val="clear" w:color="auto" w:fill="auto"/>
          </w:tcPr>
          <w:p w14:paraId="02F944B4" w14:textId="77777777" w:rsidR="00600FEC" w:rsidRPr="00956AF6" w:rsidRDefault="00600FEC" w:rsidP="002253D7">
            <w:r w:rsidRPr="00956AF6">
              <w:t>2011-2022</w:t>
            </w:r>
            <w:r w:rsidRPr="00956AF6">
              <w:br/>
              <w:t>(wg Kpgo 2014)</w:t>
            </w:r>
          </w:p>
          <w:p w14:paraId="2FCD67E9" w14:textId="77777777" w:rsidR="00600FEC" w:rsidRPr="00956AF6" w:rsidRDefault="00600FEC" w:rsidP="002253D7"/>
          <w:p w14:paraId="76182A2A" w14:textId="77777777" w:rsidR="00600FEC" w:rsidRPr="00956AF6" w:rsidRDefault="00600FEC" w:rsidP="002253D7"/>
          <w:p w14:paraId="181679E8" w14:textId="77777777" w:rsidR="00600FEC" w:rsidRPr="00956AF6" w:rsidRDefault="00600FEC" w:rsidP="002253D7"/>
          <w:p w14:paraId="314F7B72" w14:textId="77777777" w:rsidR="00600FEC" w:rsidRPr="00956AF6" w:rsidRDefault="00600FEC" w:rsidP="002253D7">
            <w:r w:rsidRPr="00956AF6">
              <w:t>do końca 2030 (wg Kpgo 2022)</w:t>
            </w:r>
          </w:p>
          <w:p w14:paraId="513F86CD" w14:textId="77777777" w:rsidR="00600FEC" w:rsidRPr="00CC20C7" w:rsidRDefault="00600FEC" w:rsidP="002253D7">
            <w:pPr>
              <w:spacing w:after="120"/>
            </w:pPr>
          </w:p>
        </w:tc>
        <w:tc>
          <w:tcPr>
            <w:tcW w:w="1559" w:type="dxa"/>
          </w:tcPr>
          <w:p w14:paraId="0D233DC4" w14:textId="77777777" w:rsidR="00600FEC" w:rsidRPr="00364269" w:rsidRDefault="00600FEC" w:rsidP="00364269">
            <w:r w:rsidRPr="00364269">
              <w:t>Tab. 39 poz. 20</w:t>
            </w:r>
          </w:p>
          <w:p w14:paraId="1C055322" w14:textId="77777777" w:rsidR="00600FEC" w:rsidRPr="00364269" w:rsidRDefault="00600FEC" w:rsidP="00364269">
            <w:r w:rsidRPr="00364269">
              <w:t>w Kpgo 2014</w:t>
            </w:r>
          </w:p>
          <w:p w14:paraId="13530B68" w14:textId="77777777" w:rsidR="00600FEC" w:rsidRPr="00364269" w:rsidRDefault="00600FEC" w:rsidP="00364269"/>
          <w:p w14:paraId="73E95644" w14:textId="77777777" w:rsidR="00600FEC" w:rsidRPr="00364269" w:rsidRDefault="00600FEC" w:rsidP="00364269"/>
          <w:p w14:paraId="599F6577" w14:textId="77777777" w:rsidR="00600FEC" w:rsidRPr="00364269" w:rsidRDefault="00600FEC" w:rsidP="00364269"/>
          <w:p w14:paraId="53045C52" w14:textId="77777777" w:rsidR="00600FEC" w:rsidRPr="00364269" w:rsidRDefault="00600FEC" w:rsidP="00364269">
            <w:r w:rsidRPr="00364269">
              <w:t>Tab. 44 poz. 4</w:t>
            </w:r>
          </w:p>
          <w:p w14:paraId="6956AAAD" w14:textId="77777777" w:rsidR="00600FEC" w:rsidRPr="00364269" w:rsidRDefault="00600FEC" w:rsidP="00364269">
            <w:r w:rsidRPr="00364269">
              <w:t>w Kpgo 2022</w:t>
            </w:r>
          </w:p>
          <w:p w14:paraId="3CDE9679" w14:textId="77777777" w:rsidR="00600FEC" w:rsidRPr="00CC20C7" w:rsidRDefault="00600FEC" w:rsidP="00364269"/>
        </w:tc>
        <w:tc>
          <w:tcPr>
            <w:tcW w:w="5670" w:type="dxa"/>
            <w:shd w:val="clear" w:color="auto" w:fill="auto"/>
          </w:tcPr>
          <w:p w14:paraId="423F81D0" w14:textId="77777777" w:rsidR="00600FEC" w:rsidRPr="00237809" w:rsidRDefault="00600FEC" w:rsidP="00DE3569">
            <w:pPr>
              <w:spacing w:after="120"/>
              <w:jc w:val="both"/>
            </w:pPr>
            <w:r w:rsidRPr="00FF4E67">
              <w:t>W latach 2014 – 2016 nie były przeprowadzane cykle kontrolne. Tereny takie występują na obszarze połowy województw. W ramach Kpgo 2014 wojewódzcy inspektorzy ochrony środowiska przeprowadziły 13 kontroli terenów zdegradowanych. We wskazanym okresie, w ramach Kpgo 2022 zostały przeprowadzone 2 kontrole terenów zdegradowanych.</w:t>
            </w:r>
          </w:p>
        </w:tc>
      </w:tr>
      <w:tr w:rsidR="00600FEC" w:rsidRPr="00CC20C7" w14:paraId="35134407" w14:textId="77777777" w:rsidTr="00553DF5">
        <w:tc>
          <w:tcPr>
            <w:tcW w:w="539" w:type="dxa"/>
            <w:shd w:val="clear" w:color="auto" w:fill="auto"/>
            <w:vAlign w:val="center"/>
          </w:tcPr>
          <w:p w14:paraId="29390C59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tabs>
                <w:tab w:val="left" w:pos="258"/>
              </w:tabs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44E1D6BA" w14:textId="28A8EC61" w:rsidR="00600FEC" w:rsidRPr="00CC20C7" w:rsidRDefault="00600FEC" w:rsidP="00AC6E14">
            <w:pPr>
              <w:autoSpaceDE w:val="0"/>
              <w:autoSpaceDN w:val="0"/>
              <w:adjustRightInd w:val="0"/>
            </w:pPr>
            <w:r w:rsidRPr="00CC20C7">
              <w:t xml:space="preserve">Wydanie rozporządzenia </w:t>
            </w:r>
            <w:proofErr w:type="spellStart"/>
            <w:r w:rsidRPr="00CC20C7">
              <w:t>ws</w:t>
            </w:r>
            <w:proofErr w:type="spellEnd"/>
            <w:r w:rsidRPr="00CC20C7">
              <w:t>. szczegółowego sposobu selektywnego zbierania wybranych frakcji odpadów oraz określenia kiedy wymóg selektywnego zbierania uważa się za spełniony.</w:t>
            </w:r>
          </w:p>
        </w:tc>
        <w:tc>
          <w:tcPr>
            <w:tcW w:w="1985" w:type="dxa"/>
            <w:shd w:val="clear" w:color="auto" w:fill="auto"/>
          </w:tcPr>
          <w:p w14:paraId="26F77DDB" w14:textId="77777777" w:rsidR="00600FEC" w:rsidRPr="00CC20C7" w:rsidRDefault="00600FEC" w:rsidP="002253D7">
            <w:pPr>
              <w:spacing w:after="120"/>
            </w:pPr>
            <w:r w:rsidRPr="00CC20C7">
              <w:t xml:space="preserve">Minister Środowiska </w:t>
            </w:r>
          </w:p>
        </w:tc>
        <w:tc>
          <w:tcPr>
            <w:tcW w:w="1676" w:type="dxa"/>
            <w:shd w:val="clear" w:color="auto" w:fill="auto"/>
          </w:tcPr>
          <w:p w14:paraId="7FA3FDB1" w14:textId="77777777" w:rsidR="00600FEC" w:rsidRPr="00CC20C7" w:rsidRDefault="00600FEC" w:rsidP="002253D7">
            <w:pPr>
              <w:spacing w:after="120"/>
            </w:pPr>
            <w:r w:rsidRPr="00CC20C7">
              <w:t>2016 r.</w:t>
            </w:r>
          </w:p>
        </w:tc>
        <w:tc>
          <w:tcPr>
            <w:tcW w:w="1559" w:type="dxa"/>
          </w:tcPr>
          <w:p w14:paraId="514865E9" w14:textId="77777777" w:rsidR="00600FEC" w:rsidRPr="00CC20C7" w:rsidRDefault="00600FEC" w:rsidP="00F9167A">
            <w:pPr>
              <w:spacing w:after="120"/>
            </w:pPr>
            <w:r w:rsidRPr="00235019">
              <w:t>Tab. 44 poz. 23</w:t>
            </w:r>
            <w:r w:rsidRPr="00235019">
              <w:br/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617A8A29" w14:textId="5E5F7C46" w:rsidR="00600FEC" w:rsidRPr="00CC20C7" w:rsidRDefault="00600FEC" w:rsidP="00E56160">
            <w:pPr>
              <w:spacing w:after="120"/>
            </w:pPr>
            <w:r w:rsidRPr="00E56160">
              <w:t>Rozporządzenie zostało wydane 4 stycznia 2017 r., weszło w życie z dniem 1 lipca 2017 r.</w:t>
            </w:r>
            <w:r w:rsidR="00F3258D">
              <w:t xml:space="preserve"> </w:t>
            </w:r>
          </w:p>
        </w:tc>
      </w:tr>
      <w:tr w:rsidR="00600FEC" w:rsidRPr="00CC20C7" w14:paraId="41AA7498" w14:textId="77777777" w:rsidTr="00553DF5">
        <w:tc>
          <w:tcPr>
            <w:tcW w:w="539" w:type="dxa"/>
            <w:shd w:val="clear" w:color="auto" w:fill="auto"/>
            <w:vAlign w:val="center"/>
          </w:tcPr>
          <w:p w14:paraId="3F25810E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1CD4DEFD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 xml:space="preserve">Nowelizacja ustawy z dnia 13 września 1996 r. o utrzymaniu czystości i porządku w gminach w kierunku zniesienia możliwości: ryczałtowego rozliczania firm odbierających odpady komunalne od mieszkańców oraz </w:t>
            </w:r>
          </w:p>
          <w:p w14:paraId="2D7B4EC7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 xml:space="preserve">łączenia przetargu na odbiór i zagospodarowanie odpadów. </w:t>
            </w:r>
          </w:p>
          <w:p w14:paraId="6E89EAFA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lastRenderedPageBreak/>
              <w:t>Określenie procentowej różnicy pomiędzy stawkami opłat za odpady zbierane w sposób selektywny a odpadami zbieranymi w sposób nieselektywny</w:t>
            </w:r>
          </w:p>
        </w:tc>
        <w:tc>
          <w:tcPr>
            <w:tcW w:w="1985" w:type="dxa"/>
            <w:shd w:val="clear" w:color="auto" w:fill="auto"/>
          </w:tcPr>
          <w:p w14:paraId="3C086BFC" w14:textId="77777777" w:rsidR="00600FEC" w:rsidRPr="00CC20C7" w:rsidRDefault="00600FEC" w:rsidP="002253D7">
            <w:pPr>
              <w:spacing w:after="120"/>
            </w:pPr>
            <w:r w:rsidRPr="00CC20C7">
              <w:lastRenderedPageBreak/>
              <w:t>Minister Środowiska</w:t>
            </w:r>
          </w:p>
        </w:tc>
        <w:tc>
          <w:tcPr>
            <w:tcW w:w="1676" w:type="dxa"/>
            <w:shd w:val="clear" w:color="auto" w:fill="auto"/>
          </w:tcPr>
          <w:p w14:paraId="2A23836E" w14:textId="77777777" w:rsidR="00600FEC" w:rsidRPr="00CC20C7" w:rsidRDefault="00600FEC" w:rsidP="002253D7">
            <w:pPr>
              <w:spacing w:after="120"/>
            </w:pPr>
            <w:r w:rsidRPr="00CC20C7">
              <w:t>2016-2017</w:t>
            </w:r>
          </w:p>
        </w:tc>
        <w:tc>
          <w:tcPr>
            <w:tcW w:w="1559" w:type="dxa"/>
          </w:tcPr>
          <w:p w14:paraId="2F75E77B" w14:textId="77777777" w:rsidR="00600FEC" w:rsidRPr="00CC20C7" w:rsidRDefault="00600FEC" w:rsidP="00F9167A">
            <w:pPr>
              <w:spacing w:after="120"/>
            </w:pPr>
            <w:r w:rsidRPr="008C210A">
              <w:t>Tab. 44 poz. 6</w:t>
            </w:r>
            <w:r w:rsidRPr="008C210A">
              <w:br/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593E2F53" w14:textId="77777777" w:rsidR="00600FEC" w:rsidRPr="00CC20C7" w:rsidRDefault="00600FEC" w:rsidP="008A0126">
            <w:pPr>
              <w:spacing w:after="120"/>
            </w:pPr>
            <w:r w:rsidRPr="00B43EEA">
              <w:t>Trwają prace nad projektem ustawy. W dniu 22 stycznia 2018 r. projekt został przekazany do uzgodnień wewnątrzresortowych</w:t>
            </w:r>
          </w:p>
        </w:tc>
      </w:tr>
      <w:tr w:rsidR="00600FEC" w:rsidRPr="00617C3C" w14:paraId="0F1740EC" w14:textId="77777777" w:rsidTr="00553DF5">
        <w:tc>
          <w:tcPr>
            <w:tcW w:w="539" w:type="dxa"/>
          </w:tcPr>
          <w:p w14:paraId="4347C535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336561DD" w14:textId="77777777" w:rsidR="00600FEC" w:rsidRPr="00617C3C" w:rsidRDefault="00600FEC" w:rsidP="00AC6E14">
            <w:pPr>
              <w:snapToGrid w:val="0"/>
              <w:jc w:val="both"/>
              <w:rPr>
                <w:bCs/>
              </w:rPr>
            </w:pPr>
            <w:r w:rsidRPr="00617C3C">
              <w:t>Prowadzenie kontroli organizacji odzysku, podmiotów zbierających oraz zakładów przetwarzania zużytego sprzętu elektrycznego i elektronicznego oraz zakładów przetwarzania baterii i akumulatorów</w:t>
            </w:r>
          </w:p>
        </w:tc>
        <w:tc>
          <w:tcPr>
            <w:tcW w:w="1985" w:type="dxa"/>
          </w:tcPr>
          <w:p w14:paraId="53682C6E" w14:textId="77777777" w:rsidR="00600FEC" w:rsidRPr="00617C3C" w:rsidRDefault="00600FEC" w:rsidP="002253D7">
            <w:pPr>
              <w:snapToGrid w:val="0"/>
            </w:pPr>
            <w:r w:rsidRPr="00617C3C">
              <w:t xml:space="preserve">Inspekcja Ochrony Środowiska, </w:t>
            </w:r>
            <w:r w:rsidRPr="00232452">
              <w:t>Policja (PG), Urzędy</w:t>
            </w:r>
            <w:r w:rsidRPr="00617C3C">
              <w:t xml:space="preserve"> Kontroli Skarbowej</w:t>
            </w:r>
          </w:p>
        </w:tc>
        <w:tc>
          <w:tcPr>
            <w:tcW w:w="1676" w:type="dxa"/>
          </w:tcPr>
          <w:p w14:paraId="5E7D6D4C" w14:textId="77777777" w:rsidR="00600FEC" w:rsidRDefault="00600FEC" w:rsidP="002253D7">
            <w:r w:rsidRPr="00617C3C">
              <w:t>2011-2022</w:t>
            </w:r>
          </w:p>
          <w:p w14:paraId="0CD6E7AF" w14:textId="77777777" w:rsidR="00600FEC" w:rsidRDefault="00600FEC" w:rsidP="002253D7">
            <w:pPr>
              <w:rPr>
                <w:highlight w:val="red"/>
              </w:rPr>
            </w:pPr>
          </w:p>
          <w:p w14:paraId="2B82EDB5" w14:textId="77777777" w:rsidR="00600FEC" w:rsidRDefault="00600FEC" w:rsidP="002253D7">
            <w:pPr>
              <w:rPr>
                <w:highlight w:val="red"/>
              </w:rPr>
            </w:pPr>
          </w:p>
          <w:p w14:paraId="58E5F705" w14:textId="77777777" w:rsidR="00600FEC" w:rsidRPr="00617C3C" w:rsidRDefault="00600FEC" w:rsidP="002253D7"/>
        </w:tc>
        <w:tc>
          <w:tcPr>
            <w:tcW w:w="1559" w:type="dxa"/>
          </w:tcPr>
          <w:p w14:paraId="0942527C" w14:textId="77777777" w:rsidR="00600FEC" w:rsidRDefault="00600FEC" w:rsidP="00910063">
            <w:r w:rsidRPr="00617C3C">
              <w:t>Tab. 39 poz. 21</w:t>
            </w:r>
          </w:p>
          <w:p w14:paraId="50632674" w14:textId="77777777" w:rsidR="00600FEC" w:rsidRDefault="00600FEC" w:rsidP="00910063">
            <w:r w:rsidRPr="00001907">
              <w:t>w Kpgo 2014</w:t>
            </w:r>
          </w:p>
          <w:p w14:paraId="06C70DF4" w14:textId="77777777" w:rsidR="00600FEC" w:rsidRDefault="00600FEC" w:rsidP="00910063"/>
          <w:p w14:paraId="1D6F0D01" w14:textId="77777777" w:rsidR="00600FEC" w:rsidRPr="00617C3C" w:rsidRDefault="00600FEC" w:rsidP="00910063"/>
        </w:tc>
        <w:tc>
          <w:tcPr>
            <w:tcW w:w="5670" w:type="dxa"/>
          </w:tcPr>
          <w:p w14:paraId="1B641B7E" w14:textId="77777777" w:rsidR="00CB1334" w:rsidRPr="00CB1334" w:rsidRDefault="00CB1334" w:rsidP="00CB1334">
            <w:pPr>
              <w:jc w:val="both"/>
              <w:rPr>
                <w:color w:val="000000"/>
              </w:rPr>
            </w:pPr>
            <w:r w:rsidRPr="00CB1334">
              <w:rPr>
                <w:color w:val="000000"/>
              </w:rPr>
              <w:t xml:space="preserve">Zadanie realizowane przez wojewódzkich inspektorów ochrony środowiska na bieżąco. Kontrole organizacji odzysku sprzętu elektrycznego i elektronicznego, podmiotów zbierających zużyty sprzęt elektryczny i elektroniczny oraz zakładów przetwarzania zużytych baterii i zużytych akumulatorów prowadzone są przez wojewódzkich inspektorów ochrony środowiska w ramach kontroli przestrzegania przepisów o zużytym sprzęcie elektrycznym i elektronicznym oraz przestrzegania przepisów o bateriach i akumulatorach, na podstawie ustawy z dnia 20 lipca 1991 r. o Inspekcji Ochrony Środowiska (Dz. U. z 2016 r. poz. 1688, z 2017 r. poz. 1566 i 1567, oraz z 2018 r. poz. 88 i 650). Zgodnie z art. 86 ustawy z dnia 29 lipca 2005 r. o zużytym sprzęcie elektrycznym i elektronicznym (Dz. U. z 2015 r. poz. 1688, z 2017 r. poz. 2056, oraz z 2018 r. poz. 650), wojewódzki inspektor ochrony środowiska co najmniej raz w roku przeprowadza kontrolę zakładu przetwarzania zużytego sprzętu elektrycznego i elektronicznego. </w:t>
            </w:r>
          </w:p>
          <w:p w14:paraId="6A7F745B" w14:textId="77777777" w:rsidR="00CB1334" w:rsidRPr="00CB1334" w:rsidRDefault="00CB1334" w:rsidP="00CB1334">
            <w:pPr>
              <w:jc w:val="both"/>
              <w:rPr>
                <w:color w:val="000000"/>
              </w:rPr>
            </w:pPr>
            <w:r w:rsidRPr="00CB1334">
              <w:rPr>
                <w:color w:val="000000"/>
              </w:rPr>
              <w:t xml:space="preserve">W okresie od 1 stycznia 2014 r. do 11 sierpnia 2016 r. na terenie kraju przeprowadzono 1122 kontrole zakładów przetwarzania zużytego sprzętu elektrycznego i elektronicznego oraz innych podmiotów podlegających przepisom o zużytym sprzęcie elektrycznym i elektronicznym, a także 32 kontrole zakładów przetwarzania zużytych baterii i zużytych akumulatorów. </w:t>
            </w:r>
          </w:p>
          <w:p w14:paraId="369FC11E" w14:textId="77777777" w:rsidR="00CB1334" w:rsidRPr="00CB1334" w:rsidRDefault="00CB1334" w:rsidP="00CB1334">
            <w:pPr>
              <w:jc w:val="both"/>
              <w:rPr>
                <w:color w:val="000000"/>
              </w:rPr>
            </w:pPr>
            <w:r w:rsidRPr="00CB1334">
              <w:rPr>
                <w:color w:val="000000"/>
              </w:rPr>
              <w:t xml:space="preserve">Zgodnie z art. 14 ustawy z dnia 6 kwietnia 1990 r. o Policji (Dz. U. z 2017 r. poz. 2067 i 2405, oraz z 2018 r. poz. 106, 416, 650 i 730), w ramach swoich zadań Policja wykonywała czynności dochodzeniowo - śledcze oraz operacyjno-rozpoznawcze w celu rozpoznawania, zapobiegania i wykrywania przestępstw, w tym </w:t>
            </w:r>
            <w:r w:rsidRPr="00CB1334">
              <w:rPr>
                <w:color w:val="000000"/>
              </w:rPr>
              <w:lastRenderedPageBreak/>
              <w:t>również związanych z degradacją środowiska.</w:t>
            </w:r>
          </w:p>
          <w:p w14:paraId="3C11B9F2" w14:textId="7381085F" w:rsidR="00600FEC" w:rsidRPr="00617C3C" w:rsidRDefault="00600FEC" w:rsidP="00AC6E14">
            <w:pPr>
              <w:jc w:val="both"/>
            </w:pPr>
            <w:r w:rsidRPr="006414DE">
              <w:rPr>
                <w:color w:val="000000"/>
              </w:rPr>
              <w:t>Czynności kontrolne nie należą do zadań ustawowych Policji.</w:t>
            </w:r>
            <w:r>
              <w:t xml:space="preserve"> </w:t>
            </w:r>
            <w:r w:rsidRPr="006414DE">
              <w:t>Wydziały dw. z przestępczością gospodarczą jednostek Policji na bieżąco współpracowały z właściwymi Inspektoratami Ochrony Środowiska, uczestnicząc w kontrolach, a w przypadku uzyskania informacji lub ujawnienia nieprawidłowości zlecały i koordynowały podejmowane przez IOŚ czynności.</w:t>
            </w:r>
          </w:p>
        </w:tc>
      </w:tr>
      <w:tr w:rsidR="00600FEC" w:rsidRPr="00617C3C" w14:paraId="149F9325" w14:textId="77777777" w:rsidTr="00553DF5">
        <w:tc>
          <w:tcPr>
            <w:tcW w:w="539" w:type="dxa"/>
          </w:tcPr>
          <w:p w14:paraId="0A226691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64C5916E" w14:textId="623284D5" w:rsidR="00600FEC" w:rsidRPr="00617C3C" w:rsidRDefault="00600FEC" w:rsidP="00AC6E14">
            <w:pPr>
              <w:snapToGrid w:val="0"/>
              <w:jc w:val="both"/>
            </w:pPr>
            <w:r w:rsidRPr="00617C3C">
              <w:t xml:space="preserve">Prowadzenie kontroli stacji demontażu pojazdów wycofanych z </w:t>
            </w:r>
            <w:r w:rsidRPr="006612A9">
              <w:t>eksploatacji, ze szczególnym uwzględnieniem wymogów, określonych w ustawie z dnia 22 stycznia 2010 r. o zmianie ustawy o odpadach oraz niektórych innych ustaw</w:t>
            </w:r>
            <w:r w:rsidR="00883627">
              <w:t xml:space="preserve"> </w:t>
            </w:r>
            <w:r w:rsidR="00883627" w:rsidRPr="00883627">
              <w:t>(Dz. U. poz. 145)</w:t>
            </w:r>
          </w:p>
        </w:tc>
        <w:tc>
          <w:tcPr>
            <w:tcW w:w="1985" w:type="dxa"/>
          </w:tcPr>
          <w:p w14:paraId="0A69111D" w14:textId="77777777" w:rsidR="00600FEC" w:rsidRPr="00232452" w:rsidRDefault="00600FEC" w:rsidP="002253D7">
            <w:pPr>
              <w:snapToGrid w:val="0"/>
            </w:pPr>
            <w:r w:rsidRPr="00232452">
              <w:t>Główny Inspektor Ochrony Środowiska, Policja, wojewódzcy inspektorzy ochrony środowiska</w:t>
            </w:r>
          </w:p>
        </w:tc>
        <w:tc>
          <w:tcPr>
            <w:tcW w:w="1676" w:type="dxa"/>
          </w:tcPr>
          <w:p w14:paraId="7BC24B71" w14:textId="77777777" w:rsidR="00600FEC" w:rsidRDefault="00600FEC" w:rsidP="002253D7">
            <w:r w:rsidRPr="006612A9">
              <w:t>2011-2022</w:t>
            </w:r>
          </w:p>
          <w:p w14:paraId="67D519F2" w14:textId="77777777" w:rsidR="00600FEC" w:rsidRPr="00617C3C" w:rsidRDefault="00600FEC" w:rsidP="002253D7"/>
        </w:tc>
        <w:tc>
          <w:tcPr>
            <w:tcW w:w="1559" w:type="dxa"/>
          </w:tcPr>
          <w:p w14:paraId="75514854" w14:textId="77777777" w:rsidR="00600FEC" w:rsidRDefault="00600FEC" w:rsidP="00910063">
            <w:r w:rsidRPr="00617C3C">
              <w:t>Tab. 39 poz. 23</w:t>
            </w:r>
          </w:p>
          <w:p w14:paraId="4A50C28A" w14:textId="77777777" w:rsidR="00600FEC" w:rsidRPr="00617C3C" w:rsidRDefault="00600FEC" w:rsidP="00910063">
            <w:r w:rsidRPr="00001907">
              <w:t>w Kpgo 2014</w:t>
            </w:r>
          </w:p>
        </w:tc>
        <w:tc>
          <w:tcPr>
            <w:tcW w:w="5670" w:type="dxa"/>
          </w:tcPr>
          <w:p w14:paraId="17440413" w14:textId="0A4ED0BA" w:rsidR="00600FEC" w:rsidRDefault="00600FEC" w:rsidP="00DE3569">
            <w:pPr>
              <w:jc w:val="both"/>
              <w:rPr>
                <w:color w:val="000000"/>
              </w:rPr>
            </w:pPr>
            <w:r w:rsidRPr="003D5815">
              <w:rPr>
                <w:color w:val="000000"/>
              </w:rPr>
              <w:t>Zadanie realizowane przez wojewódzkich inspektorów ochrony środowiska na bieżąco. Zgodnie z art. 43 ustawy z dnia 20 stycznia 2005r. o recyklingu pojazdów wycofanych z eksploatacji, obowiązującym do 31 grudnia 2016 r., wojewódzki inspektor ochrony środowiska co najmniej raz w roku kontroluje każdą stację demontażu. W okresie od 1 stycznia 2014 r. do 11 sierpnia 2016 r.</w:t>
            </w:r>
            <w:r w:rsidR="00F3258D">
              <w:rPr>
                <w:color w:val="000000"/>
              </w:rPr>
              <w:t xml:space="preserve"> </w:t>
            </w:r>
            <w:r w:rsidRPr="003D5815">
              <w:rPr>
                <w:color w:val="000000"/>
              </w:rPr>
              <w:t>na terenie kraju przeprowadzono 2753 kontrole stacji demontażu.</w:t>
            </w:r>
          </w:p>
          <w:p w14:paraId="275CFB82" w14:textId="77777777" w:rsidR="00600FEC" w:rsidRPr="006414DE" w:rsidRDefault="00600FEC" w:rsidP="00DE3569">
            <w:pPr>
              <w:jc w:val="both"/>
              <w:rPr>
                <w:color w:val="000000"/>
              </w:rPr>
            </w:pPr>
            <w:r w:rsidRPr="006414DE">
              <w:rPr>
                <w:color w:val="000000"/>
              </w:rPr>
              <w:t xml:space="preserve">Zgodnie z art. 14 ustawy z dnia 06 kwietnia 1990 r. </w:t>
            </w:r>
            <w:r w:rsidRPr="006B34E3">
              <w:rPr>
                <w:color w:val="000000"/>
              </w:rPr>
              <w:t>o Policji,</w:t>
            </w:r>
            <w:r w:rsidRPr="006414DE">
              <w:rPr>
                <w:color w:val="000000"/>
              </w:rPr>
              <w:t xml:space="preserve"> w ramach swoich zadań Policja wykonywała czynności dochodzeniowo - śledcze oraz </w:t>
            </w:r>
            <w:proofErr w:type="spellStart"/>
            <w:r w:rsidRPr="006414DE">
              <w:rPr>
                <w:color w:val="000000"/>
              </w:rPr>
              <w:t>operacyjno</w:t>
            </w:r>
            <w:proofErr w:type="spellEnd"/>
            <w:r w:rsidRPr="006414DE">
              <w:rPr>
                <w:color w:val="000000"/>
              </w:rPr>
              <w:t xml:space="preserve"> - rozpoznawcze w celu rozpoznawania, zapobiegania i wykrywania przestępstw, w tym również związanych z degradacją środowiska.</w:t>
            </w:r>
          </w:p>
          <w:p w14:paraId="35298351" w14:textId="77777777" w:rsidR="00600FEC" w:rsidRPr="00617C3C" w:rsidRDefault="00600FEC" w:rsidP="00DE3569">
            <w:pPr>
              <w:jc w:val="both"/>
            </w:pPr>
            <w:r w:rsidRPr="006414DE">
              <w:rPr>
                <w:color w:val="000000"/>
              </w:rPr>
              <w:t>Czynności kontrolne nie należą do zadań ustawowych Policji.</w:t>
            </w:r>
            <w:r>
              <w:t xml:space="preserve"> </w:t>
            </w:r>
            <w:r w:rsidRPr="006414DE">
              <w:t>Wydziały dw. z przestępczością gospodarczą jednostek Policji na bieżąco współpracowały z właściwymi Inspektoratami Ochrony Środowiska, uczestnicząc w kontrolach, a w przypadku uzyskania informacji lub ujawnienia nieprawidłowości zlecały i koordynowały podejmowane przez IOŚ czynności.</w:t>
            </w:r>
          </w:p>
        </w:tc>
      </w:tr>
      <w:tr w:rsidR="00600FEC" w:rsidRPr="00CC20C7" w14:paraId="64004DAB" w14:textId="77777777" w:rsidTr="00553DF5">
        <w:tc>
          <w:tcPr>
            <w:tcW w:w="539" w:type="dxa"/>
            <w:shd w:val="clear" w:color="auto" w:fill="auto"/>
            <w:vAlign w:val="center"/>
          </w:tcPr>
          <w:p w14:paraId="48DCA851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5431F5E7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 xml:space="preserve">Prowadzenie kontroli: </w:t>
            </w:r>
          </w:p>
          <w:p w14:paraId="1BB38DE4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>- organizacji odzysku, podmiotów zbierających oraz instalacji do przetwarzania ZSEE,</w:t>
            </w:r>
          </w:p>
          <w:p w14:paraId="525717AD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>- instalacji do przetwarzania zużytych baterii i zużytych akumulatorów,</w:t>
            </w:r>
          </w:p>
          <w:p w14:paraId="72343C5C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 xml:space="preserve">- punktów zbierania pojazdów, stacji </w:t>
            </w:r>
            <w:r w:rsidRPr="00CC20C7">
              <w:lastRenderedPageBreak/>
              <w:t>demontażu pojazdów,</w:t>
            </w:r>
          </w:p>
          <w:p w14:paraId="58FC8091" w14:textId="77777777" w:rsidR="00600FEC" w:rsidRPr="00CC20C7" w:rsidRDefault="00600FEC" w:rsidP="00CC20C7">
            <w:pPr>
              <w:autoSpaceDE w:val="0"/>
              <w:autoSpaceDN w:val="0"/>
              <w:adjustRightInd w:val="0"/>
            </w:pPr>
            <w:r w:rsidRPr="00CC20C7">
              <w:t>- podmiotów wytwarzających odpady medyczne oraz spalarni odpadów medycznych i weterynaryjnych.</w:t>
            </w:r>
          </w:p>
        </w:tc>
        <w:tc>
          <w:tcPr>
            <w:tcW w:w="1985" w:type="dxa"/>
            <w:shd w:val="clear" w:color="auto" w:fill="auto"/>
          </w:tcPr>
          <w:p w14:paraId="69DD3149" w14:textId="77777777" w:rsidR="00600FEC" w:rsidRPr="00232452" w:rsidRDefault="00600FEC" w:rsidP="002253D7">
            <w:pPr>
              <w:spacing w:after="120"/>
            </w:pPr>
            <w:r w:rsidRPr="00232452">
              <w:lastRenderedPageBreak/>
              <w:t>Inspekcja Ochrony Środowiska, Policja (PG), Urzędy Kontroli Skarbowej</w:t>
            </w:r>
          </w:p>
        </w:tc>
        <w:tc>
          <w:tcPr>
            <w:tcW w:w="1676" w:type="dxa"/>
            <w:shd w:val="clear" w:color="auto" w:fill="auto"/>
          </w:tcPr>
          <w:p w14:paraId="65B8ABF6" w14:textId="77777777" w:rsidR="00600FEC" w:rsidRPr="00CC20C7" w:rsidRDefault="00600FEC" w:rsidP="002253D7">
            <w:pPr>
              <w:spacing w:after="120"/>
            </w:pPr>
            <w:r w:rsidRPr="00CC20C7">
              <w:t>do końca 2030 r.</w:t>
            </w:r>
          </w:p>
        </w:tc>
        <w:tc>
          <w:tcPr>
            <w:tcW w:w="1559" w:type="dxa"/>
          </w:tcPr>
          <w:p w14:paraId="78A9F287" w14:textId="77777777" w:rsidR="00600FEC" w:rsidRPr="00566EBC" w:rsidRDefault="00600FEC" w:rsidP="00566EBC">
            <w:pPr>
              <w:spacing w:after="120"/>
            </w:pPr>
            <w:r w:rsidRPr="00566EBC">
              <w:t>Tab. 44 poz.7</w:t>
            </w:r>
          </w:p>
          <w:p w14:paraId="2ACA100B" w14:textId="77777777" w:rsidR="00600FEC" w:rsidRPr="00566EBC" w:rsidRDefault="00600FEC" w:rsidP="00566EBC">
            <w:pPr>
              <w:spacing w:after="120"/>
            </w:pPr>
            <w:r w:rsidRPr="00566EBC">
              <w:t>w Kpgo 2022</w:t>
            </w:r>
          </w:p>
          <w:p w14:paraId="24D63829" w14:textId="77777777" w:rsidR="00600FEC" w:rsidRPr="00CC20C7" w:rsidRDefault="00600FEC" w:rsidP="00F9167A">
            <w:pPr>
              <w:spacing w:after="120"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C5CE6" w14:textId="76D20516" w:rsidR="00D34D51" w:rsidRPr="00D34D51" w:rsidRDefault="00D34D51" w:rsidP="00D34D51">
            <w:pPr>
              <w:jc w:val="both"/>
              <w:rPr>
                <w:color w:val="000000"/>
              </w:rPr>
            </w:pPr>
            <w:r w:rsidRPr="00D34D51">
              <w:rPr>
                <w:color w:val="000000"/>
              </w:rPr>
              <w:t xml:space="preserve">Zadanie realizowane przez wojewódzkich inspektorów ochrony środowiska na bieżąco. Kontrole organizacji odzysku sprzętu elektrycznego i elektronicznego, podmiotów zbierających zużyty sprzęt elektryczny i elektroniczny, zakładów przetwarzania zużytych baterii i zużytych akumulatorów oraz punktów zbierania pojazdów i stacji demontażu, prowadzone są przez wojewódzkich inspektorów ochrony środowiska w ramach kontroli przestrzegania </w:t>
            </w:r>
            <w:r w:rsidRPr="00D34D51">
              <w:rPr>
                <w:color w:val="000000"/>
              </w:rPr>
              <w:lastRenderedPageBreak/>
              <w:t>przepisów o zużytym sprzęcie elektrycznym i elektronicznym, przepisów o bateriach i akumulatorach oraz przepisów o recyklingu pojazdów wycofanych z eksploatacji, na podstawie ustawy z dnia 20 lipca 1991 r. o Inspekcji Ochrony Środowiska. Zgodnie z art. 86 ustawy z dnia 29 lipca 2005r. o zużytym sprzęcie elektrycznym i elektronicznym, wojewódzki inspektor ochrony środowiska co najmniej raz w roku przeprowadza kontrolę zakładu przetwarzania zużytego sprzętu elektrycznego i elektronicznego. Zgodnie zaś z art. 43 ustawy z dnia 20 stycznia 2005</w:t>
            </w:r>
            <w:r>
              <w:rPr>
                <w:color w:val="000000"/>
              </w:rPr>
              <w:t> </w:t>
            </w:r>
            <w:r w:rsidRPr="00D34D51">
              <w:rPr>
                <w:color w:val="000000"/>
              </w:rPr>
              <w:t>r. o recyklingu pojazdów wycofanych z eksploatacji, obowiązującym do 31 grudnia 2016 r., wojewódzki inspektor ochrony środowiska co najmniej raz w roku kontroluje każdą stację demontażu.</w:t>
            </w:r>
          </w:p>
          <w:p w14:paraId="1AC98473" w14:textId="77777777" w:rsidR="00600FEC" w:rsidRPr="00C24F0F" w:rsidRDefault="00600FEC" w:rsidP="00DE3569">
            <w:pPr>
              <w:jc w:val="both"/>
              <w:rPr>
                <w:color w:val="000000"/>
              </w:rPr>
            </w:pPr>
            <w:r w:rsidRPr="00C24F0F">
              <w:rPr>
                <w:color w:val="000000"/>
              </w:rPr>
              <w:t>W okresie od 12 sierpnia do 31 grudnia 2016 r. na terenie kraju przeprowadzono:</w:t>
            </w:r>
          </w:p>
          <w:p w14:paraId="3FEAFAB5" w14:textId="77777777" w:rsidR="00600FEC" w:rsidRPr="00C24F0F" w:rsidRDefault="00600FEC" w:rsidP="00DE3569">
            <w:pPr>
              <w:numPr>
                <w:ilvl w:val="0"/>
                <w:numId w:val="18"/>
              </w:numPr>
              <w:ind w:left="459" w:hanging="283"/>
              <w:jc w:val="both"/>
              <w:rPr>
                <w:color w:val="000000"/>
              </w:rPr>
            </w:pPr>
            <w:r w:rsidRPr="00C24F0F">
              <w:rPr>
                <w:color w:val="000000"/>
              </w:rPr>
              <w:t xml:space="preserve">174 kontrole zakładów przetwarzania zużytego sprzętu elektrycznego i elektronicznego oraz innych podmiotów podlegających przepisom o zużytym sprzęcie elektrycznym i elektronicznym, </w:t>
            </w:r>
          </w:p>
          <w:p w14:paraId="34A0BDCF" w14:textId="77777777" w:rsidR="00600FEC" w:rsidRPr="00C24F0F" w:rsidRDefault="00600FEC" w:rsidP="00DE3569">
            <w:pPr>
              <w:numPr>
                <w:ilvl w:val="0"/>
                <w:numId w:val="18"/>
              </w:numPr>
              <w:ind w:left="459" w:hanging="283"/>
              <w:jc w:val="both"/>
              <w:rPr>
                <w:color w:val="000000"/>
              </w:rPr>
            </w:pPr>
            <w:r w:rsidRPr="00C24F0F">
              <w:rPr>
                <w:color w:val="000000"/>
              </w:rPr>
              <w:t>18 kontrole zakładów przetwarzania zużytych baterii i zużytych akumulatorów,</w:t>
            </w:r>
          </w:p>
          <w:p w14:paraId="159E6FB1" w14:textId="77777777" w:rsidR="00600FEC" w:rsidRPr="00C24F0F" w:rsidRDefault="00600FEC" w:rsidP="00DE3569">
            <w:pPr>
              <w:numPr>
                <w:ilvl w:val="0"/>
                <w:numId w:val="18"/>
              </w:numPr>
              <w:ind w:left="459" w:hanging="283"/>
              <w:jc w:val="both"/>
              <w:rPr>
                <w:color w:val="000000"/>
              </w:rPr>
            </w:pPr>
            <w:r w:rsidRPr="00C24F0F">
              <w:rPr>
                <w:color w:val="000000"/>
              </w:rPr>
              <w:t>259 kontroli stacji demontażu pojazdów</w:t>
            </w:r>
          </w:p>
          <w:p w14:paraId="7A2F8355" w14:textId="77777777" w:rsidR="00600FEC" w:rsidRPr="00C24F0F" w:rsidRDefault="00600FEC" w:rsidP="00DE3569">
            <w:pPr>
              <w:jc w:val="both"/>
              <w:rPr>
                <w:color w:val="000000"/>
              </w:rPr>
            </w:pPr>
            <w:r w:rsidRPr="00C24F0F">
              <w:rPr>
                <w:color w:val="000000"/>
              </w:rPr>
              <w:t>Wojewódzcy inspektorzy ochrony środowiska przeprowadzili w okresie od 12 sierpnia do 31 grudnia 2016 r. 49 kontroli podmiotów wytwarzających odpady medyczne oraz spalarni odpadów medycznych i weterynaryjnych. Kontrole są prowadzone z częstotliwością wynikającą z kategorii ryzyka.</w:t>
            </w:r>
          </w:p>
          <w:p w14:paraId="04E9E1E6" w14:textId="3C4333AD" w:rsidR="00600FEC" w:rsidRPr="006414DE" w:rsidRDefault="00600FEC" w:rsidP="00DE3569">
            <w:pPr>
              <w:jc w:val="both"/>
              <w:rPr>
                <w:color w:val="000000"/>
              </w:rPr>
            </w:pPr>
            <w:r w:rsidRPr="006414DE">
              <w:rPr>
                <w:color w:val="000000"/>
              </w:rPr>
              <w:t xml:space="preserve">Zgodnie z art. 14 ustawy z dnia 6 kwietnia 1990 r. </w:t>
            </w:r>
            <w:r w:rsidRPr="00196FFC">
              <w:rPr>
                <w:color w:val="000000"/>
              </w:rPr>
              <w:t>o Policji,</w:t>
            </w:r>
            <w:r w:rsidRPr="006414DE">
              <w:rPr>
                <w:color w:val="000000"/>
              </w:rPr>
              <w:t xml:space="preserve"> w ramach swoich zadań Policja wykonywała czynności dochodzeniowo - śledcze oraz </w:t>
            </w:r>
            <w:proofErr w:type="spellStart"/>
            <w:r w:rsidRPr="006414DE">
              <w:rPr>
                <w:color w:val="000000"/>
              </w:rPr>
              <w:t>operacyjno</w:t>
            </w:r>
            <w:proofErr w:type="spellEnd"/>
            <w:r w:rsidRPr="006414DE">
              <w:rPr>
                <w:color w:val="000000"/>
              </w:rPr>
              <w:t xml:space="preserve"> - rozpoznawcze w celu rozpoznawania, zapobiegania i wykrywania przestępstw, w tym również związanych z degradacją środowiska.</w:t>
            </w:r>
          </w:p>
          <w:p w14:paraId="1B8BF9F1" w14:textId="77777777" w:rsidR="00600FEC" w:rsidRPr="00CC20C7" w:rsidRDefault="00600FEC" w:rsidP="00DE3569">
            <w:pPr>
              <w:jc w:val="both"/>
            </w:pPr>
            <w:r w:rsidRPr="006414DE">
              <w:rPr>
                <w:color w:val="000000"/>
              </w:rPr>
              <w:t>Czynności kontrolne nie należą do zadań ustawowych Policji.</w:t>
            </w:r>
            <w:r>
              <w:t xml:space="preserve"> </w:t>
            </w:r>
            <w:r w:rsidRPr="006414DE">
              <w:lastRenderedPageBreak/>
              <w:t>Wydziały dw. z przestępczością gospodarczą jednostek Policji na bieżąco współpracowały z właściwymi Inspektoratami Ochrony Środowiska, uczestnicząc w kontrolach, a w przypadku uzyskania informacji lub ujawnienia nieprawidłowości zlecały i koordynowały podejmowane przez IOŚ czynności.</w:t>
            </w:r>
          </w:p>
        </w:tc>
      </w:tr>
      <w:tr w:rsidR="00600FEC" w:rsidRPr="00CC20C7" w14:paraId="2A6BF301" w14:textId="77777777" w:rsidTr="00553DF5">
        <w:tc>
          <w:tcPr>
            <w:tcW w:w="539" w:type="dxa"/>
            <w:shd w:val="clear" w:color="auto" w:fill="auto"/>
            <w:vAlign w:val="center"/>
          </w:tcPr>
          <w:p w14:paraId="7AB07F05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5D11067E" w14:textId="31630A51" w:rsidR="00600FEC" w:rsidRPr="00CC20C7" w:rsidRDefault="00600FEC" w:rsidP="00AC6E14">
            <w:pPr>
              <w:autoSpaceDE w:val="0"/>
              <w:autoSpaceDN w:val="0"/>
              <w:adjustRightInd w:val="0"/>
            </w:pPr>
            <w:r w:rsidRPr="00CC20C7">
              <w:t>Opracowanie wytycznych dla jednostek samorząd</w:t>
            </w:r>
            <w:r w:rsidR="004F19D1">
              <w:t xml:space="preserve">u terytorialnego, dotyczących </w:t>
            </w:r>
            <w:r w:rsidRPr="00CC20C7">
              <w:t>realizacji badań w zakresie analizy składu morfologicznego odpadów, właściwości fizycznych i chemicznych odpadów oraz weryfikacja wyników badań.</w:t>
            </w:r>
          </w:p>
        </w:tc>
        <w:tc>
          <w:tcPr>
            <w:tcW w:w="1985" w:type="dxa"/>
            <w:shd w:val="clear" w:color="auto" w:fill="auto"/>
          </w:tcPr>
          <w:p w14:paraId="7132FAEB" w14:textId="77777777" w:rsidR="00600FEC" w:rsidRPr="00CC20C7" w:rsidRDefault="00600FEC" w:rsidP="002253D7">
            <w:pPr>
              <w:spacing w:after="120"/>
            </w:pPr>
            <w:r w:rsidRPr="00CC20C7">
              <w:t xml:space="preserve">Minister Środowiska </w:t>
            </w:r>
          </w:p>
        </w:tc>
        <w:tc>
          <w:tcPr>
            <w:tcW w:w="1676" w:type="dxa"/>
            <w:shd w:val="clear" w:color="auto" w:fill="auto"/>
          </w:tcPr>
          <w:p w14:paraId="4BD0FFD5" w14:textId="77777777" w:rsidR="00600FEC" w:rsidRPr="00CC20C7" w:rsidRDefault="00600FEC" w:rsidP="002253D7">
            <w:pPr>
              <w:spacing w:after="120"/>
            </w:pPr>
            <w:r w:rsidRPr="00CC20C7">
              <w:t>do końca 2017 r. oraz kontynuacja w latach następnych</w:t>
            </w:r>
          </w:p>
        </w:tc>
        <w:tc>
          <w:tcPr>
            <w:tcW w:w="1559" w:type="dxa"/>
          </w:tcPr>
          <w:p w14:paraId="2BF36EF7" w14:textId="77777777" w:rsidR="00600FEC" w:rsidRPr="00CC20C7" w:rsidRDefault="00600FEC" w:rsidP="00F9167A">
            <w:pPr>
              <w:spacing w:after="120"/>
            </w:pPr>
            <w:r w:rsidRPr="00350E82">
              <w:t>Tab. 44 poz. 8</w:t>
            </w:r>
            <w:r w:rsidRPr="00350E82">
              <w:br/>
              <w:t>w Kpgo 2022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F4B261" w14:textId="3141D644" w:rsidR="00600FEC" w:rsidRPr="00CC20C7" w:rsidRDefault="00600FEC" w:rsidP="000E1C90">
            <w:pPr>
              <w:jc w:val="both"/>
            </w:pPr>
            <w:r w:rsidRPr="000E1C90">
              <w:rPr>
                <w:color w:val="000000"/>
              </w:rPr>
              <w:t xml:space="preserve">Realizacja niniejszej ekspertyzy została przeniesiona na 2018 rok. </w:t>
            </w:r>
          </w:p>
        </w:tc>
      </w:tr>
      <w:tr w:rsidR="00600FEC" w:rsidRPr="00617C3C" w14:paraId="09F6B429" w14:textId="77777777" w:rsidTr="00553DF5">
        <w:tc>
          <w:tcPr>
            <w:tcW w:w="539" w:type="dxa"/>
          </w:tcPr>
          <w:p w14:paraId="0A5636F2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2886A3A1" w14:textId="77777777" w:rsidR="00600FEC" w:rsidRPr="00617C3C" w:rsidRDefault="00600FEC" w:rsidP="00AC6E14">
            <w:pPr>
              <w:snapToGrid w:val="0"/>
            </w:pPr>
            <w:r w:rsidRPr="00617C3C">
              <w:t xml:space="preserve">Prowadzenie kontroli obiektów unieszkodliwiania odpadów wydobywczych </w:t>
            </w:r>
          </w:p>
        </w:tc>
        <w:tc>
          <w:tcPr>
            <w:tcW w:w="1985" w:type="dxa"/>
          </w:tcPr>
          <w:p w14:paraId="5040166D" w14:textId="77777777" w:rsidR="00600FEC" w:rsidRPr="00617C3C" w:rsidRDefault="00600FEC" w:rsidP="002253D7">
            <w:pPr>
              <w:snapToGrid w:val="0"/>
            </w:pPr>
            <w:r w:rsidRPr="00617C3C">
              <w:t>Inspekcja Ochrony Środowiska, marszałkowie województw, Państwowa Straż Pożarna</w:t>
            </w:r>
          </w:p>
        </w:tc>
        <w:tc>
          <w:tcPr>
            <w:tcW w:w="1676" w:type="dxa"/>
          </w:tcPr>
          <w:p w14:paraId="45A9439E" w14:textId="79CB20A0" w:rsidR="00600FEC" w:rsidRDefault="00600FEC" w:rsidP="002253D7">
            <w:r>
              <w:t xml:space="preserve">Wg </w:t>
            </w:r>
            <w:proofErr w:type="spellStart"/>
            <w:r>
              <w:t>kpgo</w:t>
            </w:r>
            <w:proofErr w:type="spellEnd"/>
            <w:r>
              <w:t xml:space="preserve"> 2014 </w:t>
            </w:r>
            <w:r w:rsidRPr="00617C3C">
              <w:t>2011-2022</w:t>
            </w:r>
          </w:p>
          <w:p w14:paraId="77CC05C7" w14:textId="77777777" w:rsidR="00600FEC" w:rsidRDefault="00600FEC" w:rsidP="002253D7"/>
          <w:p w14:paraId="690692A2" w14:textId="77777777" w:rsidR="00600FEC" w:rsidRDefault="00600FEC" w:rsidP="002253D7"/>
          <w:p w14:paraId="3DA35CEE" w14:textId="552338C3" w:rsidR="00600FEC" w:rsidRDefault="00600FEC" w:rsidP="002253D7">
            <w:r>
              <w:t>Wg Kpgo 2022</w:t>
            </w:r>
          </w:p>
          <w:p w14:paraId="0993CD15" w14:textId="29365E1D" w:rsidR="00600FEC" w:rsidRPr="00617C3C" w:rsidRDefault="00600FEC" w:rsidP="002253D7">
            <w:r w:rsidRPr="000D3D6F">
              <w:t>do końca 2030 r.</w:t>
            </w:r>
          </w:p>
        </w:tc>
        <w:tc>
          <w:tcPr>
            <w:tcW w:w="1559" w:type="dxa"/>
          </w:tcPr>
          <w:p w14:paraId="062F5974" w14:textId="77777777" w:rsidR="00600FEC" w:rsidRDefault="00600FEC" w:rsidP="00910063">
            <w:r w:rsidRPr="00617C3C">
              <w:t>Tab. 39 poz. 27</w:t>
            </w:r>
          </w:p>
          <w:p w14:paraId="61875ACE" w14:textId="77777777" w:rsidR="00600FEC" w:rsidRDefault="00600FEC" w:rsidP="00910063">
            <w:r w:rsidRPr="00001907">
              <w:t>w Kpgo 2014</w:t>
            </w:r>
          </w:p>
          <w:p w14:paraId="4C3A18E8" w14:textId="77777777" w:rsidR="00600FEC" w:rsidRDefault="00600FEC" w:rsidP="000D3D6F"/>
          <w:p w14:paraId="6BDA48C8" w14:textId="77777777" w:rsidR="00600FEC" w:rsidRDefault="00600FEC" w:rsidP="000D3D6F"/>
          <w:p w14:paraId="271904C1" w14:textId="77777777" w:rsidR="00600FEC" w:rsidRPr="000D3D6F" w:rsidRDefault="00600FEC" w:rsidP="000D3D6F">
            <w:r w:rsidRPr="000D3D6F">
              <w:t>Tab. 44 poz. 9</w:t>
            </w:r>
          </w:p>
          <w:p w14:paraId="20B37C5C" w14:textId="05D8384F" w:rsidR="00600FEC" w:rsidRPr="00617C3C" w:rsidRDefault="00600FEC" w:rsidP="000D3D6F">
            <w:r w:rsidRPr="000D3D6F">
              <w:t>w Kpgo 2022</w:t>
            </w:r>
          </w:p>
        </w:tc>
        <w:tc>
          <w:tcPr>
            <w:tcW w:w="5670" w:type="dxa"/>
          </w:tcPr>
          <w:p w14:paraId="2E0E7E7E" w14:textId="75D12B38" w:rsidR="00600FEC" w:rsidRDefault="00600FEC" w:rsidP="00C23C3B">
            <w:r w:rsidRPr="00C23C3B">
              <w:t>W okresie od</w:t>
            </w:r>
            <w:r w:rsidR="00F3258D">
              <w:t xml:space="preserve"> </w:t>
            </w:r>
            <w:r w:rsidRPr="00C23C3B">
              <w:t>1 stycznia 2014 r. do 11 sierpnia 2016 r.</w:t>
            </w:r>
            <w:r w:rsidR="00F3258D">
              <w:t xml:space="preserve"> </w:t>
            </w:r>
            <w:r w:rsidRPr="00C23C3B">
              <w:t>wojewódzcy inspektor</w:t>
            </w:r>
            <w:r>
              <w:t>zy</w:t>
            </w:r>
            <w:r w:rsidRPr="00C23C3B">
              <w:t xml:space="preserve"> ochrony środowiska przeprowadzili </w:t>
            </w:r>
            <w:r w:rsidRPr="00C23C3B">
              <w:rPr>
                <w:b/>
              </w:rPr>
              <w:t>197</w:t>
            </w:r>
            <w:r w:rsidRPr="00C23C3B">
              <w:t xml:space="preserve"> kontroli. W pozostałych 7 województwach nie występują obiekty unieszkodliwiania odpadów wydobywczych.</w:t>
            </w:r>
          </w:p>
          <w:p w14:paraId="4D68C6FB" w14:textId="129CE123" w:rsidR="00600FEC" w:rsidRPr="00A47689" w:rsidRDefault="00600FEC" w:rsidP="00A47689">
            <w:pPr>
              <w:spacing w:before="60"/>
              <w:jc w:val="both"/>
            </w:pPr>
            <w:r w:rsidRPr="00A47689">
              <w:t xml:space="preserve">W okresie od 12 sierpnia 2016 r. do 31 grudnia 2016 r. wojewódzcy inspektorzy ochrony środowiska przeprowadzili </w:t>
            </w:r>
            <w:r w:rsidRPr="00A47689">
              <w:rPr>
                <w:b/>
              </w:rPr>
              <w:t>10</w:t>
            </w:r>
            <w:r w:rsidRPr="00A47689">
              <w:t xml:space="preserve"> kontroli. </w:t>
            </w:r>
          </w:p>
          <w:p w14:paraId="47A665FF" w14:textId="734ABABD" w:rsidR="00600FEC" w:rsidRPr="00A47689" w:rsidRDefault="00600FEC" w:rsidP="00A47689">
            <w:pPr>
              <w:spacing w:before="60"/>
              <w:jc w:val="both"/>
            </w:pPr>
            <w:r w:rsidRPr="00A47689">
              <w:t xml:space="preserve">W okresie od 1 stycznia 2014 r. do 31 grudnia 2016 r. właściwe jednostki Państwowej Straży Pożarnej przeprowadziły 5 kontroli obiektów unieszkodliwiania odpadów wydobywczych, Nie stwierdzono w żadnym przypadku nieprawidłowości w zakresie ochrony przeciwpożarowej. </w:t>
            </w:r>
          </w:p>
          <w:p w14:paraId="7D178282" w14:textId="79460AF6" w:rsidR="00600FEC" w:rsidRPr="00617C3C" w:rsidRDefault="00600FEC" w:rsidP="00CA2EE5">
            <w:pPr>
              <w:spacing w:before="60"/>
              <w:jc w:val="both"/>
            </w:pPr>
            <w:r w:rsidRPr="00A47689">
              <w:t xml:space="preserve">Obiekt unieszkodliwiania odpadów wydobywczych kategorii A –należący do KGHM Polska Miedź S.A. „Oddział zakład hydrotechniczny” w Rudnej podlega cyklicznym czynnościom </w:t>
            </w:r>
            <w:proofErr w:type="spellStart"/>
            <w:r w:rsidRPr="00A47689">
              <w:t>kontrolno</w:t>
            </w:r>
            <w:proofErr w:type="spellEnd"/>
            <w:r w:rsidRPr="00A47689">
              <w:t xml:space="preserve"> </w:t>
            </w:r>
            <w:r w:rsidR="00CA2EE5">
              <w:t>-</w:t>
            </w:r>
            <w:r w:rsidRPr="00A47689">
              <w:t xml:space="preserve"> rozpoznawczym z uwagi na uznanie ww. przedsiębiorstwa jako zakładu o dużym ryzyku wystąpienia poważnej awarii przemysłowej w myśl art. 248 ustawy z dnia 27 </w:t>
            </w:r>
            <w:r w:rsidRPr="00A47689">
              <w:lastRenderedPageBreak/>
              <w:t xml:space="preserve">kwietnia 2001 r. </w:t>
            </w:r>
            <w:r w:rsidR="00CA2EE5">
              <w:t xml:space="preserve">- </w:t>
            </w:r>
            <w:r w:rsidRPr="00A47689">
              <w:t>Prawo ochrony środowiska</w:t>
            </w:r>
            <w:r w:rsidR="00CA2EE5" w:rsidRPr="00CA2EE5">
              <w:t>(Dz. U z 2018 r. poz. 799)</w:t>
            </w:r>
            <w:r w:rsidRPr="00A47689">
              <w:t>. W trakcie kontroli w tym obiekcie nie stwierdzono naruszeń przepisów przeciwpożarowych. Ponadto dla obiektu sporządzono zewnętrzny plan operacyjno-ratowniczy, który po aktualizacji w latach 2015oraz 2016 został przyjęty przez Dolnośląskiego Komendanta Wojewódzkiego Państwowej Straży Pożarnej.</w:t>
            </w:r>
          </w:p>
        </w:tc>
      </w:tr>
      <w:tr w:rsidR="00600FEC" w:rsidRPr="00CC20C7" w14:paraId="27D965AB" w14:textId="77777777" w:rsidTr="00553DF5">
        <w:trPr>
          <w:trHeight w:val="1267"/>
        </w:trPr>
        <w:tc>
          <w:tcPr>
            <w:tcW w:w="539" w:type="dxa"/>
            <w:shd w:val="clear" w:color="auto" w:fill="auto"/>
            <w:vAlign w:val="center"/>
          </w:tcPr>
          <w:p w14:paraId="4E6A2786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597B2774" w14:textId="77777777" w:rsidR="00600FEC" w:rsidRPr="00CC20C7" w:rsidRDefault="00600FEC" w:rsidP="00AC6E14">
            <w:pPr>
              <w:snapToGrid w:val="0"/>
            </w:pPr>
            <w:r w:rsidRPr="00CC20C7">
              <w:rPr>
                <w:rFonts w:eastAsia="SimSun"/>
              </w:rPr>
              <w:t>Aktualizacja spisu zamkniętych obiektów unieszkodliwiania odpadów wydobywczych oraz opuszczonych obiektów unieszkodliwiania odpadów wydobywczych.</w:t>
            </w:r>
          </w:p>
        </w:tc>
        <w:tc>
          <w:tcPr>
            <w:tcW w:w="1985" w:type="dxa"/>
            <w:shd w:val="clear" w:color="auto" w:fill="auto"/>
          </w:tcPr>
          <w:p w14:paraId="64A57CEF" w14:textId="2956ED57" w:rsidR="00600FEC" w:rsidRPr="00CC20C7" w:rsidRDefault="00600FEC" w:rsidP="00AC6E14">
            <w:pPr>
              <w:spacing w:after="120"/>
            </w:pPr>
            <w:r w:rsidRPr="00CC20C7">
              <w:t>Główny Inspektor Ochrony Środowiska, wojewódzcy inspektorzy ochrony środowiska</w:t>
            </w:r>
          </w:p>
        </w:tc>
        <w:tc>
          <w:tcPr>
            <w:tcW w:w="1676" w:type="dxa"/>
            <w:shd w:val="clear" w:color="auto" w:fill="auto"/>
          </w:tcPr>
          <w:p w14:paraId="3BB6B6F7" w14:textId="77777777" w:rsidR="00600FEC" w:rsidRPr="008B2765" w:rsidRDefault="00600FEC" w:rsidP="00AC6E14">
            <w:r w:rsidRPr="008B2765">
              <w:t>2011-2022</w:t>
            </w:r>
          </w:p>
          <w:p w14:paraId="6B95E8E9" w14:textId="77777777" w:rsidR="00600FEC" w:rsidRPr="008B2765" w:rsidRDefault="00600FEC" w:rsidP="00AC6E14">
            <w:r w:rsidRPr="008B2765">
              <w:t>(wg Kpgo 2014)</w:t>
            </w:r>
          </w:p>
          <w:p w14:paraId="711521E9" w14:textId="77777777" w:rsidR="00600FEC" w:rsidRPr="008B2765" w:rsidRDefault="00600FEC" w:rsidP="00AC6E14"/>
          <w:p w14:paraId="52C2DDCE" w14:textId="77777777" w:rsidR="00600FEC" w:rsidRPr="00CC20C7" w:rsidRDefault="00600FEC" w:rsidP="00AC6E14">
            <w:r w:rsidRPr="008B2765">
              <w:t>do końca 2030 (wg Kpgo 2022)</w:t>
            </w:r>
          </w:p>
        </w:tc>
        <w:tc>
          <w:tcPr>
            <w:tcW w:w="1559" w:type="dxa"/>
          </w:tcPr>
          <w:p w14:paraId="18C412E9" w14:textId="77777777" w:rsidR="00600FEC" w:rsidRPr="007D328D" w:rsidRDefault="00600FEC" w:rsidP="00AC6E14">
            <w:r w:rsidRPr="007D328D">
              <w:t>Tab. 39 poz. 2</w:t>
            </w:r>
            <w:r>
              <w:t>8</w:t>
            </w:r>
          </w:p>
          <w:p w14:paraId="35163DC7" w14:textId="77777777" w:rsidR="00600FEC" w:rsidRPr="007D328D" w:rsidRDefault="00600FEC" w:rsidP="00AC6E14">
            <w:r w:rsidRPr="007D328D">
              <w:t>w Kpgo 2014</w:t>
            </w:r>
          </w:p>
          <w:p w14:paraId="314CB98F" w14:textId="77777777" w:rsidR="00600FEC" w:rsidRPr="008B2765" w:rsidRDefault="00600FEC" w:rsidP="00AC6E14"/>
          <w:p w14:paraId="67777A9D" w14:textId="77777777" w:rsidR="00600FEC" w:rsidRPr="007D328D" w:rsidRDefault="00600FEC" w:rsidP="00AC6E14">
            <w:r w:rsidRPr="007D328D">
              <w:t>Tab. 44 poz. 1</w:t>
            </w:r>
            <w:r>
              <w:t>0</w:t>
            </w:r>
          </w:p>
          <w:p w14:paraId="6DA7C6CD" w14:textId="77777777" w:rsidR="00600FEC" w:rsidRPr="00CC20C7" w:rsidRDefault="00600FEC" w:rsidP="00AC6E14">
            <w:r w:rsidRPr="007D328D"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5882AAA5" w14:textId="77777777" w:rsidR="00600FEC" w:rsidRPr="00CC20C7" w:rsidRDefault="00600FEC" w:rsidP="00DE3569">
            <w:pPr>
              <w:spacing w:after="120"/>
              <w:jc w:val="both"/>
            </w:pPr>
            <w:r w:rsidRPr="00FC6FBA">
              <w:t xml:space="preserve">Wojewódzcy inspektorzy ochrony środowiska cyklicznie przekazują informację dotyczącą aktualizacji spisu zamkniętych obiektów unieszkodliwiania odpadów wydobywczych oraz opuszczonych obiektów unieszkodliwiania odpadów wydobywczych. Aktualnie w spisie znajduje się </w:t>
            </w:r>
            <w:r w:rsidRPr="00FC6FBA">
              <w:rPr>
                <w:b/>
              </w:rPr>
              <w:t>17</w:t>
            </w:r>
            <w:r w:rsidRPr="00FC6FBA">
              <w:t xml:space="preserve"> obiektów.</w:t>
            </w:r>
          </w:p>
        </w:tc>
      </w:tr>
      <w:tr w:rsidR="00600FEC" w:rsidRPr="00CC20C7" w14:paraId="7E3DFBB0" w14:textId="77777777" w:rsidTr="00553DF5">
        <w:trPr>
          <w:trHeight w:val="1728"/>
        </w:trPr>
        <w:tc>
          <w:tcPr>
            <w:tcW w:w="539" w:type="dxa"/>
            <w:shd w:val="clear" w:color="auto" w:fill="auto"/>
            <w:vAlign w:val="center"/>
          </w:tcPr>
          <w:p w14:paraId="5A1E0FE9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377A937E" w14:textId="42605EE9" w:rsidR="00600FEC" w:rsidRPr="00CC20C7" w:rsidRDefault="00600FEC" w:rsidP="00AC6E14">
            <w:pPr>
              <w:snapToGrid w:val="0"/>
            </w:pPr>
            <w:r w:rsidRPr="00CC20C7">
              <w:t>Prowadzenie kontroli przestrzegania przepisów o gospodarce opakowaniami i odpadami opakowaniowymi.</w:t>
            </w:r>
          </w:p>
        </w:tc>
        <w:tc>
          <w:tcPr>
            <w:tcW w:w="1985" w:type="dxa"/>
            <w:shd w:val="clear" w:color="auto" w:fill="auto"/>
          </w:tcPr>
          <w:p w14:paraId="74792934" w14:textId="0BB4F6DE" w:rsidR="00600FEC" w:rsidRPr="00CC20C7" w:rsidRDefault="00600FEC" w:rsidP="00AC6E14">
            <w:pPr>
              <w:spacing w:after="120"/>
              <w:rPr>
                <w:vertAlign w:val="superscript"/>
              </w:rPr>
            </w:pPr>
            <w:r w:rsidRPr="00CC20C7">
              <w:t>Główny Inspektor Ochrony Środowiska, wojewódzcy inspektorzy ochrony środowiska</w:t>
            </w:r>
          </w:p>
        </w:tc>
        <w:tc>
          <w:tcPr>
            <w:tcW w:w="1676" w:type="dxa"/>
            <w:shd w:val="clear" w:color="auto" w:fill="auto"/>
          </w:tcPr>
          <w:p w14:paraId="672EA753" w14:textId="77777777" w:rsidR="00600FEC" w:rsidRPr="00FA36F1" w:rsidRDefault="00600FEC" w:rsidP="00AC6E14">
            <w:r w:rsidRPr="00FA36F1">
              <w:t>2011-2022</w:t>
            </w:r>
          </w:p>
          <w:p w14:paraId="03D609AD" w14:textId="77777777" w:rsidR="00600FEC" w:rsidRPr="00FA36F1" w:rsidRDefault="00600FEC" w:rsidP="00AC6E14">
            <w:r w:rsidRPr="00FA36F1">
              <w:t>(wg Kpgo 2014)</w:t>
            </w:r>
          </w:p>
          <w:p w14:paraId="453DE240" w14:textId="77777777" w:rsidR="00600FEC" w:rsidRPr="00FA36F1" w:rsidRDefault="00600FEC" w:rsidP="00AC6E14"/>
          <w:p w14:paraId="721D9820" w14:textId="77777777" w:rsidR="00600FEC" w:rsidRPr="00FA36F1" w:rsidRDefault="00600FEC" w:rsidP="00AC6E14">
            <w:r w:rsidRPr="00FA36F1">
              <w:t>do końca 2030</w:t>
            </w:r>
          </w:p>
          <w:p w14:paraId="7461EC86" w14:textId="77777777" w:rsidR="00600FEC" w:rsidRPr="00CC20C7" w:rsidRDefault="00600FEC" w:rsidP="00AC6E14">
            <w:r w:rsidRPr="00FA36F1">
              <w:t>(wg Kpgo 2022)</w:t>
            </w:r>
          </w:p>
        </w:tc>
        <w:tc>
          <w:tcPr>
            <w:tcW w:w="1559" w:type="dxa"/>
          </w:tcPr>
          <w:p w14:paraId="6BBBB5E8" w14:textId="77777777" w:rsidR="00600FEC" w:rsidRDefault="00600FEC" w:rsidP="00AC6E14">
            <w:r w:rsidRPr="00FA36F1">
              <w:t>Tab. 39 poz. 29</w:t>
            </w:r>
          </w:p>
          <w:p w14:paraId="1B3E6E69" w14:textId="77777777" w:rsidR="00600FEC" w:rsidRDefault="00600FEC" w:rsidP="00AC6E14">
            <w:r w:rsidRPr="00FA36F1">
              <w:t>w Kpgo 2014</w:t>
            </w:r>
          </w:p>
          <w:p w14:paraId="451E5FA0" w14:textId="77777777" w:rsidR="00600FEC" w:rsidRPr="00FA36F1" w:rsidRDefault="00600FEC" w:rsidP="00AC6E14"/>
          <w:p w14:paraId="394760C8" w14:textId="77777777" w:rsidR="00600FEC" w:rsidRPr="00FA36F1" w:rsidRDefault="00600FEC" w:rsidP="00AC6E14">
            <w:r w:rsidRPr="00FA36F1">
              <w:t>Tab. 44 poz. 11</w:t>
            </w:r>
          </w:p>
          <w:p w14:paraId="0258A277" w14:textId="77777777" w:rsidR="00600FEC" w:rsidRPr="00CC20C7" w:rsidRDefault="00600FEC" w:rsidP="00AC6E14">
            <w:r w:rsidRPr="00FA36F1"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1D5D5F7D" w14:textId="20011778" w:rsidR="00600FEC" w:rsidRPr="005F09F0" w:rsidRDefault="00600FEC" w:rsidP="00AC6E14">
            <w:pPr>
              <w:jc w:val="both"/>
            </w:pPr>
            <w:r w:rsidRPr="005F09F0">
              <w:t>Organy Inspekcji Ochrony Środowiska nie prowadziły kontroli w ramach cyklu kontrolnego. Zadanie realizowane przez wojewódzkich inspektorów ochrony środowiska na bieżąco. W ramach realizacji zadań określonych w KPGO 2014 wojewódzcy inspektorzy ochrony środowiska w okresie od 1 stycznia 2014 r. do 11 sierpnia 2016 r.</w:t>
            </w:r>
            <w:r w:rsidR="00F3258D">
              <w:t xml:space="preserve"> </w:t>
            </w:r>
            <w:r w:rsidRPr="005F09F0">
              <w:t xml:space="preserve">przeprowadzili </w:t>
            </w:r>
            <w:r w:rsidRPr="005F09F0">
              <w:rPr>
                <w:b/>
              </w:rPr>
              <w:t>955</w:t>
            </w:r>
            <w:r w:rsidRPr="005F09F0">
              <w:t xml:space="preserve"> kontroli w zakresie przestrzegania przepisów o gospodarce opakowaniami i odpadami opakowaniowymi. </w:t>
            </w:r>
          </w:p>
          <w:p w14:paraId="2224F0FE" w14:textId="77777777" w:rsidR="00600FEC" w:rsidRPr="00CC20C7" w:rsidRDefault="00600FEC" w:rsidP="00AC6E14">
            <w:pPr>
              <w:jc w:val="both"/>
            </w:pPr>
            <w:r w:rsidRPr="005F09F0">
              <w:t xml:space="preserve">W ramach realizacji zadań określonych w KPGO 2022 w okresie od 12 sierpnia 2016 r. do 31 grudnia 2016 r. wojewódzcy inspektorzy ochrony środowiska przeprowadzili </w:t>
            </w:r>
            <w:r w:rsidRPr="005F09F0">
              <w:rPr>
                <w:b/>
              </w:rPr>
              <w:t>101</w:t>
            </w:r>
            <w:r w:rsidRPr="005F09F0">
              <w:t xml:space="preserve"> kontroli w zakresie przestrzegania przepisów o gospodarce opakowaniami i odpadami opakowaniowymi.</w:t>
            </w:r>
          </w:p>
        </w:tc>
      </w:tr>
      <w:tr w:rsidR="00600FEC" w:rsidRPr="00CC20C7" w14:paraId="5EFB83AC" w14:textId="77777777" w:rsidTr="00553DF5">
        <w:tc>
          <w:tcPr>
            <w:tcW w:w="539" w:type="dxa"/>
            <w:shd w:val="clear" w:color="auto" w:fill="auto"/>
            <w:vAlign w:val="center"/>
          </w:tcPr>
          <w:p w14:paraId="2AED90B7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76D58708" w14:textId="77777777" w:rsidR="00600FEC" w:rsidRPr="00CC20C7" w:rsidRDefault="00600FEC" w:rsidP="00AC6E14">
            <w:pPr>
              <w:snapToGrid w:val="0"/>
            </w:pPr>
            <w:r w:rsidRPr="00CC20C7">
              <w:t>Prowadzenie kontroli w zakresie zagospodarowania osadów ściekowych.</w:t>
            </w:r>
          </w:p>
        </w:tc>
        <w:tc>
          <w:tcPr>
            <w:tcW w:w="1985" w:type="dxa"/>
            <w:shd w:val="clear" w:color="auto" w:fill="auto"/>
          </w:tcPr>
          <w:p w14:paraId="78AA33D7" w14:textId="0016149B" w:rsidR="00600FEC" w:rsidRPr="00CC20C7" w:rsidRDefault="00600FEC" w:rsidP="002253D7">
            <w:pPr>
              <w:spacing w:after="120"/>
            </w:pPr>
            <w:r w:rsidRPr="00CC20C7">
              <w:t>Główny Inspektor Ochrony Środowiska,</w:t>
            </w:r>
          </w:p>
          <w:p w14:paraId="3493BBB6" w14:textId="6A212E56" w:rsidR="00600FEC" w:rsidRPr="00CC20C7" w:rsidRDefault="00600FEC" w:rsidP="00AC6E14">
            <w:pPr>
              <w:spacing w:after="120"/>
            </w:pPr>
            <w:r w:rsidRPr="00CC20C7">
              <w:t xml:space="preserve">wojewódzcy inspektorzy ochrony środowiska </w:t>
            </w:r>
          </w:p>
        </w:tc>
        <w:tc>
          <w:tcPr>
            <w:tcW w:w="1676" w:type="dxa"/>
            <w:shd w:val="clear" w:color="auto" w:fill="auto"/>
          </w:tcPr>
          <w:p w14:paraId="229511A8" w14:textId="77777777" w:rsidR="00600FEC" w:rsidRPr="001D639F" w:rsidRDefault="00600FEC" w:rsidP="00AC6E14">
            <w:r w:rsidRPr="001D639F">
              <w:t>2011-2022</w:t>
            </w:r>
          </w:p>
          <w:p w14:paraId="4BD31A05" w14:textId="77777777" w:rsidR="00600FEC" w:rsidRPr="001D639F" w:rsidRDefault="00600FEC" w:rsidP="00AC6E14">
            <w:r w:rsidRPr="001D639F">
              <w:t>(wg Kpgo 2014)</w:t>
            </w:r>
          </w:p>
          <w:p w14:paraId="7C9A104C" w14:textId="77777777" w:rsidR="00600FEC" w:rsidRPr="001D639F" w:rsidRDefault="00600FEC" w:rsidP="00AC6E14"/>
          <w:p w14:paraId="3D7035AF" w14:textId="77777777" w:rsidR="00600FEC" w:rsidRPr="001D639F" w:rsidRDefault="00600FEC" w:rsidP="00AC6E14">
            <w:r w:rsidRPr="001D639F">
              <w:t>do końca 2030</w:t>
            </w:r>
          </w:p>
          <w:p w14:paraId="14C86101" w14:textId="77777777" w:rsidR="00600FEC" w:rsidRPr="00CC20C7" w:rsidRDefault="00600FEC" w:rsidP="00AC6E14">
            <w:r w:rsidRPr="001D639F">
              <w:t>(wg Kpgo 2022)</w:t>
            </w:r>
          </w:p>
        </w:tc>
        <w:tc>
          <w:tcPr>
            <w:tcW w:w="1559" w:type="dxa"/>
          </w:tcPr>
          <w:p w14:paraId="663E2273" w14:textId="77777777" w:rsidR="00600FEC" w:rsidRPr="00BC0F5D" w:rsidRDefault="00600FEC" w:rsidP="00AC6E14">
            <w:r w:rsidRPr="00BC0F5D">
              <w:t>Tab. 39 poz. 30</w:t>
            </w:r>
          </w:p>
          <w:p w14:paraId="78BC93BB" w14:textId="77777777" w:rsidR="00600FEC" w:rsidRPr="00BC0F5D" w:rsidRDefault="00600FEC" w:rsidP="00AC6E14">
            <w:r w:rsidRPr="00BC0F5D">
              <w:t>w Kpgo 2014</w:t>
            </w:r>
          </w:p>
          <w:p w14:paraId="757C53BB" w14:textId="77777777" w:rsidR="00600FEC" w:rsidRPr="00BC0F5D" w:rsidRDefault="00600FEC" w:rsidP="00AC6E14"/>
          <w:p w14:paraId="3DA5353B" w14:textId="77777777" w:rsidR="00600FEC" w:rsidRPr="00BC0F5D" w:rsidRDefault="00600FEC" w:rsidP="00AC6E14">
            <w:r w:rsidRPr="00BC0F5D">
              <w:t>Tab. 44 poz. 12</w:t>
            </w:r>
          </w:p>
          <w:p w14:paraId="05F7DB80" w14:textId="77777777" w:rsidR="00600FEC" w:rsidRPr="00CC20C7" w:rsidRDefault="00600FEC" w:rsidP="00AC6E14">
            <w:r w:rsidRPr="00BC0F5D"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10AC606B" w14:textId="1F8E71F7" w:rsidR="00600FEC" w:rsidRPr="00FC12DE" w:rsidRDefault="00600FEC" w:rsidP="00DE3569">
            <w:pPr>
              <w:spacing w:after="120"/>
              <w:jc w:val="both"/>
            </w:pPr>
            <w:r w:rsidRPr="00FC12DE">
              <w:t xml:space="preserve">W okresie sprawozdawczym organy Inspekcji Ochrony Środowiska przeprowadziły kontrole w </w:t>
            </w:r>
            <w:r w:rsidRPr="00FC12DE">
              <w:rPr>
                <w:b/>
              </w:rPr>
              <w:t>162</w:t>
            </w:r>
            <w:r w:rsidRPr="00FC12DE">
              <w:t xml:space="preserve"> jednostkach organizacyjnych eksploatujących komunalne oczyszczalnie ścieków, obsługujących aglomeracje o</w:t>
            </w:r>
            <w:r w:rsidR="00F3258D">
              <w:t xml:space="preserve"> </w:t>
            </w:r>
            <w:r w:rsidRPr="00FC12DE">
              <w:t xml:space="preserve">różnych wielkościach. Poza cyklem kontrolnym wojewódzcy inspektorzy ochrony środowiska przeprowadzili </w:t>
            </w:r>
            <w:r w:rsidRPr="00FC12DE">
              <w:rPr>
                <w:b/>
              </w:rPr>
              <w:t>1748</w:t>
            </w:r>
            <w:r w:rsidRPr="00FC12DE">
              <w:t xml:space="preserve"> kontroli oczyszczalni ścieków m. in. w zakresie gospodarki osadami ściekowymi, w tym:</w:t>
            </w:r>
          </w:p>
          <w:p w14:paraId="36B7FBAA" w14:textId="77777777" w:rsidR="00AC6E14" w:rsidRDefault="00600FEC" w:rsidP="00AC6E14">
            <w:pPr>
              <w:numPr>
                <w:ilvl w:val="0"/>
                <w:numId w:val="20"/>
              </w:numPr>
              <w:ind w:left="346" w:hanging="284"/>
              <w:jc w:val="both"/>
            </w:pPr>
            <w:r w:rsidRPr="00FC12DE">
              <w:lastRenderedPageBreak/>
              <w:t xml:space="preserve">w ramach realizacji KPGO 2014 przeprowadzono </w:t>
            </w:r>
            <w:r w:rsidRPr="00FC12DE">
              <w:rPr>
                <w:b/>
              </w:rPr>
              <w:t>1514</w:t>
            </w:r>
            <w:r w:rsidRPr="00FC12DE">
              <w:t xml:space="preserve"> kontroli</w:t>
            </w:r>
          </w:p>
          <w:p w14:paraId="365E6954" w14:textId="6CF60F5B" w:rsidR="00600FEC" w:rsidRPr="00CC20C7" w:rsidRDefault="00600FEC" w:rsidP="00AC6E14">
            <w:pPr>
              <w:numPr>
                <w:ilvl w:val="0"/>
                <w:numId w:val="20"/>
              </w:numPr>
              <w:ind w:left="346" w:hanging="284"/>
              <w:jc w:val="both"/>
            </w:pPr>
            <w:r w:rsidRPr="00FC12DE">
              <w:t xml:space="preserve">w ramach realizacji KPGO 2022 przeprowadzono </w:t>
            </w:r>
            <w:r w:rsidRPr="00FC12DE">
              <w:br/>
            </w:r>
            <w:r w:rsidRPr="00FC12DE">
              <w:rPr>
                <w:b/>
              </w:rPr>
              <w:t xml:space="preserve">234 </w:t>
            </w:r>
            <w:r w:rsidRPr="00FC12DE">
              <w:t>kontroli.</w:t>
            </w:r>
          </w:p>
        </w:tc>
      </w:tr>
      <w:tr w:rsidR="00600FEC" w:rsidRPr="00CC20C7" w14:paraId="0E418A12" w14:textId="77777777" w:rsidTr="00553DF5">
        <w:tc>
          <w:tcPr>
            <w:tcW w:w="539" w:type="dxa"/>
            <w:shd w:val="clear" w:color="auto" w:fill="auto"/>
            <w:vAlign w:val="center"/>
          </w:tcPr>
          <w:p w14:paraId="71F73440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shd w:val="clear" w:color="auto" w:fill="auto"/>
          </w:tcPr>
          <w:p w14:paraId="339C6221" w14:textId="77777777" w:rsidR="00600FEC" w:rsidRPr="00CC20C7" w:rsidRDefault="00600FEC" w:rsidP="00AC6E14">
            <w:pPr>
              <w:snapToGrid w:val="0"/>
            </w:pPr>
            <w:r w:rsidRPr="00CC20C7">
              <w:t>Prowadzenie kontroli podmiotów zaangażowanych w gospodarowanie odpadami komunalnymi.</w:t>
            </w:r>
          </w:p>
        </w:tc>
        <w:tc>
          <w:tcPr>
            <w:tcW w:w="1985" w:type="dxa"/>
            <w:shd w:val="clear" w:color="auto" w:fill="auto"/>
          </w:tcPr>
          <w:p w14:paraId="116D4E9A" w14:textId="314B073E" w:rsidR="00600FEC" w:rsidRPr="00CC20C7" w:rsidRDefault="00600FEC" w:rsidP="002253D7">
            <w:pPr>
              <w:spacing w:after="120"/>
            </w:pPr>
            <w:r w:rsidRPr="00CC20C7">
              <w:t>wojewódzcy inspektorzy ochrony środowiska</w:t>
            </w:r>
          </w:p>
          <w:p w14:paraId="296D2FC8" w14:textId="77777777" w:rsidR="00600FEC" w:rsidRPr="00CC20C7" w:rsidRDefault="00600FEC" w:rsidP="002253D7">
            <w:pPr>
              <w:spacing w:after="120"/>
            </w:pPr>
          </w:p>
        </w:tc>
        <w:tc>
          <w:tcPr>
            <w:tcW w:w="1676" w:type="dxa"/>
            <w:shd w:val="clear" w:color="auto" w:fill="auto"/>
          </w:tcPr>
          <w:p w14:paraId="5CCECA38" w14:textId="77777777" w:rsidR="00600FEC" w:rsidRPr="00CC20C7" w:rsidRDefault="00600FEC" w:rsidP="002253D7">
            <w:pPr>
              <w:spacing w:after="120"/>
            </w:pPr>
            <w:r w:rsidRPr="00CC20C7">
              <w:t>do końca 2030 r.</w:t>
            </w:r>
          </w:p>
        </w:tc>
        <w:tc>
          <w:tcPr>
            <w:tcW w:w="1559" w:type="dxa"/>
          </w:tcPr>
          <w:p w14:paraId="0430B9E3" w14:textId="77777777" w:rsidR="00600FEC" w:rsidRPr="006C2B81" w:rsidRDefault="00600FEC" w:rsidP="006C2B81">
            <w:pPr>
              <w:spacing w:after="120"/>
            </w:pPr>
            <w:r w:rsidRPr="006C2B81">
              <w:t>Tab. 44 poz. 13</w:t>
            </w:r>
          </w:p>
          <w:p w14:paraId="5C57F063" w14:textId="77777777" w:rsidR="00600FEC" w:rsidRPr="00CC20C7" w:rsidRDefault="00600FEC" w:rsidP="006C2B81">
            <w:pPr>
              <w:spacing w:after="120"/>
            </w:pPr>
            <w:r w:rsidRPr="006C2B81">
              <w:t>w Kpgo 2022</w:t>
            </w:r>
          </w:p>
        </w:tc>
        <w:tc>
          <w:tcPr>
            <w:tcW w:w="5670" w:type="dxa"/>
            <w:shd w:val="clear" w:color="auto" w:fill="auto"/>
          </w:tcPr>
          <w:p w14:paraId="34ADE546" w14:textId="77777777" w:rsidR="00600FEC" w:rsidRPr="00CC20C7" w:rsidRDefault="00600FEC" w:rsidP="00AC6E14">
            <w:pPr>
              <w:spacing w:after="120"/>
              <w:jc w:val="both"/>
            </w:pPr>
            <w:r w:rsidRPr="00362201">
              <w:t xml:space="preserve">W okresie od 12 sierpnia do 31 grudnia 2016 r. wojewódzkie inspektoraty ochrony środowiska przeprowadziły łącznie </w:t>
            </w:r>
            <w:r w:rsidRPr="00362201">
              <w:rPr>
                <w:b/>
              </w:rPr>
              <w:t>216</w:t>
            </w:r>
            <w:r w:rsidRPr="00362201">
              <w:t xml:space="preserve"> kontroli gmin, regionalnych instalacji przetwarzania odpadów komunalnych oraz związków międzygminnych.</w:t>
            </w:r>
          </w:p>
        </w:tc>
      </w:tr>
      <w:tr w:rsidR="00600FEC" w:rsidRPr="00617C3C" w14:paraId="33EE3AF8" w14:textId="77777777" w:rsidTr="00B35600">
        <w:tc>
          <w:tcPr>
            <w:tcW w:w="539" w:type="dxa"/>
          </w:tcPr>
          <w:p w14:paraId="035A8DA3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43F8696D" w14:textId="77777777" w:rsidR="00600FEC" w:rsidRPr="000C1D8B" w:rsidRDefault="00600FEC" w:rsidP="00B35600">
            <w:pPr>
              <w:snapToGrid w:val="0"/>
            </w:pPr>
            <w:r w:rsidRPr="000C1D8B">
              <w:t xml:space="preserve">Przeprowadzenie ponownych kontroli zakładów, w których występują urządzenia o zawartości oleju zawierającego PCB powyżej 5 dm3 oraz o stężeniu PCB powyżej 50 </w:t>
            </w:r>
            <w:proofErr w:type="spellStart"/>
            <w:r w:rsidRPr="000C1D8B">
              <w:t>ppm</w:t>
            </w:r>
            <w:proofErr w:type="spellEnd"/>
          </w:p>
        </w:tc>
        <w:tc>
          <w:tcPr>
            <w:tcW w:w="1985" w:type="dxa"/>
          </w:tcPr>
          <w:p w14:paraId="2BF151D1" w14:textId="77777777" w:rsidR="00600FEC" w:rsidRPr="000C1D8B" w:rsidRDefault="00600FEC" w:rsidP="002253D7">
            <w:pPr>
              <w:snapToGrid w:val="0"/>
            </w:pPr>
            <w:r w:rsidRPr="000C1D8B">
              <w:t>Główny Inspektor Ochrony Środowiska, wojewódzcy inspektorzy ochrony środowiska</w:t>
            </w:r>
          </w:p>
        </w:tc>
        <w:tc>
          <w:tcPr>
            <w:tcW w:w="1676" w:type="dxa"/>
          </w:tcPr>
          <w:p w14:paraId="63DC82E2" w14:textId="77777777" w:rsidR="00600FEC" w:rsidRPr="000C1D8B" w:rsidRDefault="00600FEC" w:rsidP="002253D7">
            <w:r w:rsidRPr="000C1D8B">
              <w:t>-</w:t>
            </w:r>
          </w:p>
        </w:tc>
        <w:tc>
          <w:tcPr>
            <w:tcW w:w="1559" w:type="dxa"/>
          </w:tcPr>
          <w:p w14:paraId="1D960EA4" w14:textId="77777777" w:rsidR="00600FEC" w:rsidRPr="000C1D8B" w:rsidRDefault="00600FEC" w:rsidP="00910063">
            <w:r w:rsidRPr="000C1D8B">
              <w:t xml:space="preserve">Str. 112, podrozdział 5.3.2, pkt 3) </w:t>
            </w:r>
          </w:p>
          <w:p w14:paraId="20BC6AB1" w14:textId="77777777" w:rsidR="00600FEC" w:rsidRPr="000C1D8B" w:rsidRDefault="00600FEC" w:rsidP="00910063">
            <w:r w:rsidRPr="000C1D8B">
              <w:t>w Kpgo2022</w:t>
            </w:r>
          </w:p>
        </w:tc>
        <w:tc>
          <w:tcPr>
            <w:tcW w:w="5670" w:type="dxa"/>
          </w:tcPr>
          <w:p w14:paraId="7755DC38" w14:textId="77777777" w:rsidR="00600FEC" w:rsidRPr="000C1D8B" w:rsidRDefault="00600FEC" w:rsidP="00A47689">
            <w:pPr>
              <w:jc w:val="both"/>
            </w:pPr>
            <w:r w:rsidRPr="00DA59E7">
              <w:t>W terminie od 12 sierpnia do 31 grudnia 2016 r. została przeprowadzona 1 ponowna kontrola zakładu użytkującego urządzenia o zawartości oleju zawierającego PCB powyżej 5 dm</w:t>
            </w:r>
            <w:r w:rsidRPr="00DA59E7">
              <w:rPr>
                <w:vertAlign w:val="superscript"/>
              </w:rPr>
              <w:t>3</w:t>
            </w:r>
            <w:r w:rsidRPr="00DA59E7">
              <w:t xml:space="preserve"> oraz o stężeniu PCB powyżej 50 </w:t>
            </w:r>
            <w:proofErr w:type="spellStart"/>
            <w:r w:rsidRPr="00DA59E7">
              <w:t>ppm</w:t>
            </w:r>
            <w:proofErr w:type="spellEnd"/>
            <w:r w:rsidRPr="00DA59E7">
              <w:t>. Problem ten dotyczy województwa łódzkiego, gdzie nadal użytkowane są urządzenia zawierające PCB. Łódzki WIOŚ podejmuje działania zgodnie z posiadanymi kompetencjami. Mazowiecki WIOŚ, we wskazanym okresie, przeprowadził natomiast 5 kontroli nowych zakładów, podczas których sprawdzano, czy na ich terenie występują urządzenia potencjalnie mogące zawierać PCB. Ujawniono jeden przypadek występowania urządzeń potencjalnie zawierających PCB - kondensatorów. W trakcie kontroli urządzenie było wyłączone z eksploatacji. Mazowiecki WIOŚ podjął stosowne działania celem wyegzekwowania obowiązków nałożonych przepisami prawa w zakresie postępowania z PCB.</w:t>
            </w:r>
          </w:p>
        </w:tc>
      </w:tr>
      <w:tr w:rsidR="00600FEC" w:rsidRPr="00617C3C" w14:paraId="70611D82" w14:textId="77777777" w:rsidTr="00B35600">
        <w:tc>
          <w:tcPr>
            <w:tcW w:w="539" w:type="dxa"/>
          </w:tcPr>
          <w:p w14:paraId="555901DA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52A8E628" w14:textId="77777777" w:rsidR="00600FEC" w:rsidRPr="000C1D8B" w:rsidRDefault="00600FEC" w:rsidP="00B35600">
            <w:pPr>
              <w:snapToGrid w:val="0"/>
            </w:pPr>
            <w:r w:rsidRPr="000C1D8B">
              <w:t>Zwiększenie nadzoru nad wytwórcami olejów odpadowych, w szczególności w zakresie selektywnego zbierania tych odpadów oraz przekazywanie ich do zagospodarowania podmiotom do takiego działania uprawnionym</w:t>
            </w:r>
          </w:p>
        </w:tc>
        <w:tc>
          <w:tcPr>
            <w:tcW w:w="1985" w:type="dxa"/>
          </w:tcPr>
          <w:p w14:paraId="34925DD4" w14:textId="77777777" w:rsidR="00600FEC" w:rsidRPr="000C1D8B" w:rsidRDefault="00600FEC" w:rsidP="002253D7">
            <w:pPr>
              <w:snapToGrid w:val="0"/>
            </w:pPr>
            <w:r w:rsidRPr="000C1D8B">
              <w:t>Główny Inspektor Ochrony Środowiska, wojewódzcy inspektorzy ochrony środowiska</w:t>
            </w:r>
          </w:p>
        </w:tc>
        <w:tc>
          <w:tcPr>
            <w:tcW w:w="1676" w:type="dxa"/>
          </w:tcPr>
          <w:p w14:paraId="6E266AED" w14:textId="77777777" w:rsidR="00600FEC" w:rsidRPr="000C1D8B" w:rsidRDefault="00600FEC" w:rsidP="002253D7">
            <w:r w:rsidRPr="000C1D8B">
              <w:t>-</w:t>
            </w:r>
          </w:p>
        </w:tc>
        <w:tc>
          <w:tcPr>
            <w:tcW w:w="1559" w:type="dxa"/>
          </w:tcPr>
          <w:p w14:paraId="52E0E8ED" w14:textId="77777777" w:rsidR="00600FEC" w:rsidRPr="000C1D8B" w:rsidRDefault="00600FEC" w:rsidP="00910063">
            <w:r w:rsidRPr="000C1D8B">
              <w:t>Str. 110 podrozdział 5.2.1.,</w:t>
            </w:r>
          </w:p>
          <w:p w14:paraId="1954BC6B" w14:textId="77777777" w:rsidR="00600FEC" w:rsidRPr="000C1D8B" w:rsidRDefault="00600FEC" w:rsidP="00910063">
            <w:r w:rsidRPr="000C1D8B">
              <w:t>Pkt 4)</w:t>
            </w:r>
          </w:p>
        </w:tc>
        <w:tc>
          <w:tcPr>
            <w:tcW w:w="5670" w:type="dxa"/>
          </w:tcPr>
          <w:p w14:paraId="62CD130F" w14:textId="1FF60FDF" w:rsidR="00600FEC" w:rsidRPr="000C1D8B" w:rsidRDefault="00600FEC" w:rsidP="00A47689">
            <w:pPr>
              <w:jc w:val="both"/>
            </w:pPr>
            <w:r w:rsidRPr="00281399">
              <w:t xml:space="preserve">W ramach realizacji KPGO 2022, tj. w okresie od 12 sierpnia 2016 r. do 31 grudnia 2016 r. prowadzone były na bieżąco kontrole wytwórców olejów odpadowych (stacje demontażu pojazdów, warsztaty samochodowe i inne) m.in. w zakresie selektywnego zbierania tych odpadów oraz przekazywania ich do zagospodarowania podmiotom uprawnionym. W tym okresie wojewódzcy inspektorzy ochrony środowiska przeprowadzili </w:t>
            </w:r>
            <w:r w:rsidRPr="00281399">
              <w:rPr>
                <w:b/>
              </w:rPr>
              <w:t>224</w:t>
            </w:r>
            <w:r w:rsidRPr="00281399">
              <w:t xml:space="preserve"> kontroli.</w:t>
            </w:r>
            <w:r w:rsidR="00F3258D">
              <w:t xml:space="preserve"> </w:t>
            </w:r>
          </w:p>
        </w:tc>
      </w:tr>
      <w:tr w:rsidR="00600FEC" w:rsidRPr="00617C3C" w14:paraId="208D57FD" w14:textId="77777777" w:rsidTr="00B35600">
        <w:tc>
          <w:tcPr>
            <w:tcW w:w="539" w:type="dxa"/>
          </w:tcPr>
          <w:p w14:paraId="58B5F61E" w14:textId="77777777" w:rsidR="00600FEC" w:rsidRPr="00B30A50" w:rsidRDefault="00600FEC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57AFBA55" w14:textId="77777777" w:rsidR="00600FEC" w:rsidRPr="000C1D8B" w:rsidRDefault="00600FEC" w:rsidP="00B35600">
            <w:pPr>
              <w:snapToGrid w:val="0"/>
            </w:pPr>
            <w:r w:rsidRPr="000C1D8B">
              <w:t>Monitoring prawidłowego postępowania z olejami odpadowymi, w pierwszej kolejności odzysk przez regenerację, a jeśli jest niemożliwy ze względu na stopień zanieczyszczenia poddanie olejów odpadowych innym procesom odzysku</w:t>
            </w:r>
          </w:p>
        </w:tc>
        <w:tc>
          <w:tcPr>
            <w:tcW w:w="1985" w:type="dxa"/>
          </w:tcPr>
          <w:p w14:paraId="0B8C3C21" w14:textId="77777777" w:rsidR="00600FEC" w:rsidRPr="000C1D8B" w:rsidRDefault="00600FEC" w:rsidP="002253D7">
            <w:pPr>
              <w:snapToGrid w:val="0"/>
            </w:pPr>
            <w:r w:rsidRPr="000C1D8B">
              <w:t>Główny Inspektor Ochrony Środowiska, wojewódzcy inspektorzy ochrony środowiska</w:t>
            </w:r>
          </w:p>
        </w:tc>
        <w:tc>
          <w:tcPr>
            <w:tcW w:w="1676" w:type="dxa"/>
          </w:tcPr>
          <w:p w14:paraId="1DEB6B06" w14:textId="77777777" w:rsidR="00600FEC" w:rsidRPr="000C1D8B" w:rsidRDefault="00600FEC" w:rsidP="002253D7">
            <w:r w:rsidRPr="000C1D8B">
              <w:t>-</w:t>
            </w:r>
          </w:p>
        </w:tc>
        <w:tc>
          <w:tcPr>
            <w:tcW w:w="1559" w:type="dxa"/>
          </w:tcPr>
          <w:p w14:paraId="6B757F06" w14:textId="77777777" w:rsidR="00600FEC" w:rsidRPr="000C1D8B" w:rsidRDefault="00600FEC" w:rsidP="00910063">
            <w:r w:rsidRPr="000C1D8B">
              <w:t>Str. 110 podrozdział 5.2.1.,</w:t>
            </w:r>
          </w:p>
          <w:p w14:paraId="1596EBB7" w14:textId="77777777" w:rsidR="00600FEC" w:rsidRPr="000C1D8B" w:rsidRDefault="00600FEC" w:rsidP="00910063">
            <w:r w:rsidRPr="000C1D8B">
              <w:t>Pkt 5)</w:t>
            </w:r>
          </w:p>
        </w:tc>
        <w:tc>
          <w:tcPr>
            <w:tcW w:w="5670" w:type="dxa"/>
          </w:tcPr>
          <w:p w14:paraId="59DD798F" w14:textId="77777777" w:rsidR="00600FEC" w:rsidRPr="000C1D8B" w:rsidRDefault="00600FEC" w:rsidP="00A47689">
            <w:pPr>
              <w:jc w:val="both"/>
            </w:pPr>
            <w:r w:rsidRPr="00BA7C10">
              <w:t xml:space="preserve">W ramach realizacji KPGO 2022, tj. w okresie od 12 sierpnia 2016 r. do 31 grudnia 2016 r. prowadzone były na bieżąco kontrole wytwórców olejów odpadowych m.in. w zakresie przekazywania ich do zagospodarowania zgodnie z hierarchią postępowania. </w:t>
            </w:r>
          </w:p>
        </w:tc>
      </w:tr>
      <w:tr w:rsidR="00FF656F" w:rsidRPr="00617C3C" w14:paraId="4982B310" w14:textId="77777777" w:rsidTr="00B35600">
        <w:tc>
          <w:tcPr>
            <w:tcW w:w="539" w:type="dxa"/>
          </w:tcPr>
          <w:p w14:paraId="6975541B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55288FC9" w14:textId="0AEEFFA4" w:rsidR="00FF656F" w:rsidRPr="00FF656F" w:rsidRDefault="00FF656F" w:rsidP="00B35600">
            <w:pPr>
              <w:snapToGrid w:val="0"/>
            </w:pPr>
            <w:r w:rsidRPr="00FF656F">
              <w:t xml:space="preserve">Kontunuowanie działań w zakresie monitoringu odpadów w środowisku morskim w ramach Programu monitoringu wód morskich </w:t>
            </w:r>
          </w:p>
        </w:tc>
        <w:tc>
          <w:tcPr>
            <w:tcW w:w="1985" w:type="dxa"/>
          </w:tcPr>
          <w:p w14:paraId="1020F527" w14:textId="21196172" w:rsidR="00FF656F" w:rsidRPr="00FF656F" w:rsidRDefault="00FF656F" w:rsidP="00FF656F">
            <w:pPr>
              <w:snapToGrid w:val="0"/>
            </w:pPr>
          </w:p>
        </w:tc>
        <w:tc>
          <w:tcPr>
            <w:tcW w:w="1676" w:type="dxa"/>
          </w:tcPr>
          <w:p w14:paraId="5B69988E" w14:textId="77777777" w:rsidR="00FF656F" w:rsidRPr="00FF656F" w:rsidRDefault="00FF656F" w:rsidP="00FF656F">
            <w:r w:rsidRPr="00FF656F">
              <w:t>-</w:t>
            </w:r>
          </w:p>
        </w:tc>
        <w:tc>
          <w:tcPr>
            <w:tcW w:w="1559" w:type="dxa"/>
          </w:tcPr>
          <w:p w14:paraId="7D0E730C" w14:textId="48BE15DF" w:rsidR="00FF656F" w:rsidRPr="00FF656F" w:rsidRDefault="00FF656F" w:rsidP="00FF656F">
            <w:r w:rsidRPr="00FF656F">
              <w:t>Str. 114 podrozdział 5.4.5. pkt 1) oraz pkt 4)</w:t>
            </w:r>
            <w:r w:rsidR="00F3258D">
              <w:t xml:space="preserve"> </w:t>
            </w:r>
            <w:r w:rsidRPr="00FF656F">
              <w:t>w Kpgo 2022</w:t>
            </w:r>
          </w:p>
        </w:tc>
        <w:tc>
          <w:tcPr>
            <w:tcW w:w="5670" w:type="dxa"/>
          </w:tcPr>
          <w:p w14:paraId="2E60900B" w14:textId="77777777" w:rsidR="00FF656F" w:rsidRPr="00FF656F" w:rsidRDefault="00FF656F" w:rsidP="00FF656F">
            <w:pPr>
              <w:jc w:val="both"/>
            </w:pPr>
            <w:r w:rsidRPr="00FF656F">
              <w:t>GIOŚ realizując Program monitoringu wód morskich w ramach pracy pt. „Monitoring Morza Bałtyckiego w latach 2014 – 2017 w strefie głębokomorskiej” rozpoczął pilotażowy monitoring odpadów w środowisku morskim. W latach 2015 – 2016 monitoring był realizowany w ramach 4 zadań: odpady na linii brzegowej, odpady w toni wodnej, mikrocząstki w wodzie morskiej i osadach dennych oraz pozyskanie danych o odpadach, w tym przyswojonych przez zwierzęta morskie.</w:t>
            </w:r>
          </w:p>
        </w:tc>
      </w:tr>
      <w:tr w:rsidR="00FF656F" w:rsidRPr="00CC20C7" w14:paraId="358EF5EB" w14:textId="77777777" w:rsidTr="00553DF5">
        <w:trPr>
          <w:trHeight w:val="906"/>
        </w:trPr>
        <w:tc>
          <w:tcPr>
            <w:tcW w:w="539" w:type="dxa"/>
          </w:tcPr>
          <w:p w14:paraId="28BC3784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57AA9380" w14:textId="0F05C314" w:rsidR="00FF656F" w:rsidRPr="00CC20C7" w:rsidRDefault="00FF656F" w:rsidP="00FF656F">
            <w:pPr>
              <w:autoSpaceDE w:val="0"/>
              <w:autoSpaceDN w:val="0"/>
              <w:adjustRightInd w:val="0"/>
            </w:pPr>
            <w:r w:rsidRPr="00CC20C7">
              <w:t xml:space="preserve">Działania na rzecz współpracy w zakresie </w:t>
            </w:r>
            <w:r>
              <w:t>zapobiegania powstawaniu odpadów (</w:t>
            </w:r>
            <w:r w:rsidRPr="00CC20C7">
              <w:t>ZPO</w:t>
            </w:r>
            <w:r>
              <w:t>)</w:t>
            </w:r>
            <w:r w:rsidRPr="00CC20C7">
              <w:t xml:space="preserve"> pomiędzy interesariuszami: MŚ, organizacje zrzeszające przemysł, konsumentów, jednostki samorządu terytorialnego.</w:t>
            </w:r>
          </w:p>
        </w:tc>
        <w:tc>
          <w:tcPr>
            <w:tcW w:w="1985" w:type="dxa"/>
          </w:tcPr>
          <w:p w14:paraId="45E97974" w14:textId="77777777" w:rsidR="00FF656F" w:rsidRPr="00D12773" w:rsidRDefault="00FF656F" w:rsidP="00FF656F">
            <w:r w:rsidRPr="00D12773">
              <w:t>NFOŚiGW/Minister Środowiska/Minister Rozwoju</w:t>
            </w:r>
          </w:p>
        </w:tc>
        <w:tc>
          <w:tcPr>
            <w:tcW w:w="1676" w:type="dxa"/>
          </w:tcPr>
          <w:p w14:paraId="28E53CD2" w14:textId="77777777" w:rsidR="00FF656F" w:rsidRPr="00D12773" w:rsidRDefault="00FF656F" w:rsidP="00FF656F">
            <w:r w:rsidRPr="00D12773">
              <w:t>wdrożenie od 2016 r. (wg Kpgo 2022)</w:t>
            </w:r>
          </w:p>
          <w:p w14:paraId="7D5B0A6B" w14:textId="77777777" w:rsidR="00FF656F" w:rsidRPr="00D12773" w:rsidRDefault="00FF656F" w:rsidP="00FF656F"/>
          <w:p w14:paraId="28ABABAD" w14:textId="77777777" w:rsidR="00FF656F" w:rsidRPr="00D12773" w:rsidRDefault="00FF656F" w:rsidP="00FF656F">
            <w:r w:rsidRPr="00D12773">
              <w:t xml:space="preserve">wdrożenie od 2015 r. (wg </w:t>
            </w:r>
            <w:proofErr w:type="spellStart"/>
            <w:r w:rsidRPr="00D12773">
              <w:t>Kpzpo</w:t>
            </w:r>
            <w:proofErr w:type="spellEnd"/>
            <w:r w:rsidRPr="00D12773">
              <w:t>)</w:t>
            </w:r>
          </w:p>
        </w:tc>
        <w:tc>
          <w:tcPr>
            <w:tcW w:w="1559" w:type="dxa"/>
          </w:tcPr>
          <w:p w14:paraId="5CE5C89D" w14:textId="77777777" w:rsidR="00FF656F" w:rsidRPr="00710C8A" w:rsidRDefault="00FF656F" w:rsidP="00FF656F">
            <w:r w:rsidRPr="00710C8A">
              <w:t>Tab. 44 poz. 1</w:t>
            </w:r>
            <w:r>
              <w:t>4</w:t>
            </w:r>
          </w:p>
          <w:p w14:paraId="764E14C9" w14:textId="77777777" w:rsidR="00FF656F" w:rsidRPr="00710C8A" w:rsidRDefault="00FF656F" w:rsidP="00FF656F">
            <w:r w:rsidRPr="00710C8A">
              <w:t>w Kpgo 2022</w:t>
            </w:r>
          </w:p>
          <w:p w14:paraId="2C80567C" w14:textId="77777777" w:rsidR="00FF656F" w:rsidRDefault="00FF656F" w:rsidP="00FF656F"/>
          <w:p w14:paraId="5282A970" w14:textId="77777777" w:rsidR="00FF656F" w:rsidRPr="0015618C" w:rsidRDefault="00FF656F" w:rsidP="00FF656F">
            <w:r w:rsidRPr="0015618C">
              <w:t xml:space="preserve">Tab. </w:t>
            </w:r>
            <w:r>
              <w:t>3</w:t>
            </w:r>
            <w:r w:rsidRPr="0015618C">
              <w:t xml:space="preserve"> poz. </w:t>
            </w:r>
            <w:r>
              <w:t>3</w:t>
            </w:r>
          </w:p>
          <w:p w14:paraId="79AB1815" w14:textId="77777777" w:rsidR="00FF656F" w:rsidRPr="0015618C" w:rsidRDefault="00FF656F" w:rsidP="00FF656F">
            <w:r w:rsidRPr="0015618C">
              <w:t xml:space="preserve">w </w:t>
            </w:r>
            <w:proofErr w:type="spellStart"/>
            <w:r w:rsidRPr="0015618C">
              <w:t>K</w:t>
            </w:r>
            <w:r>
              <w:t>pzpo</w:t>
            </w:r>
            <w:proofErr w:type="spellEnd"/>
            <w:r w:rsidRPr="0015618C">
              <w:t xml:space="preserve"> 2022</w:t>
            </w:r>
          </w:p>
          <w:p w14:paraId="33C7DB23" w14:textId="77777777" w:rsidR="00FF656F" w:rsidRPr="00CC20C7" w:rsidRDefault="00FF656F" w:rsidP="00FF656F"/>
        </w:tc>
        <w:tc>
          <w:tcPr>
            <w:tcW w:w="5670" w:type="dxa"/>
          </w:tcPr>
          <w:p w14:paraId="152E8AC9" w14:textId="77777777" w:rsidR="00FF656F" w:rsidRPr="00CC20C7" w:rsidRDefault="00FF656F" w:rsidP="00FF656F">
            <w:r w:rsidRPr="00D85037">
              <w:t>W 2016 r poszerzono program „Racjonalna gospodarka Odpadami” znajdujący się na liście Programów Priorytetowych realizowanych w NFOŚiGW o zadania polegające na wsparciu infrastruktury technicznej procesów logistycznych związanych z pozyskaniem, magazynowaniem i dystrybucją niesprzedanych lub niespożytych artykułów żywnościowych.</w:t>
            </w:r>
          </w:p>
        </w:tc>
      </w:tr>
      <w:tr w:rsidR="00FF656F" w:rsidRPr="00CC20C7" w14:paraId="599B11FC" w14:textId="77777777" w:rsidTr="00B35600">
        <w:trPr>
          <w:trHeight w:val="1098"/>
        </w:trPr>
        <w:tc>
          <w:tcPr>
            <w:tcW w:w="539" w:type="dxa"/>
          </w:tcPr>
          <w:p w14:paraId="487D1B5A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028F2384" w14:textId="4C1F7C4B" w:rsidR="00FF656F" w:rsidRPr="00CC20C7" w:rsidRDefault="00FF656F" w:rsidP="00B35600">
            <w:pPr>
              <w:rPr>
                <w:iCs/>
              </w:rPr>
            </w:pPr>
            <w:r w:rsidRPr="00CC20C7">
              <w:rPr>
                <w:iCs/>
              </w:rPr>
              <w:t xml:space="preserve">Koordynacja i wsparcie realizacji prac naukowo-badawczych w zakresie gospodarki odpadami oraz </w:t>
            </w:r>
            <w:r w:rsidRPr="00CC20C7">
              <w:t>projektów badawczych i demonstracyjny</w:t>
            </w:r>
            <w:r>
              <w:t>ch w dziedzinie technologii ZPO</w:t>
            </w:r>
            <w:r w:rsidRPr="00CC20C7">
              <w:t xml:space="preserve"> oraz upowszechnianie wyników badań.</w:t>
            </w:r>
          </w:p>
        </w:tc>
        <w:tc>
          <w:tcPr>
            <w:tcW w:w="1985" w:type="dxa"/>
          </w:tcPr>
          <w:p w14:paraId="48522DEF" w14:textId="77777777" w:rsidR="00FF656F" w:rsidRPr="00CC20C7" w:rsidRDefault="00FF656F" w:rsidP="00FF656F">
            <w:r w:rsidRPr="00CC20C7">
              <w:t>Minister Nauki i Szkolnictwa Wyższego /Narodowe Centrum Badań i Rozwoju</w:t>
            </w:r>
          </w:p>
        </w:tc>
        <w:tc>
          <w:tcPr>
            <w:tcW w:w="1676" w:type="dxa"/>
          </w:tcPr>
          <w:p w14:paraId="13B8FF66" w14:textId="77777777" w:rsidR="00FF656F" w:rsidRPr="008B1827" w:rsidRDefault="00FF656F" w:rsidP="00FF656F">
            <w:r w:rsidRPr="008B1827">
              <w:t xml:space="preserve">2011-2022 </w:t>
            </w:r>
          </w:p>
          <w:p w14:paraId="3B2AA0CE" w14:textId="77777777" w:rsidR="00FF656F" w:rsidRPr="008B1827" w:rsidRDefault="00FF656F" w:rsidP="00FF656F">
            <w:r w:rsidRPr="008B1827">
              <w:t>(wg Kpgo 2014)</w:t>
            </w:r>
          </w:p>
          <w:p w14:paraId="6D67D3E1" w14:textId="77777777" w:rsidR="00FF656F" w:rsidRPr="008B1827" w:rsidRDefault="00FF656F" w:rsidP="00FF656F"/>
          <w:p w14:paraId="5FCDECDA" w14:textId="312D0E3B" w:rsidR="00FF656F" w:rsidRPr="00CC20C7" w:rsidRDefault="00FF656F" w:rsidP="00FF656F">
            <w:r w:rsidRPr="008B1827">
              <w:t>2016-2030 (wg Kpgo 2022)</w:t>
            </w:r>
          </w:p>
        </w:tc>
        <w:tc>
          <w:tcPr>
            <w:tcW w:w="1559" w:type="dxa"/>
          </w:tcPr>
          <w:p w14:paraId="7A0451BD" w14:textId="77777777" w:rsidR="00FF656F" w:rsidRPr="00710C8A" w:rsidRDefault="00FF656F" w:rsidP="00FF656F">
            <w:r w:rsidRPr="00710C8A">
              <w:t>Tab. 39 poz. 3</w:t>
            </w:r>
          </w:p>
          <w:p w14:paraId="12C0CB1B" w14:textId="77777777" w:rsidR="00FF656F" w:rsidRPr="00710C8A" w:rsidRDefault="00FF656F" w:rsidP="00FF656F">
            <w:r w:rsidRPr="00710C8A">
              <w:t>w Kpgo 2014</w:t>
            </w:r>
          </w:p>
          <w:p w14:paraId="093C7FA3" w14:textId="77777777" w:rsidR="00FF656F" w:rsidRPr="00710C8A" w:rsidRDefault="00FF656F" w:rsidP="00FF656F"/>
          <w:p w14:paraId="70F945DC" w14:textId="77777777" w:rsidR="00FF656F" w:rsidRPr="00710C8A" w:rsidRDefault="00FF656F" w:rsidP="00FF656F">
            <w:r w:rsidRPr="00710C8A">
              <w:t>Tab. 44 poz. 15</w:t>
            </w:r>
          </w:p>
          <w:p w14:paraId="048D5EC1" w14:textId="2887CA59" w:rsidR="00FF656F" w:rsidRPr="00CC20C7" w:rsidRDefault="00FF656F" w:rsidP="00FF656F">
            <w:r w:rsidRPr="00710C8A">
              <w:t>w Kpgo 2022</w:t>
            </w:r>
          </w:p>
        </w:tc>
        <w:tc>
          <w:tcPr>
            <w:tcW w:w="5670" w:type="dxa"/>
          </w:tcPr>
          <w:p w14:paraId="3E78CBCF" w14:textId="77777777" w:rsidR="00FF656F" w:rsidRPr="003A3A5A" w:rsidRDefault="00FF656F" w:rsidP="00FF656F">
            <w:pPr>
              <w:rPr>
                <w:u w:val="single"/>
              </w:rPr>
            </w:pPr>
            <w:r w:rsidRPr="005A7739">
              <w:t xml:space="preserve">Ministerstwo Nauki i Szkolnictwa Wyższego </w:t>
            </w:r>
            <w:r>
              <w:t xml:space="preserve">zadanie realizowało </w:t>
            </w:r>
            <w:r w:rsidRPr="005A7739">
              <w:t>przez następujące przedsięwzięcia:</w:t>
            </w:r>
          </w:p>
          <w:p w14:paraId="2C05805C" w14:textId="764F73D0" w:rsidR="00FF656F" w:rsidRPr="00344722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3A3A5A">
              <w:t>Projekt międzynarodowy współfinansowany pt.: ”Odzysk uranu i metali towarzyszących z odpadów przemysłowych różnego pochodzenia”</w:t>
            </w:r>
            <w:r w:rsidR="00F3258D">
              <w:t xml:space="preserve"> </w:t>
            </w:r>
            <w:r w:rsidRPr="003A3A5A">
              <w:t xml:space="preserve">realizacja 2016-2018, </w:t>
            </w:r>
          </w:p>
          <w:p w14:paraId="6A1A1060" w14:textId="66F51CF4" w:rsidR="00FF656F" w:rsidRPr="00344722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3A3A5A">
              <w:t xml:space="preserve">Projekt międzynarodowy współfinansowany pt.: ”MARELITT </w:t>
            </w:r>
            <w:proofErr w:type="spellStart"/>
            <w:r w:rsidRPr="003A3A5A">
              <w:t>Baltic</w:t>
            </w:r>
            <w:proofErr w:type="spellEnd"/>
            <w:r w:rsidRPr="003A3A5A">
              <w:t xml:space="preserve"> - Ograniczenie wpływu śmieci morskich w postaci Porzuconych Narzędzi Połowowych (DFG) na środowisko naturalne Morza Bałtyckiego” realizacja 2016-2019, </w:t>
            </w:r>
          </w:p>
          <w:p w14:paraId="010F7709" w14:textId="28393129" w:rsidR="00FF656F" w:rsidRPr="00191763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3A3A5A">
              <w:t xml:space="preserve">Projekt międzynarodowy współfinansowany pt.: ”Odzysk uranu i </w:t>
            </w:r>
            <w:r w:rsidRPr="003A3A5A">
              <w:lastRenderedPageBreak/>
              <w:t xml:space="preserve">metali towarzyszących z odpadów przemysłowych różnego pochodzenia” realizacja 2015-2016, </w:t>
            </w:r>
          </w:p>
          <w:p w14:paraId="495650D0" w14:textId="3D0CDA4A" w:rsidR="00FF656F" w:rsidRPr="00191763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3A3A5A">
              <w:t xml:space="preserve">Projekt międzynarodowy współfinansowany pt.: ”Produkcja biogazu z odpadów organicznych w europejskim przemyśle żywności i napojów” realizacja 2013-2015, </w:t>
            </w:r>
          </w:p>
          <w:p w14:paraId="0F670C6A" w14:textId="7F1AE151" w:rsidR="00FF656F" w:rsidRPr="00AA59AE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3A3A5A">
              <w:t xml:space="preserve">Projekt międzynarodowy współfinansowany pt.: ”Nowe kierunki efektywnych rozwiązań w procesach gospodarki osadami ściekowymi” realizacja 2011-2014, </w:t>
            </w:r>
          </w:p>
          <w:p w14:paraId="54208F14" w14:textId="040318A3" w:rsidR="00FF656F" w:rsidRPr="00402346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3A3A5A">
              <w:t xml:space="preserve">Projekt międzynarodowy współfinansowany pt.: ”Ocena stężeń PAH </w:t>
            </w:r>
            <w:r>
              <w:t>(</w:t>
            </w:r>
            <w:r w:rsidRPr="006B614E">
              <w:t>policykliczn</w:t>
            </w:r>
            <w:r>
              <w:t>ych</w:t>
            </w:r>
            <w:r w:rsidRPr="006B614E">
              <w:t xml:space="preserve"> węglowodor</w:t>
            </w:r>
            <w:r>
              <w:t>ów</w:t>
            </w:r>
            <w:r w:rsidRPr="006B614E">
              <w:t xml:space="preserve"> aromatyczn</w:t>
            </w:r>
            <w:r>
              <w:t>ych)</w:t>
            </w:r>
            <w:r w:rsidRPr="006B614E">
              <w:t xml:space="preserve"> </w:t>
            </w:r>
            <w:r w:rsidRPr="003A3A5A">
              <w:t xml:space="preserve">i metali ciężkich na powierzchni hałd i obiektów przemysłowych” realizacja 2014-2015, </w:t>
            </w:r>
          </w:p>
          <w:p w14:paraId="001DCFB5" w14:textId="4C2CCEC6" w:rsidR="00FF656F" w:rsidRPr="00D45383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D45383">
              <w:t xml:space="preserve">Projekt międzynarodowy współfinansowany pt.: ”Opracowanie i wdrożenie nowego, nie istniejącego dotychczas, łańcucha logistycznego dla biomasy z przycinania drzew” realizacja 2013-2016, </w:t>
            </w:r>
          </w:p>
          <w:p w14:paraId="12B5F347" w14:textId="204245B9" w:rsidR="00FF656F" w:rsidRPr="00D45383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D45383">
              <w:t>Projekt międzynarodowy współfinansowany pt.: ”</w:t>
            </w:r>
            <w:proofErr w:type="spellStart"/>
            <w:r w:rsidRPr="00D45383">
              <w:t>Ekoprojektowanie</w:t>
            </w:r>
            <w:proofErr w:type="spellEnd"/>
            <w:r w:rsidRPr="00D45383">
              <w:t xml:space="preserve"> pod kątem dostosowania w Europie Centralnej wyrobów papierowych do pętli recyklingu” realizacja 2012-2014, </w:t>
            </w:r>
          </w:p>
          <w:p w14:paraId="694297D3" w14:textId="2E6A979E" w:rsidR="00FF656F" w:rsidRPr="00D45383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D45383">
              <w:t xml:space="preserve">Projekt międzynarodowy współfinansowany pt.: ”Przetwarzanie odpadów organicznych na żywność” realizacja 2012-2015, </w:t>
            </w:r>
          </w:p>
          <w:p w14:paraId="3AC7683A" w14:textId="49FEC405" w:rsidR="00FF656F" w:rsidRPr="00D45383" w:rsidRDefault="00FF656F" w:rsidP="00FF656F">
            <w:pPr>
              <w:numPr>
                <w:ilvl w:val="0"/>
                <w:numId w:val="16"/>
              </w:numPr>
              <w:ind w:left="206" w:hanging="248"/>
              <w:rPr>
                <w:strike/>
              </w:rPr>
            </w:pPr>
            <w:r w:rsidRPr="00D45383">
              <w:t>Projekt międzynarodowy współfinansowany pt.: ”Europejska Infrastruktura Badawcza na potrzeby Termochemicznej Konwersj</w:t>
            </w:r>
            <w:r>
              <w:t>i Biomasy” realizacja 2011-2015.</w:t>
            </w:r>
            <w:r w:rsidRPr="00D45383">
              <w:t xml:space="preserve"> </w:t>
            </w:r>
          </w:p>
          <w:p w14:paraId="7A779BA5" w14:textId="0D8371A7" w:rsidR="00FF656F" w:rsidRPr="00CC20C7" w:rsidRDefault="00FF656F" w:rsidP="00FF656F">
            <w:r w:rsidRPr="00B21DF4">
              <w:t xml:space="preserve">Narodowe Centrum Badań i Rozwoju zadanie realizowało przez przedsięwzięcia wskazane </w:t>
            </w:r>
            <w:r>
              <w:t>w tabeli nr 2 załącznika.</w:t>
            </w:r>
          </w:p>
        </w:tc>
      </w:tr>
      <w:tr w:rsidR="00FF656F" w14:paraId="6E338306" w14:textId="77777777" w:rsidTr="00553DF5">
        <w:tc>
          <w:tcPr>
            <w:tcW w:w="539" w:type="dxa"/>
          </w:tcPr>
          <w:p w14:paraId="2D0DD2EE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0661BAE6" w14:textId="77777777" w:rsidR="00FF656F" w:rsidRPr="00240BD6" w:rsidRDefault="00FF656F" w:rsidP="00FF656F">
            <w:pPr>
              <w:jc w:val="both"/>
              <w:rPr>
                <w:iCs/>
              </w:rPr>
            </w:pPr>
            <w:r>
              <w:rPr>
                <w:iCs/>
              </w:rPr>
              <w:t xml:space="preserve">Realizacja projektów badawczych i demonstracyjnych w dziedzinie technologii ZPO </w:t>
            </w:r>
          </w:p>
        </w:tc>
        <w:tc>
          <w:tcPr>
            <w:tcW w:w="1985" w:type="dxa"/>
          </w:tcPr>
          <w:p w14:paraId="6E4BB323" w14:textId="77777777" w:rsidR="00FF656F" w:rsidRDefault="00FF656F" w:rsidP="00FF656F">
            <w:r w:rsidRPr="00181D05">
              <w:t xml:space="preserve">Minister właściwy do spraw nauki i szkolnictwa wyższego/ Narodowe Centrum Badań </w:t>
            </w:r>
            <w:r w:rsidRPr="00181D05">
              <w:br/>
            </w:r>
            <w:r w:rsidRPr="00181D05">
              <w:lastRenderedPageBreak/>
              <w:t>i Rozwoju</w:t>
            </w:r>
          </w:p>
        </w:tc>
        <w:tc>
          <w:tcPr>
            <w:tcW w:w="1676" w:type="dxa"/>
          </w:tcPr>
          <w:p w14:paraId="69243EA6" w14:textId="77777777" w:rsidR="00FF656F" w:rsidRDefault="00FF656F" w:rsidP="00FF656F">
            <w:r>
              <w:lastRenderedPageBreak/>
              <w:t xml:space="preserve">2015-2018 </w:t>
            </w:r>
          </w:p>
        </w:tc>
        <w:tc>
          <w:tcPr>
            <w:tcW w:w="1559" w:type="dxa"/>
          </w:tcPr>
          <w:p w14:paraId="2E8446BD" w14:textId="77777777" w:rsidR="00FF656F" w:rsidRPr="00A63BDA" w:rsidRDefault="00FF656F" w:rsidP="00FF656F">
            <w:r>
              <w:t xml:space="preserve">Tab. 3 poz. 4 </w:t>
            </w:r>
            <w:r>
              <w:br/>
              <w:t xml:space="preserve">w </w:t>
            </w:r>
            <w:proofErr w:type="spellStart"/>
            <w:r>
              <w:t>Kpzpo</w:t>
            </w:r>
            <w:proofErr w:type="spellEnd"/>
          </w:p>
        </w:tc>
        <w:tc>
          <w:tcPr>
            <w:tcW w:w="5670" w:type="dxa"/>
          </w:tcPr>
          <w:p w14:paraId="239A91BC" w14:textId="77777777" w:rsidR="00FF656F" w:rsidRPr="00066AB4" w:rsidRDefault="00FF656F" w:rsidP="00FF656F">
            <w:pPr>
              <w:jc w:val="both"/>
              <w:rPr>
                <w:u w:val="single"/>
              </w:rPr>
            </w:pPr>
            <w:r w:rsidRPr="00066AB4">
              <w:t xml:space="preserve">Zadanie realizowane </w:t>
            </w:r>
            <w:r>
              <w:t>było poprzez następują ce przedsięwzięcia:</w:t>
            </w:r>
          </w:p>
          <w:p w14:paraId="7BD5A14D" w14:textId="7C6A74CC" w:rsidR="00FF656F" w:rsidRPr="00066AB4" w:rsidRDefault="00FF656F" w:rsidP="00FF656F">
            <w:pPr>
              <w:pStyle w:val="Akapitzlist"/>
              <w:numPr>
                <w:ilvl w:val="0"/>
                <w:numId w:val="17"/>
              </w:numPr>
              <w:spacing w:after="120"/>
              <w:ind w:left="318" w:hanging="284"/>
              <w:jc w:val="both"/>
            </w:pPr>
            <w:r w:rsidRPr="00066AB4">
              <w:t xml:space="preserve">Projekt międzynarodowy współfinansowany pt.: </w:t>
            </w:r>
            <w:proofErr w:type="spellStart"/>
            <w:r w:rsidRPr="00066AB4">
              <w:t>Ekoprojektowanie</w:t>
            </w:r>
            <w:proofErr w:type="spellEnd"/>
            <w:r w:rsidRPr="00066AB4">
              <w:t xml:space="preserve"> pod kątem dostosowania w Europie Centralnej wyrobów papierowych do pętli recyklingu” realizacja 2012-2014,</w:t>
            </w:r>
          </w:p>
          <w:p w14:paraId="26859861" w14:textId="1B0FA65B" w:rsidR="00FF656F" w:rsidRPr="00066AB4" w:rsidRDefault="00FF656F" w:rsidP="00FF656F">
            <w:pPr>
              <w:pStyle w:val="Akapitzlist"/>
              <w:numPr>
                <w:ilvl w:val="0"/>
                <w:numId w:val="17"/>
              </w:numPr>
              <w:spacing w:before="120"/>
              <w:ind w:left="318" w:hanging="284"/>
              <w:jc w:val="both"/>
            </w:pPr>
            <w:r w:rsidRPr="00066AB4">
              <w:lastRenderedPageBreak/>
              <w:t>Projekt międzynarodowy współfinansowany pt.: Przetwarzanie odpadów organicznych na żywność” realizacja 2012-2015</w:t>
            </w:r>
            <w:r>
              <w:t>.</w:t>
            </w:r>
          </w:p>
        </w:tc>
      </w:tr>
      <w:tr w:rsidR="00FF656F" w14:paraId="0326FF03" w14:textId="77777777" w:rsidTr="00553DF5">
        <w:tc>
          <w:tcPr>
            <w:tcW w:w="539" w:type="dxa"/>
          </w:tcPr>
          <w:p w14:paraId="49366973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47784CC0" w14:textId="61789F9B" w:rsidR="00FF656F" w:rsidRDefault="00FF656F" w:rsidP="00FF656F">
            <w:pPr>
              <w:jc w:val="both"/>
              <w:rPr>
                <w:iCs/>
              </w:rPr>
            </w:pPr>
            <w:r>
              <w:rPr>
                <w:rFonts w:eastAsia="EUAlbertina-Bold-Identity-H"/>
                <w:bCs/>
              </w:rPr>
              <w:t xml:space="preserve">Umieszczanie na listach przedsięwzięć priorytetowych Narodowego Funduszu Ochrony Środowiska i Gospodarki Wodnej oraz </w:t>
            </w:r>
            <w:r>
              <w:t>wojewódzkich</w:t>
            </w:r>
            <w:r>
              <w:rPr>
                <w:rFonts w:eastAsia="EUAlbertina-Bold-Identity-H"/>
                <w:bCs/>
              </w:rPr>
              <w:t xml:space="preserve"> funduszy ochrony środowiska i gospodarki wodnej</w:t>
            </w:r>
            <w:r w:rsidR="00F3258D">
              <w:rPr>
                <w:rFonts w:eastAsia="EUAlbertina-Bold-Identity-H"/>
                <w:bCs/>
              </w:rPr>
              <w:t xml:space="preserve"> </w:t>
            </w:r>
            <w:r>
              <w:rPr>
                <w:rFonts w:eastAsia="EUAlbertina-Bold-Identity-H"/>
                <w:bCs/>
              </w:rPr>
              <w:t>zadań związanych z budową i modernizacją instalacji do zagospodarowania odpadów oraz zadań związanych z zamykaniem i rekultywacją składowisk odpadów komunalnych</w:t>
            </w:r>
          </w:p>
        </w:tc>
        <w:tc>
          <w:tcPr>
            <w:tcW w:w="1985" w:type="dxa"/>
          </w:tcPr>
          <w:p w14:paraId="6D2531C5" w14:textId="77777777" w:rsidR="00FF656F" w:rsidRPr="00A90047" w:rsidRDefault="00FF656F" w:rsidP="00FF656F">
            <w:pPr>
              <w:snapToGrid w:val="0"/>
            </w:pPr>
            <w:r w:rsidRPr="000F7C39">
              <w:t xml:space="preserve">Narodowy Fundusz Ochrony Środowiska </w:t>
            </w:r>
            <w:r w:rsidRPr="000F7C39">
              <w:br/>
              <w:t>i Gospodarki Wodnej,</w:t>
            </w:r>
          </w:p>
          <w:p w14:paraId="46F35278" w14:textId="77777777" w:rsidR="00FF656F" w:rsidRPr="00770FC6" w:rsidRDefault="00FF656F" w:rsidP="00FF656F">
            <w:r w:rsidRPr="00A90047">
              <w:t xml:space="preserve">wojewódzkie fundusze ochrony środowiska </w:t>
            </w:r>
            <w:r w:rsidRPr="00A90047">
              <w:br/>
              <w:t>i gospodarki wodnej</w:t>
            </w:r>
          </w:p>
        </w:tc>
        <w:tc>
          <w:tcPr>
            <w:tcW w:w="1676" w:type="dxa"/>
          </w:tcPr>
          <w:p w14:paraId="7FAFA1D4" w14:textId="77777777" w:rsidR="00FF656F" w:rsidRDefault="00FF656F" w:rsidP="00FF656F">
            <w:r>
              <w:t>2011-2022</w:t>
            </w:r>
          </w:p>
        </w:tc>
        <w:tc>
          <w:tcPr>
            <w:tcW w:w="1559" w:type="dxa"/>
          </w:tcPr>
          <w:p w14:paraId="0FE032DC" w14:textId="77777777" w:rsidR="00FF656F" w:rsidRDefault="00FF656F" w:rsidP="00FF656F">
            <w:pPr>
              <w:rPr>
                <w:szCs w:val="24"/>
              </w:rPr>
            </w:pPr>
            <w:r w:rsidRPr="002B208A">
              <w:rPr>
                <w:szCs w:val="24"/>
              </w:rPr>
              <w:t>Tab. 39 poz. 13</w:t>
            </w:r>
          </w:p>
          <w:p w14:paraId="270BEAAE" w14:textId="77777777" w:rsidR="00FF656F" w:rsidRPr="002B208A" w:rsidRDefault="00FF656F" w:rsidP="00FF656F">
            <w:pPr>
              <w:rPr>
                <w:szCs w:val="24"/>
              </w:rPr>
            </w:pPr>
            <w:r w:rsidRPr="00C948A7">
              <w:rPr>
                <w:szCs w:val="24"/>
              </w:rPr>
              <w:t>w Kpgo 2014</w:t>
            </w:r>
          </w:p>
        </w:tc>
        <w:tc>
          <w:tcPr>
            <w:tcW w:w="5670" w:type="dxa"/>
          </w:tcPr>
          <w:p w14:paraId="0F36D700" w14:textId="77777777" w:rsidR="00FF656F" w:rsidRPr="000054EE" w:rsidRDefault="00FF656F" w:rsidP="00FF656F">
            <w:pPr>
              <w:jc w:val="both"/>
            </w:pPr>
            <w:r w:rsidRPr="000054EE">
              <w:t>Od 2014 r. roku lista priorytetowych programów Narodowego Funduszu Ochrony Środowiska i Gospodarki Wodnej przewiduje wsparcie, w formie pożyczki, przedsięwzięć związanych z racjonalnym gospodarowaniem odpadami i ochroną powierzchni ziemi.</w:t>
            </w:r>
          </w:p>
          <w:p w14:paraId="0E087DC5" w14:textId="3DC77B5B" w:rsidR="00FF656F" w:rsidRDefault="00FF656F" w:rsidP="00FF656F">
            <w:pPr>
              <w:jc w:val="both"/>
            </w:pPr>
            <w:r w:rsidRPr="000054EE">
              <w:t>Przedsięwzięcia dotyczące budowy i modernizacji instalacji do zagospodarowania odpadów, w tym odpadów komunalnych realizowane mogą być w ramach Programu Priorytetowego: 2.1.Racjonalna gospo</w:t>
            </w:r>
            <w:r>
              <w:t xml:space="preserve">darka odpadami, w ramach części </w:t>
            </w:r>
            <w:r w:rsidRPr="000054EE">
              <w:t>Część 2) Instalacje gospodarowania odpadami.</w:t>
            </w:r>
            <w:r>
              <w:t xml:space="preserve"> </w:t>
            </w:r>
            <w:r w:rsidRPr="000054EE">
              <w:t>Przedsięwzięcia dotyczące zamykania i rekultywacji składowisk odpadów komunalnych mogą być realizowane w ramach Programu Priorytetowego 2.2. Ochrona powierzchni ziemi, w ramach części 1) Rekultywacja terenów zdegradowanych.</w:t>
            </w:r>
          </w:p>
          <w:p w14:paraId="4A60EB12" w14:textId="77777777" w:rsidR="00FF656F" w:rsidRDefault="00FF656F" w:rsidP="00FF656F">
            <w:pPr>
              <w:jc w:val="both"/>
              <w:rPr>
                <w:sz w:val="22"/>
              </w:rPr>
            </w:pPr>
            <w:r>
              <w:t xml:space="preserve">Zadanie było realizowane przez </w:t>
            </w:r>
            <w:proofErr w:type="spellStart"/>
            <w:r>
              <w:t>WFOŚiGW</w:t>
            </w:r>
            <w:proofErr w:type="spellEnd"/>
            <w:r>
              <w:t xml:space="preserve"> poprzez zawarcie w listach przedsięwzięć priorytetowych stosownych zapisów umożliwiających wsparcie </w:t>
            </w:r>
            <w:r w:rsidRPr="009932DD">
              <w:rPr>
                <w:bCs/>
              </w:rPr>
              <w:t>zadań związanych z budową i modernizacją instalacji do zagospodarowania odpadów oraz zadań związanych z zamykaniem i rekultywacją składowisk odpadów komunalnych</w:t>
            </w:r>
            <w:r>
              <w:t xml:space="preserve">. </w:t>
            </w:r>
          </w:p>
        </w:tc>
      </w:tr>
      <w:tr w:rsidR="00FF656F" w:rsidRPr="00CC20C7" w14:paraId="09DC19EF" w14:textId="77777777" w:rsidTr="00553DF5">
        <w:tc>
          <w:tcPr>
            <w:tcW w:w="539" w:type="dxa"/>
          </w:tcPr>
          <w:p w14:paraId="0A11D808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69995863" w14:textId="77777777" w:rsidR="00FF656F" w:rsidRPr="00CC20C7" w:rsidRDefault="00FF656F" w:rsidP="00FF656F">
            <w:pPr>
              <w:spacing w:after="120"/>
            </w:pPr>
            <w:r w:rsidRPr="00CC20C7">
              <w:t>Uwzględnienie w priorytetach NFOŚiGW/</w:t>
            </w:r>
            <w:proofErr w:type="spellStart"/>
            <w:r w:rsidRPr="00CC20C7">
              <w:t>WFOŚiGW</w:t>
            </w:r>
            <w:proofErr w:type="spellEnd"/>
            <w:r w:rsidRPr="00CC20C7">
              <w:t xml:space="preserve"> w perspektywie finansowej na lata 2014-2020 możliwości wsparcia dla przedsiębiorstw na działania dotyczące zmiany technologii na technologie małoodpadowe, innowacyjne (analogiczne jak do programów efektywności energetycznej); tworzenie nowych form działalności </w:t>
            </w:r>
            <w:r w:rsidRPr="00CC20C7">
              <w:lastRenderedPageBreak/>
              <w:t>związanej z ZPO.</w:t>
            </w:r>
          </w:p>
        </w:tc>
        <w:tc>
          <w:tcPr>
            <w:tcW w:w="1985" w:type="dxa"/>
          </w:tcPr>
          <w:p w14:paraId="3AE0C89D" w14:textId="77777777" w:rsidR="00FF656F" w:rsidRPr="00CC20C7" w:rsidRDefault="00FF656F" w:rsidP="00FF656F">
            <w:pPr>
              <w:spacing w:after="120"/>
            </w:pPr>
            <w:r w:rsidRPr="00E4481B">
              <w:lastRenderedPageBreak/>
              <w:t>NFOŚiGW /</w:t>
            </w:r>
            <w:r w:rsidRPr="00CC20C7">
              <w:t xml:space="preserve"> </w:t>
            </w:r>
            <w:proofErr w:type="spellStart"/>
            <w:r w:rsidRPr="00CC20C7">
              <w:t>WFOŚiGW</w:t>
            </w:r>
            <w:proofErr w:type="spellEnd"/>
          </w:p>
        </w:tc>
        <w:tc>
          <w:tcPr>
            <w:tcW w:w="1676" w:type="dxa"/>
          </w:tcPr>
          <w:p w14:paraId="5C7D06DA" w14:textId="08743C06" w:rsidR="00FF656F" w:rsidRPr="00D90E59" w:rsidRDefault="00FF656F" w:rsidP="00FF656F">
            <w:r w:rsidRPr="00D90E59">
              <w:t>2016-2020</w:t>
            </w:r>
            <w:r w:rsidR="00F3258D">
              <w:t xml:space="preserve"> </w:t>
            </w:r>
            <w:r w:rsidRPr="00D90E59">
              <w:t>r. (wg Kpgo 2022)</w:t>
            </w:r>
          </w:p>
          <w:p w14:paraId="437CAE8A" w14:textId="77777777" w:rsidR="00FF656F" w:rsidRPr="00D90E59" w:rsidRDefault="00FF656F" w:rsidP="00FF656F"/>
          <w:p w14:paraId="2140B9B4" w14:textId="77777777" w:rsidR="00FF656F" w:rsidRPr="00D90E59" w:rsidRDefault="00FF656F" w:rsidP="00FF656F"/>
          <w:p w14:paraId="4B20F280" w14:textId="77777777" w:rsidR="00FF656F" w:rsidRPr="00CC20C7" w:rsidRDefault="00FF656F" w:rsidP="00FF656F">
            <w:pPr>
              <w:spacing w:after="120"/>
            </w:pPr>
            <w:r w:rsidRPr="00D90E59">
              <w:t xml:space="preserve">2015-2020 (wg </w:t>
            </w:r>
            <w:proofErr w:type="spellStart"/>
            <w:r w:rsidRPr="00D90E59">
              <w:t>Kpzpo</w:t>
            </w:r>
            <w:proofErr w:type="spellEnd"/>
            <w:r w:rsidRPr="00D90E59">
              <w:t>)</w:t>
            </w:r>
          </w:p>
        </w:tc>
        <w:tc>
          <w:tcPr>
            <w:tcW w:w="1559" w:type="dxa"/>
          </w:tcPr>
          <w:p w14:paraId="4A03F69C" w14:textId="77777777" w:rsidR="00FF656F" w:rsidRPr="00D90E59" w:rsidRDefault="00FF656F" w:rsidP="00FF656F">
            <w:r w:rsidRPr="00D90E59">
              <w:t xml:space="preserve">Tab. 44 poz. 16 </w:t>
            </w:r>
          </w:p>
          <w:p w14:paraId="15189DE9" w14:textId="77777777" w:rsidR="00FF656F" w:rsidRPr="00D90E59" w:rsidRDefault="00FF656F" w:rsidP="00FF656F">
            <w:r w:rsidRPr="00D90E59">
              <w:t>w Kpgo 2022</w:t>
            </w:r>
          </w:p>
          <w:p w14:paraId="6C6EA1F3" w14:textId="0A122E28" w:rsidR="00FF656F" w:rsidRDefault="00FF656F" w:rsidP="00FF656F"/>
          <w:p w14:paraId="768174BE" w14:textId="77777777" w:rsidR="00FF656F" w:rsidRPr="00D90E59" w:rsidRDefault="00FF656F" w:rsidP="00FF656F"/>
          <w:p w14:paraId="6B47CADB" w14:textId="77777777" w:rsidR="00FF656F" w:rsidRPr="00CC20C7" w:rsidRDefault="00FF656F" w:rsidP="00FF656F">
            <w:r w:rsidRPr="00D90E59">
              <w:t xml:space="preserve">Tab. 3 poz. 5 w </w:t>
            </w:r>
            <w:proofErr w:type="spellStart"/>
            <w:r w:rsidRPr="00D90E59">
              <w:t>Kpzpo</w:t>
            </w:r>
            <w:proofErr w:type="spellEnd"/>
          </w:p>
        </w:tc>
        <w:tc>
          <w:tcPr>
            <w:tcW w:w="5670" w:type="dxa"/>
          </w:tcPr>
          <w:p w14:paraId="3C3E1CD5" w14:textId="2B10F311" w:rsidR="00FF656F" w:rsidRPr="00062285" w:rsidRDefault="00FF656F" w:rsidP="00FF656F">
            <w:pPr>
              <w:jc w:val="both"/>
              <w:rPr>
                <w:bCs/>
              </w:rPr>
            </w:pPr>
            <w:r>
              <w:rPr>
                <w:bCs/>
              </w:rPr>
              <w:t xml:space="preserve">NFOŚiGW przewiduje </w:t>
            </w:r>
            <w:r w:rsidRPr="00062285">
              <w:rPr>
                <w:bCs/>
              </w:rPr>
              <w:t>finasowanie przedsięwzięć związanych z</w:t>
            </w:r>
            <w:r>
              <w:rPr>
                <w:bCs/>
              </w:rPr>
              <w:t xml:space="preserve"> </w:t>
            </w:r>
            <w:r w:rsidRPr="00062285">
              <w:rPr>
                <w:bCs/>
              </w:rPr>
              <w:t>minimalizacją</w:t>
            </w:r>
            <w:r w:rsidR="00F3258D">
              <w:rPr>
                <w:bCs/>
              </w:rPr>
              <w:t xml:space="preserve"> </w:t>
            </w:r>
            <w:r w:rsidRPr="00062285">
              <w:rPr>
                <w:bCs/>
              </w:rPr>
              <w:t xml:space="preserve">zużycia surowców pierwotnych oraz minimalizacją powstawania odpadów, w tym możliwości ich powtórnego użytkowania w ramach programu priorytetowego „Wsparcie przedsięwzięć w zakresie niskoemisyjnej i </w:t>
            </w:r>
            <w:proofErr w:type="spellStart"/>
            <w:r w:rsidRPr="00062285">
              <w:rPr>
                <w:bCs/>
              </w:rPr>
              <w:t>zasobooszczędnej</w:t>
            </w:r>
            <w:proofErr w:type="spellEnd"/>
            <w:r w:rsidRPr="00062285">
              <w:rPr>
                <w:bCs/>
              </w:rPr>
              <w:t xml:space="preserve"> gospodarki”</w:t>
            </w:r>
            <w:r>
              <w:rPr>
                <w:bCs/>
              </w:rPr>
              <w:t xml:space="preserve">, część 1) E-KUMULATOR </w:t>
            </w:r>
            <w:r w:rsidRPr="00062285">
              <w:rPr>
                <w:bCs/>
              </w:rPr>
              <w:t xml:space="preserve">Ekologiczny Akumulator dla Przemysłu, który jest wdrażany od maja 2015 r. </w:t>
            </w:r>
          </w:p>
          <w:p w14:paraId="35E4F929" w14:textId="13B1A5F9" w:rsidR="00FF656F" w:rsidRDefault="00FF656F" w:rsidP="00FF656F">
            <w:pPr>
              <w:jc w:val="both"/>
              <w:rPr>
                <w:bCs/>
              </w:rPr>
            </w:pPr>
            <w:r w:rsidRPr="00062285">
              <w:rPr>
                <w:bCs/>
              </w:rPr>
              <w:t>Rozwiązania innowacyjne mogą uzyskać dofinasowanie dzięki wdrożeniu w 2016 r.</w:t>
            </w:r>
            <w:r w:rsidR="00F3258D">
              <w:rPr>
                <w:bCs/>
              </w:rPr>
              <w:t xml:space="preserve"> </w:t>
            </w:r>
            <w:r w:rsidRPr="00062285">
              <w:rPr>
                <w:bCs/>
              </w:rPr>
              <w:t>programu priorytetowego</w:t>
            </w:r>
            <w:r w:rsidR="00F3258D">
              <w:rPr>
                <w:bCs/>
              </w:rPr>
              <w:t xml:space="preserve"> </w:t>
            </w:r>
            <w:r w:rsidRPr="00062285">
              <w:rPr>
                <w:bCs/>
              </w:rPr>
              <w:t xml:space="preserve">„Wsparcie dla Innowacji sprzyjających </w:t>
            </w:r>
            <w:proofErr w:type="spellStart"/>
            <w:r w:rsidRPr="00062285">
              <w:rPr>
                <w:bCs/>
              </w:rPr>
              <w:t>zasobooszczędnej</w:t>
            </w:r>
            <w:proofErr w:type="spellEnd"/>
            <w:r w:rsidRPr="00062285">
              <w:rPr>
                <w:bCs/>
              </w:rPr>
              <w:t xml:space="preserve"> i niskoemisyjnej </w:t>
            </w:r>
            <w:r w:rsidRPr="00062285">
              <w:rPr>
                <w:bCs/>
              </w:rPr>
              <w:lastRenderedPageBreak/>
              <w:t>gospodarce” Część 1) Sokół – wdrożenie innowacyjnych technologii środowiskowych.</w:t>
            </w:r>
          </w:p>
          <w:p w14:paraId="2C37754F" w14:textId="77777777" w:rsidR="00FF656F" w:rsidRDefault="00FF656F" w:rsidP="00FF656F">
            <w:pPr>
              <w:jc w:val="both"/>
            </w:pPr>
            <w:proofErr w:type="spellStart"/>
            <w:r>
              <w:t>WFOŚiGW</w:t>
            </w:r>
            <w:proofErr w:type="spellEnd"/>
            <w:r>
              <w:t xml:space="preserve"> realizowały zadanie poprzez umieszczanie stosownych zapisów w listach przedsięwzięć priorytetowych bądź </w:t>
            </w:r>
            <w:r w:rsidRPr="00D07F8C">
              <w:t xml:space="preserve">dofinansowanie mogło być udzielane na podstawie obowiązujących </w:t>
            </w:r>
            <w:r>
              <w:t>z</w:t>
            </w:r>
            <w:r w:rsidRPr="00D07F8C">
              <w:t>asa</w:t>
            </w:r>
            <w:r>
              <w:t xml:space="preserve">d udzielania pomocy finansowej </w:t>
            </w:r>
            <w:proofErr w:type="spellStart"/>
            <w:r w:rsidRPr="00D07F8C">
              <w:t>WFOŚiGW</w:t>
            </w:r>
            <w:proofErr w:type="spellEnd"/>
            <w:r w:rsidRPr="00D07F8C">
              <w:t xml:space="preserve"> i zapisów wynikających z </w:t>
            </w:r>
            <w:r>
              <w:t>k</w:t>
            </w:r>
            <w:r w:rsidRPr="00D07F8C">
              <w:t xml:space="preserve">atalogu kwalifikacji kosztów dla zadań dofinansowywanych ze środków </w:t>
            </w:r>
            <w:proofErr w:type="spellStart"/>
            <w:r w:rsidRPr="00D07F8C">
              <w:t>WFOŚiGW</w:t>
            </w:r>
            <w:proofErr w:type="spellEnd"/>
            <w:r>
              <w:t>.</w:t>
            </w:r>
          </w:p>
          <w:p w14:paraId="669C2240" w14:textId="77777777" w:rsidR="00FF656F" w:rsidRDefault="00FF656F" w:rsidP="00FF656F">
            <w:pPr>
              <w:jc w:val="both"/>
            </w:pPr>
            <w:proofErr w:type="spellStart"/>
            <w:r>
              <w:t>WFOŚiGW</w:t>
            </w:r>
            <w:proofErr w:type="spellEnd"/>
            <w:r>
              <w:t xml:space="preserve"> w Olsztynie nie uwzględnił możliwości wsparcia tego rodzaju przedsięwzięć. </w:t>
            </w:r>
            <w:proofErr w:type="spellStart"/>
            <w:r w:rsidRPr="00D4550B">
              <w:t>WFOŚiGW</w:t>
            </w:r>
            <w:proofErr w:type="spellEnd"/>
            <w:r>
              <w:t xml:space="preserve"> w Poznaniu nie wskazał takich działań na listach przedsięwzięć priorytetowych na 2014, 2015 i 2016 r. </w:t>
            </w:r>
          </w:p>
          <w:p w14:paraId="7EE3F287" w14:textId="09844B14" w:rsidR="00FF656F" w:rsidRPr="00CC20C7" w:rsidRDefault="00FF656F" w:rsidP="00017762">
            <w:pPr>
              <w:jc w:val="both"/>
            </w:pPr>
            <w:r>
              <w:rPr>
                <w:bCs/>
              </w:rPr>
              <w:t xml:space="preserve">W przypadku </w:t>
            </w:r>
            <w:r w:rsidRPr="00D07F8C">
              <w:rPr>
                <w:bCs/>
              </w:rPr>
              <w:t>nie uwzględni</w:t>
            </w:r>
            <w:r>
              <w:rPr>
                <w:bCs/>
              </w:rPr>
              <w:t>enia</w:t>
            </w:r>
            <w:r w:rsidRPr="00D07F8C">
              <w:rPr>
                <w:bCs/>
              </w:rPr>
              <w:t xml:space="preserve"> w sposób szczególny zadań związanych ze wspieraniem małych i średnich przedsiębiorstw w zakresie zmiany technologii na technologie małoodpadowe czy innowacyjne, jak również związanych z tworzeniem nowych form działalności związanej z zapobieganiem powstawaniu odpadów, </w:t>
            </w:r>
            <w:r>
              <w:rPr>
                <w:bCs/>
              </w:rPr>
              <w:t>istniała</w:t>
            </w:r>
            <w:r w:rsidRPr="00D07F8C">
              <w:rPr>
                <w:bCs/>
              </w:rPr>
              <w:t xml:space="preserve"> możliwość finansowania takich zadań</w:t>
            </w:r>
            <w:r w:rsidR="00F3258D">
              <w:rPr>
                <w:bCs/>
              </w:rPr>
              <w:t xml:space="preserve"> </w:t>
            </w:r>
            <w:r w:rsidRPr="00D07F8C">
              <w:rPr>
                <w:bCs/>
              </w:rPr>
              <w:t>- na zasadach ogólnych (zadania te mieszczą się w katalogu dopuszczonym w ustawie Prawo ochrony środowiska)</w:t>
            </w:r>
            <w:r>
              <w:rPr>
                <w:bCs/>
              </w:rPr>
              <w:t>.</w:t>
            </w:r>
            <w:r w:rsidRPr="008F6A7D">
              <w:rPr>
                <w:bCs/>
              </w:rPr>
              <w:t xml:space="preserve"> Priorytetowość ww. przedsięwzięć wskazana </w:t>
            </w:r>
            <w:r>
              <w:rPr>
                <w:bCs/>
              </w:rPr>
              <w:t>została</w:t>
            </w:r>
            <w:r w:rsidRPr="008F6A7D">
              <w:rPr>
                <w:bCs/>
              </w:rPr>
              <w:t xml:space="preserve"> natomiast w dokumentach strategicznych</w:t>
            </w:r>
            <w:r>
              <w:rPr>
                <w:bCs/>
              </w:rPr>
              <w:t xml:space="preserve"> takich jak np. </w:t>
            </w:r>
            <w:r w:rsidRPr="006F1D2C">
              <w:rPr>
                <w:bCs/>
              </w:rPr>
              <w:t>„Wspóln</w:t>
            </w:r>
            <w:r>
              <w:rPr>
                <w:bCs/>
              </w:rPr>
              <w:t xml:space="preserve">a Strategia </w:t>
            </w:r>
            <w:r w:rsidRPr="006F1D2C">
              <w:rPr>
                <w:bCs/>
              </w:rPr>
              <w:t>Działania Narodowego Funduszu i wojewódzkich funduszy ochrony środowiska i gospodarki wodnej na lata 2017 – 2020”, przyjęt</w:t>
            </w:r>
            <w:r>
              <w:rPr>
                <w:bCs/>
              </w:rPr>
              <w:t>a</w:t>
            </w:r>
            <w:r w:rsidRPr="006F1D2C">
              <w:rPr>
                <w:bCs/>
              </w:rPr>
              <w:t xml:space="preserve"> w dniu 16</w:t>
            </w:r>
            <w:r w:rsidR="00017762">
              <w:rPr>
                <w:bCs/>
              </w:rPr>
              <w:t xml:space="preserve"> czerwca </w:t>
            </w:r>
            <w:r w:rsidRPr="006F1D2C">
              <w:rPr>
                <w:bCs/>
              </w:rPr>
              <w:t>2016 r.</w:t>
            </w:r>
            <w:r>
              <w:rPr>
                <w:bCs/>
              </w:rPr>
              <w:t xml:space="preserve"> </w:t>
            </w:r>
          </w:p>
        </w:tc>
      </w:tr>
      <w:tr w:rsidR="00FF656F" w:rsidRPr="00CC20C7" w14:paraId="1E0C3086" w14:textId="77777777" w:rsidTr="00553DF5">
        <w:tc>
          <w:tcPr>
            <w:tcW w:w="539" w:type="dxa"/>
          </w:tcPr>
          <w:p w14:paraId="5BDBA716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vAlign w:val="center"/>
          </w:tcPr>
          <w:p w14:paraId="14A5D8DA" w14:textId="77777777" w:rsidR="00FF656F" w:rsidRPr="00CC20C7" w:rsidRDefault="00FF656F" w:rsidP="00FF656F">
            <w:r w:rsidRPr="00CC20C7">
              <w:t>Przygotowanie rekomendacji dla weryfikacji procesów produkcyjnych, pod kątem ograniczenia ilości wytwarzanych odpadów i uwzględnienia w tych procesach wykorzystania odpadów.</w:t>
            </w:r>
          </w:p>
        </w:tc>
        <w:tc>
          <w:tcPr>
            <w:tcW w:w="1985" w:type="dxa"/>
          </w:tcPr>
          <w:p w14:paraId="397CDF37" w14:textId="77777777" w:rsidR="00FF656F" w:rsidRPr="00CC20C7" w:rsidRDefault="00FF656F" w:rsidP="00FF656F">
            <w:pPr>
              <w:spacing w:after="120"/>
            </w:pPr>
            <w:r w:rsidRPr="00CC20C7">
              <w:t>Minister Środowiska/ Minister Rozwoju</w:t>
            </w:r>
          </w:p>
        </w:tc>
        <w:tc>
          <w:tcPr>
            <w:tcW w:w="1676" w:type="dxa"/>
          </w:tcPr>
          <w:p w14:paraId="068C076B" w14:textId="77777777" w:rsidR="00FF656F" w:rsidRPr="00CC20C7" w:rsidRDefault="00FF656F" w:rsidP="00FF656F">
            <w:pPr>
              <w:spacing w:after="120"/>
            </w:pPr>
            <w:r w:rsidRPr="00CC20C7">
              <w:t>2016-2022 r.</w:t>
            </w:r>
          </w:p>
        </w:tc>
        <w:tc>
          <w:tcPr>
            <w:tcW w:w="1559" w:type="dxa"/>
          </w:tcPr>
          <w:p w14:paraId="45053D75" w14:textId="77777777" w:rsidR="00FF656F" w:rsidRPr="000A4DD2" w:rsidRDefault="00FF656F" w:rsidP="00FF656F">
            <w:r w:rsidRPr="000A4DD2">
              <w:t>Tab. 44 poz. 17</w:t>
            </w:r>
          </w:p>
          <w:p w14:paraId="75138412" w14:textId="77777777" w:rsidR="00FF656F" w:rsidRPr="000A4DD2" w:rsidRDefault="00FF656F" w:rsidP="00FF656F">
            <w:r w:rsidRPr="000A4DD2">
              <w:t>w Kpgo 2022</w:t>
            </w:r>
          </w:p>
          <w:p w14:paraId="08BEAD30" w14:textId="77777777" w:rsidR="00FF656F" w:rsidRPr="00CC20C7" w:rsidRDefault="00FF656F" w:rsidP="00FF656F">
            <w:pPr>
              <w:spacing w:after="120"/>
            </w:pPr>
          </w:p>
        </w:tc>
        <w:tc>
          <w:tcPr>
            <w:tcW w:w="5670" w:type="dxa"/>
          </w:tcPr>
          <w:p w14:paraId="1606CDA7" w14:textId="7F83F358" w:rsidR="00FF656F" w:rsidRPr="00CC20C7" w:rsidRDefault="00FF656F" w:rsidP="00FF656F">
            <w:pPr>
              <w:spacing w:after="120"/>
              <w:jc w:val="both"/>
            </w:pPr>
            <w:r w:rsidRPr="008972DF">
              <w:t>Nie realizowano w okresie sprawozdawczym.</w:t>
            </w:r>
            <w:r w:rsidR="00F3258D">
              <w:t xml:space="preserve"> </w:t>
            </w:r>
            <w:r w:rsidRPr="008972DF">
              <w:t>Opracowanie przewidziane do zrealizowania w ramach „sieci ENEA”</w:t>
            </w:r>
            <w:r>
              <w:t>.</w:t>
            </w:r>
          </w:p>
        </w:tc>
      </w:tr>
      <w:tr w:rsidR="00FF656F" w:rsidRPr="00CC20C7" w14:paraId="33C3FBE4" w14:textId="77777777" w:rsidTr="00553DF5">
        <w:tc>
          <w:tcPr>
            <w:tcW w:w="539" w:type="dxa"/>
          </w:tcPr>
          <w:p w14:paraId="54AE48A4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3D258BC0" w14:textId="2D0F2880" w:rsidR="00FF656F" w:rsidRPr="00CC20C7" w:rsidRDefault="00FF656F" w:rsidP="00FF656F">
            <w:pPr>
              <w:spacing w:after="120"/>
            </w:pPr>
            <w:r w:rsidRPr="00CC20C7">
              <w:t xml:space="preserve">Kampanie promujące hierarchię </w:t>
            </w:r>
            <w:r w:rsidRPr="00CC20C7">
              <w:lastRenderedPageBreak/>
              <w:t xml:space="preserve">sposobów postępowania z odpadami, w tym mniej konsumpcyjny styl życia oraz </w:t>
            </w:r>
            <w:proofErr w:type="spellStart"/>
            <w:r w:rsidRPr="00E3368B">
              <w:t>ekoprojekto</w:t>
            </w:r>
            <w:r>
              <w:t>wanie</w:t>
            </w:r>
            <w:proofErr w:type="spellEnd"/>
            <w:r w:rsidRPr="00E3368B">
              <w:t>.</w:t>
            </w:r>
          </w:p>
        </w:tc>
        <w:tc>
          <w:tcPr>
            <w:tcW w:w="1985" w:type="dxa"/>
          </w:tcPr>
          <w:p w14:paraId="646F2C39" w14:textId="77777777" w:rsidR="00FF656F" w:rsidRPr="00CC20C7" w:rsidRDefault="00FF656F" w:rsidP="00FF656F">
            <w:pPr>
              <w:spacing w:after="120"/>
            </w:pPr>
            <w:r w:rsidRPr="00CC20C7">
              <w:lastRenderedPageBreak/>
              <w:t xml:space="preserve">Minister Środowiska, </w:t>
            </w:r>
            <w:r w:rsidRPr="00CC20C7">
              <w:lastRenderedPageBreak/>
              <w:t>oraz</w:t>
            </w:r>
          </w:p>
          <w:p w14:paraId="180080FE" w14:textId="77777777" w:rsidR="00FF656F" w:rsidRPr="00CC20C7" w:rsidRDefault="00FF656F" w:rsidP="00FF656F">
            <w:pPr>
              <w:spacing w:after="120"/>
            </w:pPr>
            <w:r w:rsidRPr="00CC20C7">
              <w:t>Ministerstwo Rozwoju</w:t>
            </w:r>
          </w:p>
        </w:tc>
        <w:tc>
          <w:tcPr>
            <w:tcW w:w="1676" w:type="dxa"/>
          </w:tcPr>
          <w:p w14:paraId="66615488" w14:textId="77777777" w:rsidR="00FF656F" w:rsidRPr="00CC20C7" w:rsidRDefault="00FF656F" w:rsidP="00FF656F">
            <w:pPr>
              <w:spacing w:after="120"/>
            </w:pPr>
            <w:r w:rsidRPr="00CC20C7">
              <w:lastRenderedPageBreak/>
              <w:t>2016-2019 r.</w:t>
            </w:r>
          </w:p>
        </w:tc>
        <w:tc>
          <w:tcPr>
            <w:tcW w:w="1559" w:type="dxa"/>
          </w:tcPr>
          <w:p w14:paraId="3EF4D174" w14:textId="77777777" w:rsidR="00FF656F" w:rsidRPr="00D43BC4" w:rsidRDefault="00FF656F" w:rsidP="00FF656F">
            <w:r w:rsidRPr="00D43BC4">
              <w:t>Tab. 44 poz. 18</w:t>
            </w:r>
          </w:p>
          <w:p w14:paraId="51142622" w14:textId="77777777" w:rsidR="00FF656F" w:rsidRPr="00D43BC4" w:rsidRDefault="00FF656F" w:rsidP="00FF656F">
            <w:r w:rsidRPr="00D43BC4">
              <w:lastRenderedPageBreak/>
              <w:t>w Kpgo 2022</w:t>
            </w:r>
          </w:p>
          <w:p w14:paraId="0D07BBC6" w14:textId="77777777" w:rsidR="00FF656F" w:rsidRDefault="00FF656F" w:rsidP="00FF656F"/>
          <w:p w14:paraId="7CBB5119" w14:textId="77777777" w:rsidR="00FF656F" w:rsidRPr="00D43BC4" w:rsidRDefault="00FF656F" w:rsidP="00FF656F">
            <w:r w:rsidRPr="00D43BC4">
              <w:t xml:space="preserve">Tab. 3 poz.6 </w:t>
            </w:r>
          </w:p>
          <w:p w14:paraId="392338CC" w14:textId="77777777" w:rsidR="00FF656F" w:rsidRPr="00CC20C7" w:rsidRDefault="00FF656F" w:rsidP="00FF656F">
            <w:r w:rsidRPr="00D43BC4">
              <w:t xml:space="preserve">w </w:t>
            </w:r>
            <w:proofErr w:type="spellStart"/>
            <w:r w:rsidRPr="00D43BC4">
              <w:t>Kpzpo</w:t>
            </w:r>
            <w:proofErr w:type="spellEnd"/>
          </w:p>
        </w:tc>
        <w:tc>
          <w:tcPr>
            <w:tcW w:w="5670" w:type="dxa"/>
          </w:tcPr>
          <w:p w14:paraId="1746C8BF" w14:textId="54D9BD6B" w:rsidR="00FF656F" w:rsidRPr="00C35AB3" w:rsidRDefault="00FD76EC" w:rsidP="00FF656F">
            <w:pPr>
              <w:jc w:val="both"/>
              <w:rPr>
                <w:bCs/>
              </w:rPr>
            </w:pPr>
            <w:r w:rsidRPr="00FD76EC">
              <w:rPr>
                <w:bCs/>
              </w:rPr>
              <w:lastRenderedPageBreak/>
              <w:t xml:space="preserve">Zrealizowane przedsięwzięcia komunikacyjne stanowiły </w:t>
            </w:r>
            <w:r w:rsidRPr="00FD76EC">
              <w:rPr>
                <w:bCs/>
              </w:rPr>
              <w:lastRenderedPageBreak/>
              <w:t>kontynuację, prowadzonych od 2013 r., działań informacyjno-promocyjnych, których celem było podnoszenie stanu świadomości ekologicznej społeczeństwa w zakresie właściwego postępowania z odpadami powstaj</w:t>
            </w:r>
            <w:r>
              <w:rPr>
                <w:bCs/>
              </w:rPr>
              <w:t>ącymi w gospodarstwach domowych.</w:t>
            </w:r>
            <w:r w:rsidRPr="00FD76EC">
              <w:rPr>
                <w:bCs/>
              </w:rPr>
              <w:t xml:space="preserve"> W 2016 r. przeprowadzono działania m.in. </w:t>
            </w:r>
            <w:r w:rsidR="00FF656F" w:rsidRPr="00C35AB3">
              <w:rPr>
                <w:bCs/>
              </w:rPr>
              <w:t xml:space="preserve">w Internecie, radiu i prasie, a także podczas masowych wydarzeń, zmierzające do popularyzacji zagadnień: selektywnego zbierania odpadów komunalnych, w tym tworzenia przydomowych kompostowników; informowania o korzyściach wynikających z wdrażanego nowego systemu gospodarowania odpadami i o zasadach jego funkcjonowania; kreowania proekologicznych trendów, postaw i motywacji promujących „modę” na segregowanie odpadów. </w:t>
            </w:r>
          </w:p>
          <w:p w14:paraId="11900AAD" w14:textId="77777777" w:rsidR="00FF656F" w:rsidRPr="00C35AB3" w:rsidRDefault="00FF656F" w:rsidP="00FF656F">
            <w:pPr>
              <w:jc w:val="both"/>
              <w:rPr>
                <w:bCs/>
              </w:rPr>
            </w:pPr>
            <w:r w:rsidRPr="00C35AB3">
              <w:rPr>
                <w:bCs/>
              </w:rPr>
              <w:t>Były to działania takie jak:</w:t>
            </w:r>
          </w:p>
          <w:p w14:paraId="5DF646AB" w14:textId="77777777" w:rsidR="00FF656F" w:rsidRPr="00C35AB3" w:rsidRDefault="00FF656F" w:rsidP="00FF656F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u</w:t>
            </w:r>
            <w:r w:rsidRPr="00C35AB3">
              <w:rPr>
                <w:bCs/>
              </w:rPr>
              <w:t>dział MŚ w Międzynarodowych Targach Technologii i Produktów dla Zrównoważonego rozwoju i Usług Komunalnych POL-ECO-SYSTEM 2016 w Poznaniu, których głównym tematem była „Gospodarka o obiegu zamkniętym szansą rozwoju terenów niezurbanizowanych”;</w:t>
            </w:r>
          </w:p>
          <w:p w14:paraId="4C01F453" w14:textId="77777777" w:rsidR="00FF656F" w:rsidRPr="00C35AB3" w:rsidRDefault="00FF656F" w:rsidP="00FF656F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w</w:t>
            </w:r>
            <w:r w:rsidRPr="00C35AB3">
              <w:rPr>
                <w:bCs/>
              </w:rPr>
              <w:t xml:space="preserve">kładka w czasopiśmie „Środowisko” dedykowana – podnoszonym przez resort - zagadnieniom z zakresu ochrony środowiska. Publikacja o charakterze informacyjno-edukacyjnym, skierowana m.in. do </w:t>
            </w:r>
            <w:r w:rsidRPr="00C35AB3">
              <w:t xml:space="preserve">właścicieli domów z przydomowym ogródkiem, pracowników placówek naukowych, bibliotek i szkół oraz organizacji pozarządowych </w:t>
            </w:r>
            <w:r w:rsidRPr="00C35AB3">
              <w:br/>
              <w:t>i przedsiębiorców;</w:t>
            </w:r>
          </w:p>
          <w:p w14:paraId="0206E4B4" w14:textId="77777777" w:rsidR="00FF656F" w:rsidRPr="00C35AB3" w:rsidRDefault="00FF656F" w:rsidP="00FF656F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C35AB3">
              <w:rPr>
                <w:bCs/>
              </w:rPr>
              <w:t>udycja radiowa dotycząca zagadnienia kompostowania w ramach realizowanego cyklu: „Sygnały Natury”;</w:t>
            </w:r>
          </w:p>
          <w:p w14:paraId="5D808AFB" w14:textId="65B772DD" w:rsidR="00FF656F" w:rsidRPr="00C35AB3" w:rsidRDefault="00FF656F" w:rsidP="00FF656F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o</w:t>
            </w:r>
            <w:r w:rsidRPr="00C35AB3">
              <w:rPr>
                <w:bCs/>
              </w:rPr>
              <w:t xml:space="preserve">pracowanie i popularyzacja infografiki prezentującej zasady skutecznego kompostowania. Materiał promowany (w tym udostępniany) wraz z komunikatami zachęcającymi do kompostowania. Działania informacyjno-edukacyjne były przeprowadzane z wykorzystaniem mediów </w:t>
            </w:r>
            <w:r w:rsidRPr="00C35AB3">
              <w:rPr>
                <w:bCs/>
              </w:rPr>
              <w:lastRenderedPageBreak/>
              <w:t>społecznościowych (profil MŚ) oraz zamieszczane na stronach internetowych (w tym MŚ).</w:t>
            </w:r>
          </w:p>
          <w:p w14:paraId="2760A4DE" w14:textId="77777777" w:rsidR="00FF656F" w:rsidRDefault="00FF656F" w:rsidP="00FF656F">
            <w:pPr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Pr="00C35AB3">
              <w:rPr>
                <w:bCs/>
              </w:rPr>
              <w:t xml:space="preserve">okonano aktualizacji strony internetowej www.naszesmieci.pl (ob. </w:t>
            </w:r>
            <w:r w:rsidRPr="00FF656F">
              <w:rPr>
                <w:bCs/>
              </w:rPr>
              <w:t>portal: naszesmieci.mos.gov.pl) o wybrane materiały zrealizowane w ramach powyższych działań (w</w:t>
            </w:r>
            <w:r w:rsidRPr="00C35AB3">
              <w:rPr>
                <w:bCs/>
              </w:rPr>
              <w:t xml:space="preserve"> tym m.in. infografika nt. kompostowania oraz wkładka w dwutygodniku „Środowisko”).</w:t>
            </w:r>
          </w:p>
          <w:p w14:paraId="6E07F39B" w14:textId="2D6A3660" w:rsidR="00FF656F" w:rsidRPr="00FF656F" w:rsidRDefault="00FF656F" w:rsidP="00FD76EC">
            <w:pPr>
              <w:spacing w:before="60"/>
              <w:jc w:val="both"/>
              <w:rPr>
                <w:bCs/>
              </w:rPr>
            </w:pPr>
            <w:r w:rsidRPr="00E3368B">
              <w:rPr>
                <w:bCs/>
              </w:rPr>
              <w:t>W latach 2015 – 2016 wraz ze z</w:t>
            </w:r>
            <w:r>
              <w:rPr>
                <w:bCs/>
              </w:rPr>
              <w:t xml:space="preserve">mieniającym się prawodawstwem, </w:t>
            </w:r>
            <w:r w:rsidRPr="00E3368B">
              <w:rPr>
                <w:bCs/>
              </w:rPr>
              <w:t>realizowano konkurs</w:t>
            </w:r>
            <w:r>
              <w:rPr>
                <w:bCs/>
              </w:rPr>
              <w:t>y</w:t>
            </w:r>
            <w:r w:rsidRPr="00E3368B">
              <w:rPr>
                <w:bCs/>
              </w:rPr>
              <w:t xml:space="preserve"> uwzględniających aspekty środowiskowe. Działania te były kierowane zarówno do wybranych grup społecznych (dzieci, młodzież, rodzice, konsumenci) bądź </w:t>
            </w:r>
            <w:r w:rsidRPr="00FF656F">
              <w:rPr>
                <w:bCs/>
              </w:rPr>
              <w:t xml:space="preserve">zawodowych (nauczyciele, przedsiębiorcy), jak i ogółu społeczeństwa, np. Konkurs na nakręcenie </w:t>
            </w:r>
            <w:proofErr w:type="spellStart"/>
            <w:r w:rsidRPr="00FF656F">
              <w:rPr>
                <w:bCs/>
              </w:rPr>
              <w:t>EkoSpota</w:t>
            </w:r>
            <w:proofErr w:type="spellEnd"/>
            <w:r w:rsidRPr="00FF656F">
              <w:rPr>
                <w:bCs/>
              </w:rPr>
              <w:t xml:space="preserve"> pn. </w:t>
            </w:r>
            <w:r w:rsidRPr="00FF656F">
              <w:rPr>
                <w:bCs/>
                <w:i/>
              </w:rPr>
              <w:t>Okaż kulturę, chroń naturę - czyli ochrona środowiska na co dzień.</w:t>
            </w:r>
          </w:p>
          <w:p w14:paraId="42196530" w14:textId="77777777" w:rsidR="00FF656F" w:rsidRPr="00E3368B" w:rsidRDefault="00FF656F" w:rsidP="00FF656F">
            <w:pPr>
              <w:jc w:val="both"/>
              <w:rPr>
                <w:bCs/>
              </w:rPr>
            </w:pPr>
            <w:r w:rsidRPr="00FF656F">
              <w:rPr>
                <w:bCs/>
              </w:rPr>
              <w:t>Głównym założeniem konkursu było podniesienie stanu świadomości ekologicznej</w:t>
            </w:r>
            <w:r w:rsidRPr="00E3368B">
              <w:rPr>
                <w:bCs/>
              </w:rPr>
              <w:t xml:space="preserve"> społeczeństwa oraz propagowanie proekologicznych postaw i </w:t>
            </w:r>
            <w:proofErr w:type="spellStart"/>
            <w:r w:rsidRPr="00E3368B">
              <w:rPr>
                <w:bCs/>
              </w:rPr>
              <w:t>zachowań</w:t>
            </w:r>
            <w:proofErr w:type="spellEnd"/>
            <w:r w:rsidRPr="00E3368B">
              <w:rPr>
                <w:bCs/>
              </w:rPr>
              <w:t xml:space="preserve"> w codziennym życiu. </w:t>
            </w:r>
          </w:p>
          <w:p w14:paraId="634BC138" w14:textId="77777777" w:rsidR="00FF656F" w:rsidRPr="00E3368B" w:rsidRDefault="00FF656F" w:rsidP="00FF656F">
            <w:pPr>
              <w:jc w:val="both"/>
              <w:rPr>
                <w:bCs/>
              </w:rPr>
            </w:pPr>
            <w:r w:rsidRPr="00E3368B">
              <w:rPr>
                <w:bCs/>
              </w:rPr>
              <w:t>Tematyką konkursową było nakręcenie krótkiego - 15 sekundowego spotu o tematyce ekologicznej w 6 różnych kategoriach, w tym:</w:t>
            </w:r>
          </w:p>
          <w:p w14:paraId="6C4078ED" w14:textId="77777777" w:rsidR="00FF656F" w:rsidRPr="00E3368B" w:rsidRDefault="00FF656F" w:rsidP="00FF656F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E3368B">
              <w:rPr>
                <w:bCs/>
                <w:i/>
              </w:rPr>
              <w:t>Posegreguj to</w:t>
            </w:r>
            <w:r w:rsidRPr="00E3368B">
              <w:rPr>
                <w:bCs/>
              </w:rPr>
              <w:t xml:space="preserve"> – gospodarka odpadami;</w:t>
            </w:r>
          </w:p>
          <w:p w14:paraId="006C1868" w14:textId="77777777" w:rsidR="00FF656F" w:rsidRPr="00E3368B" w:rsidRDefault="00FF656F" w:rsidP="00FF656F">
            <w:pPr>
              <w:numPr>
                <w:ilvl w:val="0"/>
                <w:numId w:val="14"/>
              </w:numPr>
              <w:rPr>
                <w:bCs/>
              </w:rPr>
            </w:pPr>
            <w:r w:rsidRPr="00E3368B">
              <w:rPr>
                <w:bCs/>
                <w:i/>
              </w:rPr>
              <w:t>Eko na co dzień</w:t>
            </w:r>
            <w:r w:rsidRPr="00E3368B">
              <w:rPr>
                <w:bCs/>
              </w:rPr>
              <w:t xml:space="preserve"> – np. ekologiczne zakupy.</w:t>
            </w:r>
          </w:p>
          <w:p w14:paraId="4DF10E72" w14:textId="77777777" w:rsidR="00FF656F" w:rsidRPr="00CC20C7" w:rsidRDefault="00FF656F" w:rsidP="00FF656F">
            <w:pPr>
              <w:spacing w:after="120"/>
            </w:pPr>
            <w:r w:rsidRPr="00E3368B">
              <w:rPr>
                <w:bCs/>
              </w:rPr>
              <w:t xml:space="preserve">W ramach konkursu </w:t>
            </w:r>
            <w:r w:rsidRPr="00FF656F">
              <w:rPr>
                <w:bCs/>
              </w:rPr>
              <w:t>wpłynęło ok. 290 spotów w ramach wszystkich kategorii.</w:t>
            </w:r>
          </w:p>
        </w:tc>
      </w:tr>
      <w:tr w:rsidR="00FF656F" w:rsidRPr="00993218" w14:paraId="2830B9EA" w14:textId="77777777" w:rsidTr="00553DF5">
        <w:tc>
          <w:tcPr>
            <w:tcW w:w="539" w:type="dxa"/>
          </w:tcPr>
          <w:p w14:paraId="00A31BEB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29813DCC" w14:textId="77777777" w:rsidR="00FF656F" w:rsidRPr="00C06C4C" w:rsidRDefault="00FF656F" w:rsidP="00FF656F">
            <w:pPr>
              <w:jc w:val="both"/>
              <w:rPr>
                <w:iCs/>
              </w:rPr>
            </w:pPr>
            <w:r w:rsidRPr="00CF65B4">
              <w:rPr>
                <w:iCs/>
              </w:rPr>
              <w:t xml:space="preserve">Promocja </w:t>
            </w:r>
            <w:proofErr w:type="spellStart"/>
            <w:r w:rsidRPr="00CF65B4">
              <w:rPr>
                <w:iCs/>
              </w:rPr>
              <w:t>ekoprojektowania</w:t>
            </w:r>
            <w:proofErr w:type="spellEnd"/>
          </w:p>
        </w:tc>
        <w:tc>
          <w:tcPr>
            <w:tcW w:w="1985" w:type="dxa"/>
          </w:tcPr>
          <w:p w14:paraId="5E2C912A" w14:textId="77777777" w:rsidR="00FF656F" w:rsidRPr="004668A6" w:rsidRDefault="00FF656F" w:rsidP="00FF656F">
            <w:r w:rsidRPr="004668A6">
              <w:t>Minister Środowiska</w:t>
            </w:r>
            <w:r>
              <w:t>/</w:t>
            </w:r>
          </w:p>
          <w:p w14:paraId="6EC9D67A" w14:textId="77777777" w:rsidR="00FF656F" w:rsidRPr="00C06C4C" w:rsidRDefault="00FF656F" w:rsidP="00FF656F">
            <w:r w:rsidRPr="004668A6">
              <w:t>Ministerstwo Rozwoju</w:t>
            </w:r>
          </w:p>
        </w:tc>
        <w:tc>
          <w:tcPr>
            <w:tcW w:w="1676" w:type="dxa"/>
          </w:tcPr>
          <w:p w14:paraId="50360326" w14:textId="77777777" w:rsidR="00FF656F" w:rsidRPr="00C06C4C" w:rsidRDefault="00FF656F" w:rsidP="00FF656F">
            <w:r>
              <w:t>2015-2020</w:t>
            </w:r>
          </w:p>
        </w:tc>
        <w:tc>
          <w:tcPr>
            <w:tcW w:w="1559" w:type="dxa"/>
          </w:tcPr>
          <w:p w14:paraId="0793316F" w14:textId="77777777" w:rsidR="00FF656F" w:rsidRDefault="00FF656F" w:rsidP="00FF656F">
            <w:r>
              <w:t xml:space="preserve">Tab. 3 poz. 6 </w:t>
            </w:r>
          </w:p>
          <w:p w14:paraId="4323BA52" w14:textId="64756AE8" w:rsidR="00FF656F" w:rsidRPr="00C06C4C" w:rsidRDefault="00FF656F" w:rsidP="00FF656F">
            <w:r>
              <w:t xml:space="preserve">w </w:t>
            </w:r>
            <w:proofErr w:type="spellStart"/>
            <w:r>
              <w:t>Kpzpo</w:t>
            </w:r>
            <w:proofErr w:type="spellEnd"/>
          </w:p>
        </w:tc>
        <w:tc>
          <w:tcPr>
            <w:tcW w:w="5670" w:type="dxa"/>
          </w:tcPr>
          <w:p w14:paraId="4CAFBCBF" w14:textId="77777777" w:rsidR="00FF656F" w:rsidRPr="00E3048F" w:rsidRDefault="00FF656F" w:rsidP="00750CC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3048F">
              <w:rPr>
                <w:rFonts w:eastAsia="Calibri"/>
              </w:rPr>
              <w:t>W latach 2015 – 2016 wraz ze zwiększającą się świadomością ekologiczną konsumentów oraz zmieniającym się prawodawstwem, zrealizowano szereg konkursów uwzględniających aspekty środowiskowe w procesie wytwarzania produktów. Działania te były kierowane zarówno do wybranych grup społecznych</w:t>
            </w:r>
            <w:r w:rsidRPr="00E3048F">
              <w:rPr>
                <w:rFonts w:eastAsia="Calibri"/>
                <w:sz w:val="22"/>
                <w:szCs w:val="22"/>
              </w:rPr>
              <w:t xml:space="preserve"> (</w:t>
            </w:r>
            <w:r w:rsidRPr="00E3048F">
              <w:rPr>
                <w:rFonts w:eastAsia="Calibri"/>
              </w:rPr>
              <w:t>dzieci, młodzież, rodzice, konsumenci) bądź zawodowych (nauczyciele, przedsiębiorcy), jak i ogółu społeczeństwa.</w:t>
            </w:r>
          </w:p>
          <w:p w14:paraId="0CE8C6E1" w14:textId="77777777" w:rsidR="00FF656F" w:rsidRPr="00E3048F" w:rsidRDefault="00FF656F" w:rsidP="00750C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Calibri"/>
              </w:rPr>
            </w:pPr>
            <w:r w:rsidRPr="00FF656F">
              <w:rPr>
                <w:rFonts w:eastAsia="Calibri"/>
              </w:rPr>
              <w:t>Konkurs Eco Design -</w:t>
            </w:r>
            <w:r w:rsidRPr="00E3048F">
              <w:rPr>
                <w:rFonts w:eastAsia="Calibri"/>
              </w:rPr>
              <w:t xml:space="preserve"> kontynuacja konkursu z 2014 r. </w:t>
            </w:r>
            <w:r w:rsidRPr="00E3048F">
              <w:rPr>
                <w:rFonts w:eastAsia="Calibri"/>
              </w:rPr>
              <w:lastRenderedPageBreak/>
              <w:t xml:space="preserve">skierowanego do producentów, dystrybutorów i usługodawców, których produkty lub usługi wpisywały się w nurt ekologicznego projektowania. </w:t>
            </w:r>
          </w:p>
          <w:p w14:paraId="592250E5" w14:textId="77777777" w:rsidR="00FF656F" w:rsidRPr="00E3048F" w:rsidRDefault="00FF656F" w:rsidP="00750CC2">
            <w:pPr>
              <w:autoSpaceDE w:val="0"/>
              <w:autoSpaceDN w:val="0"/>
              <w:adjustRightInd w:val="0"/>
              <w:ind w:left="357"/>
              <w:jc w:val="both"/>
            </w:pPr>
            <w:r w:rsidRPr="00E3048F">
              <w:t xml:space="preserve">Celem konkursu była promocja i upowszechnianie osiągnięć w dziedzinie ekologicznego, zrównoważonego projektowania, innowacyjności rozwiązań wzorniczych, pogłębienie wiedzy o </w:t>
            </w:r>
            <w:proofErr w:type="spellStart"/>
            <w:r w:rsidRPr="00E3048F">
              <w:t>eco</w:t>
            </w:r>
            <w:proofErr w:type="spellEnd"/>
            <w:r w:rsidRPr="00E3048F">
              <w:t xml:space="preserve">-designie wśród przedsiębiorców, klientów docelowych i społeczeństwa. </w:t>
            </w:r>
          </w:p>
          <w:p w14:paraId="14865303" w14:textId="0F2EF6CF" w:rsidR="00FF656F" w:rsidRPr="00E3048F" w:rsidRDefault="00FF656F" w:rsidP="00750CC2">
            <w:pPr>
              <w:autoSpaceDE w:val="0"/>
              <w:autoSpaceDN w:val="0"/>
              <w:adjustRightInd w:val="0"/>
              <w:ind w:left="360"/>
              <w:contextualSpacing/>
              <w:jc w:val="both"/>
            </w:pPr>
            <w:r w:rsidRPr="00E3048F">
              <w:t xml:space="preserve">Przedmiotem konkursu był wybór ekologicznych, wyróżniających się pod względem wzornictwa, jakości wykonania oraz </w:t>
            </w:r>
            <w:r w:rsidRPr="00FF656F">
              <w:t>funkcjonalności, produktów wpisujących się w nurt ekologicznego projektowania. Do konkursu zgłoszono 68 produktów, z których w wyn</w:t>
            </w:r>
            <w:r w:rsidRPr="00E3048F">
              <w:t>iku pierwszego etapu obrad komisji konkursowej, wybrano 57 produktów do wystawy finałowej Eco Design.</w:t>
            </w:r>
          </w:p>
          <w:p w14:paraId="002B4A33" w14:textId="77777777" w:rsidR="00FF656F" w:rsidRPr="00FF656F" w:rsidRDefault="00FF656F" w:rsidP="00750CC2">
            <w:pPr>
              <w:ind w:left="347"/>
              <w:jc w:val="both"/>
              <w:rPr>
                <w:rFonts w:eastAsia="Calibri"/>
              </w:rPr>
            </w:pPr>
            <w:r w:rsidRPr="00E3048F">
              <w:t xml:space="preserve">Produkty zostały zaprezentowane na wystawie podczas targów Międzynarodowych Targów Technologii i Produktów dla Zrównoważonego Rozwoju i Usług Komunalnych POL-ECO-SYSTEM w </w:t>
            </w:r>
            <w:r w:rsidRPr="00FF656F">
              <w:t xml:space="preserve">Poznaniu, którą odwiedziło ponad 10 000 odwiedzających. </w:t>
            </w:r>
          </w:p>
          <w:p w14:paraId="17CA2B2C" w14:textId="77777777" w:rsidR="00FF656F" w:rsidRPr="00E3048F" w:rsidRDefault="00FF656F" w:rsidP="00750C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/>
              <w:jc w:val="both"/>
              <w:rPr>
                <w:rFonts w:eastAsia="Calibri"/>
                <w:bCs/>
              </w:rPr>
            </w:pPr>
            <w:r w:rsidRPr="00FF656F">
              <w:rPr>
                <w:rFonts w:eastAsia="Calibri"/>
                <w:bCs/>
              </w:rPr>
              <w:t xml:space="preserve">Konkurs </w:t>
            </w:r>
            <w:r w:rsidRPr="00FF656F">
              <w:rPr>
                <w:bCs/>
              </w:rPr>
              <w:t xml:space="preserve">PROJEKT: PRZESTRZEŃ </w:t>
            </w:r>
            <w:r w:rsidRPr="00FF656F">
              <w:rPr>
                <w:rFonts w:eastAsia="Calibri"/>
                <w:bCs/>
              </w:rPr>
              <w:t xml:space="preserve">- </w:t>
            </w:r>
            <w:r w:rsidRPr="00FF656F">
              <w:t>ogólnopolski konkurs Ministra Środowiska promujący w 2015 r</w:t>
            </w:r>
            <w:r w:rsidRPr="00E3048F">
              <w:t>. inwestycje przyjazne człowiekowi i środowisku</w:t>
            </w:r>
            <w:r w:rsidRPr="00E3048F">
              <w:rPr>
                <w:rFonts w:eastAsia="Calibri"/>
                <w:bCs/>
              </w:rPr>
              <w:t>, realizowany we współpracy z firmą EY.</w:t>
            </w:r>
          </w:p>
          <w:p w14:paraId="41E6E3A5" w14:textId="77777777" w:rsidR="00FF656F" w:rsidRPr="00E3048F" w:rsidRDefault="00FF656F" w:rsidP="00750CC2">
            <w:pPr>
              <w:autoSpaceDE w:val="0"/>
              <w:autoSpaceDN w:val="0"/>
              <w:adjustRightInd w:val="0"/>
              <w:ind w:left="357"/>
              <w:jc w:val="both"/>
              <w:rPr>
                <w:rFonts w:eastAsia="Calibri"/>
                <w:bCs/>
              </w:rPr>
            </w:pPr>
            <w:r w:rsidRPr="00E3048F">
              <w:t xml:space="preserve">Celem konkursu była promocja inwestorów, których inwestycje oprócz zysku gospodarczego przynoszą korzyści dla środowiska i społeczeństwa. Zaakcentowane zostało, że zagospodarowanie przestrzeni wokół budynku, zgodnie z zasadami zrównoważonego rozwoju, podnosi komfort życia, poprawia estetykę najbliższego otoczenia i tworzy przestrzeń dla przyrody w mieście. </w:t>
            </w:r>
          </w:p>
          <w:p w14:paraId="51B7FCAD" w14:textId="0BB03C6C" w:rsidR="00FF656F" w:rsidRPr="00E3048F" w:rsidRDefault="00FF656F" w:rsidP="00750CC2">
            <w:pPr>
              <w:autoSpaceDE w:val="0"/>
              <w:autoSpaceDN w:val="0"/>
              <w:adjustRightInd w:val="0"/>
              <w:ind w:left="357"/>
              <w:jc w:val="both"/>
            </w:pPr>
            <w:r w:rsidRPr="00E3048F">
              <w:rPr>
                <w:rFonts w:eastAsia="Calibri"/>
                <w:bCs/>
              </w:rPr>
              <w:t xml:space="preserve">Konkurs </w:t>
            </w:r>
            <w:r w:rsidRPr="00E3048F">
              <w:rPr>
                <w:bCs/>
              </w:rPr>
              <w:t xml:space="preserve">skierowany był do inwestorów i deweloperów, </w:t>
            </w:r>
            <w:r w:rsidRPr="00E3048F">
              <w:rPr>
                <w:bCs/>
              </w:rPr>
              <w:lastRenderedPageBreak/>
              <w:t xml:space="preserve">których inwestycje wpisują się w nurt ekologicznego projektowania, w tym obejmują </w:t>
            </w:r>
            <w:r w:rsidRPr="00E3048F">
              <w:t xml:space="preserve">zarówno przedsięwzięcia realizowane w duchu recyklingu i </w:t>
            </w:r>
            <w:proofErr w:type="spellStart"/>
            <w:r w:rsidRPr="00E3048F">
              <w:t>upcyklingu</w:t>
            </w:r>
            <w:proofErr w:type="spellEnd"/>
            <w:r w:rsidRPr="00E3048F">
              <w:rPr>
                <w:b/>
                <w:bCs/>
              </w:rPr>
              <w:t xml:space="preserve">, </w:t>
            </w:r>
            <w:r w:rsidRPr="00E3048F">
              <w:t>budynki energooszczędne i pasywne, jak również projektowanie przestrzeni przyjaznych dla ludzi i środowiska.</w:t>
            </w:r>
          </w:p>
          <w:p w14:paraId="1A654CB2" w14:textId="77777777" w:rsidR="00FF656F" w:rsidRPr="00750CC2" w:rsidRDefault="00FF656F" w:rsidP="00750CC2">
            <w:pPr>
              <w:autoSpaceDE w:val="0"/>
              <w:autoSpaceDN w:val="0"/>
              <w:adjustRightInd w:val="0"/>
              <w:ind w:left="357"/>
              <w:jc w:val="both"/>
              <w:rPr>
                <w:rFonts w:eastAsia="Calibri"/>
                <w:bCs/>
              </w:rPr>
            </w:pPr>
            <w:r w:rsidRPr="00750CC2">
              <w:rPr>
                <w:rFonts w:eastAsia="Calibri"/>
                <w:bCs/>
              </w:rPr>
              <w:t xml:space="preserve">W ramach przedsięwzięcia dokonano oceny nadesłanych 28 zgłoszeń. Przyznano nagrody w dwóch kategoriach: </w:t>
            </w:r>
            <w:r w:rsidRPr="00750CC2">
              <w:rPr>
                <w:rFonts w:eastAsia="Calibri"/>
                <w:bCs/>
                <w:i/>
              </w:rPr>
              <w:t>inwestycje komercyjne</w:t>
            </w:r>
            <w:r w:rsidRPr="00750CC2">
              <w:rPr>
                <w:rFonts w:eastAsia="Calibri"/>
                <w:bCs/>
              </w:rPr>
              <w:t xml:space="preserve"> oraz </w:t>
            </w:r>
            <w:r w:rsidRPr="00750CC2">
              <w:rPr>
                <w:rFonts w:eastAsia="Calibri"/>
                <w:bCs/>
                <w:i/>
              </w:rPr>
              <w:t>inwestycje mieszkaniowe</w:t>
            </w:r>
            <w:r w:rsidRPr="00750CC2">
              <w:rPr>
                <w:rFonts w:eastAsia="Calibri"/>
                <w:bCs/>
              </w:rPr>
              <w:t>.</w:t>
            </w:r>
          </w:p>
          <w:p w14:paraId="3B3C05F5" w14:textId="77777777" w:rsidR="00FF656F" w:rsidRPr="00750CC2" w:rsidRDefault="00FF656F" w:rsidP="00750C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Calibri"/>
                <w:bCs/>
              </w:rPr>
            </w:pPr>
            <w:r w:rsidRPr="00750CC2">
              <w:rPr>
                <w:rFonts w:eastAsia="Calibri"/>
                <w:bCs/>
              </w:rPr>
              <w:t>Ogólnopolski Konkurs „</w:t>
            </w:r>
            <w:proofErr w:type="spellStart"/>
            <w:r w:rsidRPr="00750CC2">
              <w:rPr>
                <w:rFonts w:eastAsia="Calibri"/>
                <w:bCs/>
              </w:rPr>
              <w:t>EkoOzdoba</w:t>
            </w:r>
            <w:proofErr w:type="spellEnd"/>
            <w:r w:rsidRPr="00750CC2">
              <w:rPr>
                <w:rFonts w:eastAsia="Calibri"/>
                <w:bCs/>
              </w:rPr>
              <w:t xml:space="preserve">” </w:t>
            </w:r>
          </w:p>
          <w:p w14:paraId="08BD51D0" w14:textId="77777777" w:rsidR="00FF656F" w:rsidRPr="00750CC2" w:rsidRDefault="00FF656F" w:rsidP="00750CC2">
            <w:pPr>
              <w:ind w:left="357"/>
              <w:jc w:val="both"/>
              <w:rPr>
                <w:rFonts w:eastAsia="Calibri"/>
                <w:bCs/>
              </w:rPr>
            </w:pPr>
            <w:r w:rsidRPr="00750CC2">
              <w:rPr>
                <w:rFonts w:eastAsia="Calibri"/>
                <w:bCs/>
              </w:rPr>
              <w:t>Celem konkursu było podniesienie świadomości dzieci, młodzieży oraz dorosłych, w jaki sposób ekologicznie obchodzić święta Bożego Narodzenia.</w:t>
            </w:r>
          </w:p>
          <w:p w14:paraId="61F848D1" w14:textId="77777777" w:rsidR="00FF656F" w:rsidRPr="00750CC2" w:rsidRDefault="00FF656F" w:rsidP="00750CC2">
            <w:pPr>
              <w:ind w:left="357"/>
              <w:jc w:val="both"/>
              <w:rPr>
                <w:rFonts w:eastAsia="Calibri"/>
              </w:rPr>
            </w:pPr>
            <w:r w:rsidRPr="00750CC2">
              <w:rPr>
                <w:rFonts w:eastAsia="Calibri"/>
                <w:bCs/>
              </w:rPr>
              <w:t xml:space="preserve">Przedmiotem konkursu było inspirowanie do stworzenia ekologicznych ozdób choinkowych z materiałów recyklingowych lub naturalnych, a także </w:t>
            </w:r>
            <w:r w:rsidRPr="00750CC2">
              <w:rPr>
                <w:rFonts w:eastAsia="Calibri"/>
              </w:rPr>
              <w:t>promowanie wysyłania kart świątecznych w formie elektronicznej (grafika, animacja).</w:t>
            </w:r>
          </w:p>
          <w:p w14:paraId="0D0E52DE" w14:textId="77777777" w:rsidR="00FF656F" w:rsidRPr="00750CC2" w:rsidRDefault="00FF656F" w:rsidP="00750CC2">
            <w:pPr>
              <w:autoSpaceDE w:val="0"/>
              <w:autoSpaceDN w:val="0"/>
              <w:adjustRightInd w:val="0"/>
              <w:ind w:left="357"/>
              <w:jc w:val="both"/>
              <w:rPr>
                <w:rFonts w:eastAsia="Calibri"/>
              </w:rPr>
            </w:pPr>
            <w:r w:rsidRPr="00750CC2">
              <w:rPr>
                <w:rFonts w:eastAsia="Calibri"/>
              </w:rPr>
              <w:t>Konkurs był szeroko promowany z wykorzystaniem internetowych portali o tematyce ekologicznej, kulturalnej oraz skierowanych do dzieci i młodzieży. Prowadzono również informacyjne za pośrednictwem partnerów medialnych i ambasadorki projektu</w:t>
            </w:r>
            <w:r w:rsidRPr="00E3048F">
              <w:rPr>
                <w:rFonts w:eastAsia="Calibri"/>
              </w:rPr>
              <w:t xml:space="preserve">. W ramach </w:t>
            </w:r>
            <w:r w:rsidRPr="00750CC2">
              <w:rPr>
                <w:rFonts w:eastAsia="Calibri"/>
              </w:rPr>
              <w:t>konkursu napłynęło ponad 1200 prac.</w:t>
            </w:r>
          </w:p>
          <w:p w14:paraId="1FDE24A6" w14:textId="2AD4BA76" w:rsidR="00FF656F" w:rsidRPr="00881798" w:rsidRDefault="00FF656F" w:rsidP="00750CC2">
            <w:pPr>
              <w:ind w:left="357"/>
              <w:jc w:val="both"/>
              <w:rPr>
                <w:rFonts w:eastAsia="Calibri"/>
              </w:rPr>
            </w:pPr>
            <w:r w:rsidRPr="00E3048F">
              <w:rPr>
                <w:rFonts w:eastAsia="Calibri"/>
              </w:rPr>
              <w:t>Podsumowaniem konkursu było - zorganizowane pod hasłem „</w:t>
            </w:r>
            <w:proofErr w:type="spellStart"/>
            <w:r w:rsidRPr="00E3048F">
              <w:rPr>
                <w:rFonts w:eastAsia="Calibri"/>
              </w:rPr>
              <w:t>EkoŚwięta</w:t>
            </w:r>
            <w:proofErr w:type="spellEnd"/>
            <w:r w:rsidRPr="00E3048F">
              <w:rPr>
                <w:rFonts w:eastAsia="Calibri"/>
              </w:rPr>
              <w:t>” - wydarzenie w centrum Handlowym Blue City w Warszawie (5-6 grudnia 2015r.). Podczas tego wydarzenia odbyły się warsztaty dla dzieci, których przedmiotem było wykonanie ekologicznych materiałów kartki i ozdób świątecznych oraz nauka pakowania prezentów w ekologiczny sposób.</w:t>
            </w:r>
            <w:r w:rsidR="00F3258D">
              <w:rPr>
                <w:rFonts w:eastAsia="Calibri"/>
              </w:rPr>
              <w:t xml:space="preserve"> </w:t>
            </w:r>
          </w:p>
        </w:tc>
      </w:tr>
      <w:tr w:rsidR="00FF656F" w:rsidRPr="00993218" w14:paraId="0C4FACCF" w14:textId="77777777" w:rsidTr="00553DF5">
        <w:tc>
          <w:tcPr>
            <w:tcW w:w="539" w:type="dxa"/>
          </w:tcPr>
          <w:p w14:paraId="70591607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24AF0A73" w14:textId="77777777" w:rsidR="00FF656F" w:rsidRPr="002978A0" w:rsidRDefault="00FF656F" w:rsidP="00FF656F">
            <w:pPr>
              <w:jc w:val="both"/>
              <w:rPr>
                <w:iCs/>
              </w:rPr>
            </w:pPr>
            <w:r>
              <w:rPr>
                <w:iCs/>
              </w:rPr>
              <w:t xml:space="preserve">Inicjowanie i promowanie poprzez samorządy regionalne inicjatyw, </w:t>
            </w:r>
            <w:r>
              <w:rPr>
                <w:iCs/>
              </w:rPr>
              <w:lastRenderedPageBreak/>
              <w:t>konkursów dla „małoodpadowych” gmin, miast, w stałych cyklicznych programach wieloletnich</w:t>
            </w:r>
          </w:p>
        </w:tc>
        <w:tc>
          <w:tcPr>
            <w:tcW w:w="1985" w:type="dxa"/>
          </w:tcPr>
          <w:p w14:paraId="6A3093A6" w14:textId="77777777" w:rsidR="00FF656F" w:rsidRPr="002978A0" w:rsidRDefault="00FF656F" w:rsidP="00FF656F">
            <w:r w:rsidRPr="00D109E8">
              <w:lastRenderedPageBreak/>
              <w:t>Minister Środowiska</w:t>
            </w:r>
            <w:r>
              <w:t xml:space="preserve">/ urzędy </w:t>
            </w:r>
            <w:r>
              <w:lastRenderedPageBreak/>
              <w:t>marszałkowskie</w:t>
            </w:r>
          </w:p>
        </w:tc>
        <w:tc>
          <w:tcPr>
            <w:tcW w:w="1676" w:type="dxa"/>
          </w:tcPr>
          <w:p w14:paraId="649D3825" w14:textId="77777777" w:rsidR="00FF656F" w:rsidRPr="002978A0" w:rsidRDefault="00FF656F" w:rsidP="00FF656F">
            <w:r w:rsidRPr="00D109E8">
              <w:lastRenderedPageBreak/>
              <w:t>2015-2020</w:t>
            </w:r>
          </w:p>
        </w:tc>
        <w:tc>
          <w:tcPr>
            <w:tcW w:w="1559" w:type="dxa"/>
          </w:tcPr>
          <w:p w14:paraId="7E7FD268" w14:textId="77777777" w:rsidR="00FF656F" w:rsidRDefault="00FF656F" w:rsidP="00FF656F">
            <w:r w:rsidRPr="00D109E8">
              <w:t xml:space="preserve">Tab. 3 poz. </w:t>
            </w:r>
            <w:r>
              <w:t>9</w:t>
            </w:r>
          </w:p>
          <w:p w14:paraId="08B7E05D" w14:textId="77777777" w:rsidR="00FF656F" w:rsidRPr="002978A0" w:rsidRDefault="00FF656F" w:rsidP="00FF656F">
            <w:r w:rsidRPr="00D109E8">
              <w:t xml:space="preserve"> w </w:t>
            </w:r>
            <w:proofErr w:type="spellStart"/>
            <w:r w:rsidRPr="00D109E8">
              <w:t>Kpzpo</w:t>
            </w:r>
            <w:proofErr w:type="spellEnd"/>
          </w:p>
        </w:tc>
        <w:tc>
          <w:tcPr>
            <w:tcW w:w="5670" w:type="dxa"/>
          </w:tcPr>
          <w:p w14:paraId="1126F793" w14:textId="77777777" w:rsidR="00FF656F" w:rsidRPr="00750CC2" w:rsidRDefault="00FF656F" w:rsidP="00750CC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750CC2">
              <w:rPr>
                <w:rFonts w:eastAsia="Calibri"/>
                <w:bCs/>
              </w:rPr>
              <w:t xml:space="preserve">W 2015 r. przeprowadzono III edycję projektu pn. </w:t>
            </w:r>
            <w:r w:rsidRPr="00750CC2">
              <w:rPr>
                <w:rFonts w:eastAsia="Calibri"/>
                <w:bCs/>
                <w:i/>
              </w:rPr>
              <w:t>Zielone miasta - w stronę przyszłości</w:t>
            </w:r>
            <w:r w:rsidRPr="00750CC2">
              <w:rPr>
                <w:rFonts w:eastAsia="Calibri"/>
                <w:bCs/>
              </w:rPr>
              <w:t>.</w:t>
            </w:r>
          </w:p>
          <w:p w14:paraId="1EF48730" w14:textId="77777777" w:rsidR="00FF656F" w:rsidRPr="00750CC2" w:rsidRDefault="00FF656F" w:rsidP="00750CC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750CC2">
              <w:rPr>
                <w:rFonts w:eastAsia="Calibri"/>
                <w:bCs/>
              </w:rPr>
              <w:lastRenderedPageBreak/>
              <w:t xml:space="preserve">Projekt stanowił kontynuację konkursu z 2013 r. i 2014 r. promującego wśród samorządów lokalnych działania z zakresu zrównoważonego rozwoju miast. </w:t>
            </w:r>
          </w:p>
          <w:p w14:paraId="25F30C8A" w14:textId="77777777" w:rsidR="00FF656F" w:rsidRPr="00750CC2" w:rsidRDefault="00FF656F" w:rsidP="00750CC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750CC2">
              <w:rPr>
                <w:rFonts w:eastAsia="Calibri"/>
                <w:bCs/>
              </w:rPr>
              <w:t xml:space="preserve">W ramach projektu został przeprowadzony konkurs </w:t>
            </w:r>
            <w:r w:rsidRPr="00750CC2">
              <w:t>skierowany do miast, które prowadzą działania na rzecz ochrony środowiska i mogą pochwalić się nowatorskimi rozwiązaniami w dziedzinie zrównoważonego rozwoju,</w:t>
            </w:r>
            <w:r w:rsidRPr="00750CC2">
              <w:rPr>
                <w:rFonts w:eastAsia="Calibri"/>
                <w:bCs/>
              </w:rPr>
              <w:t xml:space="preserve"> w tym dobrymi praktykami w zakresie tworzenia systemów zapobiegania i powstawania odpadów i ich ponownego wykorzystywania (kategoria: </w:t>
            </w:r>
            <w:r w:rsidRPr="00750CC2">
              <w:rPr>
                <w:rFonts w:eastAsia="Calibri"/>
                <w:bCs/>
                <w:i/>
              </w:rPr>
              <w:t>oszczędzanie zasobów</w:t>
            </w:r>
            <w:r w:rsidRPr="00750CC2">
              <w:rPr>
                <w:rFonts w:eastAsia="Calibri"/>
                <w:bCs/>
              </w:rPr>
              <w:t xml:space="preserve">). </w:t>
            </w:r>
          </w:p>
          <w:p w14:paraId="7834C446" w14:textId="77777777" w:rsidR="00FF656F" w:rsidRPr="00750CC2" w:rsidRDefault="00FF656F" w:rsidP="00750CC2">
            <w:pPr>
              <w:jc w:val="both"/>
              <w:rPr>
                <w:rFonts w:eastAsia="Calibri"/>
                <w:lang w:eastAsia="ja-JP"/>
              </w:rPr>
            </w:pPr>
            <w:r w:rsidRPr="00750CC2">
              <w:rPr>
                <w:rFonts w:eastAsia="Calibri"/>
              </w:rPr>
              <w:t>Cel konkursu:</w:t>
            </w:r>
          </w:p>
          <w:p w14:paraId="1B5AAFD6" w14:textId="77777777" w:rsidR="00FF656F" w:rsidRPr="00750CC2" w:rsidRDefault="00FF656F" w:rsidP="00750CC2">
            <w:pPr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ind w:left="317" w:hanging="284"/>
              <w:jc w:val="both"/>
            </w:pPr>
            <w:r w:rsidRPr="00750CC2">
              <w:t>Upowszechnianie nowoczesnych i efektywnych rozwiązań miejskich w ochronie środowiska;</w:t>
            </w:r>
          </w:p>
          <w:p w14:paraId="011868B5" w14:textId="77777777" w:rsidR="00FF656F" w:rsidRPr="00750CC2" w:rsidRDefault="00FF656F" w:rsidP="00750CC2">
            <w:pPr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ind w:left="317" w:hanging="284"/>
              <w:jc w:val="both"/>
            </w:pPr>
            <w:r w:rsidRPr="00750CC2">
              <w:t>Propagowanie działań zmierzających do zrównoważonego rozwoju miast;</w:t>
            </w:r>
          </w:p>
          <w:p w14:paraId="20759191" w14:textId="67AB192B" w:rsidR="00FF656F" w:rsidRPr="00750CC2" w:rsidRDefault="00FF656F" w:rsidP="00750CC2">
            <w:pPr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ind w:left="317" w:hanging="284"/>
              <w:jc w:val="both"/>
            </w:pPr>
            <w:r w:rsidRPr="00750CC2">
              <w:t>Promocja innowacyjności, oryginalności, nowoczesności i wysokiej jakości usług w działaniach na rzecz środowiska.</w:t>
            </w:r>
          </w:p>
          <w:p w14:paraId="595E28CA" w14:textId="77777777" w:rsidR="00FF656F" w:rsidRPr="00C06C4C" w:rsidRDefault="00FF656F" w:rsidP="00FF656F">
            <w:r w:rsidRPr="00750CC2">
              <w:t>W ramach tej edycji zgłosiło się 248 miast.</w:t>
            </w:r>
          </w:p>
        </w:tc>
      </w:tr>
      <w:tr w:rsidR="00FF656F" w14:paraId="27B1CD24" w14:textId="77777777" w:rsidTr="00553DF5">
        <w:tc>
          <w:tcPr>
            <w:tcW w:w="539" w:type="dxa"/>
          </w:tcPr>
          <w:p w14:paraId="67A52DB4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46D74E8C" w14:textId="77777777" w:rsidR="00FF656F" w:rsidRDefault="00FF656F" w:rsidP="00FF656F">
            <w:pPr>
              <w:jc w:val="both"/>
            </w:pPr>
            <w:r>
              <w:t>Stworzenie sieci współpracujących instytucji na rzecz ZPO, w tym m.in. odpadów żywności.</w:t>
            </w:r>
          </w:p>
        </w:tc>
        <w:tc>
          <w:tcPr>
            <w:tcW w:w="1985" w:type="dxa"/>
          </w:tcPr>
          <w:p w14:paraId="4CED29E0" w14:textId="77777777" w:rsidR="00FF656F" w:rsidRDefault="00FF656F" w:rsidP="00FF656F">
            <w:r w:rsidRPr="006D2EF6">
              <w:t xml:space="preserve">Federacja Polskich Banków Żywności lub inna organizacja, we współpracy </w:t>
            </w:r>
            <w:r w:rsidRPr="006D2EF6">
              <w:br/>
              <w:t xml:space="preserve">z organizacjami handlu detalicznego, gastronomii, organizacji konsumenckich, organizacji pomocy społecznej; współpraca z organizacjami partnerskimi z innych krajów </w:t>
            </w:r>
            <w:r w:rsidRPr="006D2EF6">
              <w:lastRenderedPageBreak/>
              <w:t>członkowskich UE</w:t>
            </w:r>
          </w:p>
        </w:tc>
        <w:tc>
          <w:tcPr>
            <w:tcW w:w="1676" w:type="dxa"/>
          </w:tcPr>
          <w:p w14:paraId="416C481F" w14:textId="77777777" w:rsidR="00FF656F" w:rsidRDefault="00FF656F" w:rsidP="00FF656F">
            <w:r w:rsidRPr="006867B1">
              <w:lastRenderedPageBreak/>
              <w:t>201</w:t>
            </w:r>
            <w:r>
              <w:t>5</w:t>
            </w:r>
            <w:r w:rsidRPr="006867B1">
              <w:t>-2022 r.</w:t>
            </w:r>
          </w:p>
        </w:tc>
        <w:tc>
          <w:tcPr>
            <w:tcW w:w="1559" w:type="dxa"/>
          </w:tcPr>
          <w:p w14:paraId="7217AD9E" w14:textId="77777777" w:rsidR="00FF656F" w:rsidRPr="00594A58" w:rsidRDefault="00FF656F" w:rsidP="00FF656F">
            <w:r w:rsidRPr="00594A58">
              <w:t xml:space="preserve">Tab. </w:t>
            </w:r>
            <w:r>
              <w:t>3</w:t>
            </w:r>
            <w:r w:rsidRPr="00594A58">
              <w:t xml:space="preserve"> poz. </w:t>
            </w:r>
            <w:r>
              <w:t>11</w:t>
            </w:r>
          </w:p>
          <w:p w14:paraId="116C76DE" w14:textId="77777777" w:rsidR="00FF656F" w:rsidRPr="0014613B" w:rsidRDefault="00FF656F" w:rsidP="00FF656F">
            <w:r w:rsidRPr="00594A58">
              <w:t xml:space="preserve">w </w:t>
            </w:r>
            <w:proofErr w:type="spellStart"/>
            <w:r>
              <w:t>Kpzpo</w:t>
            </w:r>
            <w:proofErr w:type="spellEnd"/>
            <w:r w:rsidRPr="00594A58">
              <w:t xml:space="preserve"> </w:t>
            </w:r>
          </w:p>
        </w:tc>
        <w:tc>
          <w:tcPr>
            <w:tcW w:w="5670" w:type="dxa"/>
          </w:tcPr>
          <w:p w14:paraId="0918EEDB" w14:textId="77777777" w:rsidR="00FF656F" w:rsidRPr="002D5539" w:rsidRDefault="00FF656F" w:rsidP="00750CC2">
            <w:pPr>
              <w:jc w:val="both"/>
            </w:pPr>
            <w:r w:rsidRPr="002D5539">
              <w:t xml:space="preserve">Banki Żywności (32) zrzeszone w Federacji Polskich Banków Żywności przekazują żywność 1,8 mln osób potrzebujących za pośrednictwem 3500 partnerskich organizacji lokalnych. Jest to żywność z różnych źródeł: od producentów żywności w tym rolników, przetwórców, dystrybutorów w tym ze sklepów i hurtowni oraz gastronomii. </w:t>
            </w:r>
          </w:p>
          <w:p w14:paraId="1C8FF09F" w14:textId="77777777" w:rsidR="00FF656F" w:rsidRPr="002D5539" w:rsidRDefault="00FF656F" w:rsidP="00750CC2">
            <w:pPr>
              <w:jc w:val="both"/>
            </w:pPr>
            <w:r w:rsidRPr="002D5539">
              <w:t xml:space="preserve">Wsparcie żywnościowe dla osób potrzebujących udzielane jest za pośrednictwem lokalnych organizacji pozarządowych, odbierających żywność z Banków Żywności. Żywność jest bezpłatnie rozdawana wg kryteriów i potrzeb przyjętych i ustalanych przez lokalne organizacje, które najlepiej znają indywidualne potrzeby i sytuację swoich podopiecznych. Przekazywana żywność stanowi szeroki zakres asortymentowy od pieczywa, świeżych owoców i warzyw, słodyczy, poprzez dania gotowe, przyprawy, żywności dla dzieci, nabiał do napojów </w:t>
            </w:r>
            <w:r w:rsidRPr="002D5539">
              <w:lastRenderedPageBreak/>
              <w:t xml:space="preserve">włącznie. </w:t>
            </w:r>
          </w:p>
          <w:p w14:paraId="590ECBEB" w14:textId="6D46B748" w:rsidR="00FF656F" w:rsidRPr="003940BB" w:rsidRDefault="00FF656F" w:rsidP="00750CC2">
            <w:pPr>
              <w:jc w:val="both"/>
            </w:pPr>
            <w:r w:rsidRPr="00A84744">
              <w:t xml:space="preserve">Producenci żywności zrzeszeni </w:t>
            </w:r>
            <w:r>
              <w:t>w Polskiej Federacji Producentów Żywności Związku Pracodawców</w:t>
            </w:r>
            <w:r w:rsidRPr="00A84744">
              <w:t xml:space="preserve"> ograniczali marnotrawienie żywności poprzez przekazywanie pełnowartościowych towarów ze skróconym terminem przydatności do spożycia (uniemożliwiającym skierowanie ich do sprzedaży detalicznej),</w:t>
            </w:r>
            <w:r w:rsidR="00F3258D">
              <w:t xml:space="preserve"> </w:t>
            </w:r>
            <w:r w:rsidRPr="00A84744">
              <w:t>różnym organizacjom, m.in. Caritas, Bankom Żywności, Fundacjom, PCK. Dla przykładu</w:t>
            </w:r>
            <w:r>
              <w:t>,</w:t>
            </w:r>
            <w:r w:rsidRPr="00A84744">
              <w:t xml:space="preserve"> </w:t>
            </w:r>
            <w:r w:rsidRPr="0095670E">
              <w:t>wg informacji przekazanych przez w Polsk</w:t>
            </w:r>
            <w:r>
              <w:t>ą Federację</w:t>
            </w:r>
            <w:r w:rsidRPr="0095670E">
              <w:t xml:space="preserve"> Producentów </w:t>
            </w:r>
            <w:r w:rsidRPr="00750CC2">
              <w:t>Żywności, firma Cereal Partners Poland Toruń Pacific należąca do grupy Nestle w latach 2014 – 2016 przekazała ok. 60 ton takich produktów.</w:t>
            </w:r>
          </w:p>
        </w:tc>
      </w:tr>
      <w:tr w:rsidR="00FF656F" w:rsidRPr="00CC20C7" w14:paraId="09A4E942" w14:textId="77777777" w:rsidTr="00553DF5">
        <w:tc>
          <w:tcPr>
            <w:tcW w:w="539" w:type="dxa"/>
          </w:tcPr>
          <w:p w14:paraId="6B179E97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042BEFC2" w14:textId="77777777" w:rsidR="00FF656F" w:rsidRPr="00CC20C7" w:rsidRDefault="00FF656F" w:rsidP="00750CC2">
            <w:r w:rsidRPr="00CC20C7">
              <w:t xml:space="preserve">Opracowanie analizy na rzecz ZPO dotyczącej możliwości racjonalnego wykorzystania żywności, z uwzględnieniem handlu, gastronomii, organizacji i osób potrzebujących, w celu wdrożenia działań ograniczających marnotrawienie żywności, w tym dotyczących stworzenia niezbędnej infrastruktury. </w:t>
            </w:r>
          </w:p>
        </w:tc>
        <w:tc>
          <w:tcPr>
            <w:tcW w:w="1985" w:type="dxa"/>
          </w:tcPr>
          <w:p w14:paraId="2499A458" w14:textId="77777777" w:rsidR="00FF656F" w:rsidRPr="00CC20C7" w:rsidRDefault="00FF656F" w:rsidP="00FF656F">
            <w:pPr>
              <w:spacing w:after="120"/>
            </w:pPr>
            <w:r w:rsidRPr="00CC20C7">
              <w:t xml:space="preserve">Federacja Polskich Banków Żywności lub inna organizacja, we współpracy </w:t>
            </w:r>
            <w:r w:rsidRPr="00CC20C7">
              <w:br/>
              <w:t>z organizacjami handlu detalicznego, gastronomii, organizacji konsumenckich, organizacji pomocy społecznej; współpraca z organizacjami partnerskimi z innych krajów członkowskich UE</w:t>
            </w:r>
          </w:p>
        </w:tc>
        <w:tc>
          <w:tcPr>
            <w:tcW w:w="1676" w:type="dxa"/>
          </w:tcPr>
          <w:p w14:paraId="354286A8" w14:textId="77777777" w:rsidR="00FF656F" w:rsidRPr="00CC20C7" w:rsidRDefault="00FF656F" w:rsidP="00FF656F">
            <w:pPr>
              <w:spacing w:after="120"/>
            </w:pPr>
            <w:r w:rsidRPr="00CC20C7">
              <w:t>2016-2022 r.</w:t>
            </w:r>
          </w:p>
        </w:tc>
        <w:tc>
          <w:tcPr>
            <w:tcW w:w="1559" w:type="dxa"/>
          </w:tcPr>
          <w:p w14:paraId="5434A7D5" w14:textId="77777777" w:rsidR="00FF656F" w:rsidRPr="00483E45" w:rsidRDefault="00FF656F" w:rsidP="00FF656F">
            <w:r w:rsidRPr="00483E45">
              <w:t>Tab. 44 poz.20</w:t>
            </w:r>
          </w:p>
          <w:p w14:paraId="03177731" w14:textId="77777777" w:rsidR="00FF656F" w:rsidRPr="00CC20C7" w:rsidRDefault="00FF656F" w:rsidP="00FF656F">
            <w:pPr>
              <w:spacing w:after="120"/>
            </w:pPr>
            <w:r w:rsidRPr="00483E45">
              <w:t>w Kpgo 2022</w:t>
            </w:r>
          </w:p>
        </w:tc>
        <w:tc>
          <w:tcPr>
            <w:tcW w:w="5670" w:type="dxa"/>
          </w:tcPr>
          <w:p w14:paraId="364439FD" w14:textId="77777777" w:rsidR="00FF656F" w:rsidRDefault="00FF656F" w:rsidP="00750CC2">
            <w:pPr>
              <w:jc w:val="both"/>
            </w:pPr>
            <w:r w:rsidRPr="00796566">
              <w:t>Federacja Polskich Banków Żywności</w:t>
            </w:r>
            <w:r>
              <w:t xml:space="preserve"> realizowała działania dotyczące </w:t>
            </w:r>
            <w:r w:rsidRPr="00796566">
              <w:t>racjonalnego wykorzystania żywnośc</w:t>
            </w:r>
            <w:r>
              <w:t>i.</w:t>
            </w:r>
          </w:p>
          <w:p w14:paraId="727178AD" w14:textId="05BA87D4" w:rsidR="00FF656F" w:rsidRPr="00C416DE" w:rsidRDefault="00FF656F" w:rsidP="00750CC2">
            <w:pPr>
              <w:jc w:val="both"/>
            </w:pPr>
            <w:r w:rsidRPr="00C416DE">
              <w:t>Federacja Polskich Banków Żywności w latach 2014-2016 podejmowała szereg aktywności na rzecz ograniczania marnotrawstwa żywności takich jak: redystrybucja żywności, edukacja na rzecz racjonalnego wykorzystania</w:t>
            </w:r>
            <w:r w:rsidR="00F3258D">
              <w:t xml:space="preserve"> </w:t>
            </w:r>
            <w:r w:rsidRPr="00C416DE">
              <w:t>żywności, budowanie standardów współpracy oraz sieci współpracy, a także poprzez współpracę międzynarodową.</w:t>
            </w:r>
          </w:p>
          <w:p w14:paraId="062F668F" w14:textId="77777777" w:rsidR="00FF656F" w:rsidRPr="00C416DE" w:rsidRDefault="00FF656F" w:rsidP="00750CC2">
            <w:pPr>
              <w:jc w:val="both"/>
            </w:pPr>
            <w:r w:rsidRPr="00C416DE">
              <w:t xml:space="preserve">W latach 2014-2016 Banki Żywności w Polsce redystrybuowały łącznie </w:t>
            </w:r>
            <w:r w:rsidRPr="00750CC2">
              <w:t>ponad 205 tysięcy ton produktów</w:t>
            </w:r>
            <w:r w:rsidRPr="00C416DE">
              <w:t xml:space="preserve"> w terminie przydatności do spożycia, które inaczej stanowiłyby odpad. Była to żywność od producentów, dystrybutorów żywności, gastronomii i innych podmiotów.</w:t>
            </w:r>
          </w:p>
          <w:p w14:paraId="637E2A07" w14:textId="04C2CD18" w:rsidR="00FF656F" w:rsidRPr="00C416DE" w:rsidRDefault="00FF656F" w:rsidP="00750CC2">
            <w:pPr>
              <w:jc w:val="both"/>
            </w:pPr>
            <w:r w:rsidRPr="00C416DE">
              <w:t>Federacja Polskich Banków Żywności kontynuowała prace Rady ds. Zrównoważonego Wykorzystania Żywności poprzez organizację 12 spotkań tematycznych dla przedstawicieli administracji rządowej, świata nauki, biznesu i organizacji pozarządowych.</w:t>
            </w:r>
            <w:r w:rsidR="00F3258D">
              <w:t xml:space="preserve"> </w:t>
            </w:r>
          </w:p>
          <w:p w14:paraId="7A1F4394" w14:textId="5A4C5B16" w:rsidR="00FF656F" w:rsidRPr="00C416DE" w:rsidRDefault="00FF656F" w:rsidP="00750CC2">
            <w:pPr>
              <w:jc w:val="both"/>
            </w:pPr>
            <w:r w:rsidRPr="00C416DE">
              <w:t>Federacja realizował</w:t>
            </w:r>
            <w:r>
              <w:t>a również projekty</w:t>
            </w:r>
            <w:r w:rsidRPr="00C416DE">
              <w:t xml:space="preserve"> krajowe i międzynarodowe dotyczące standardów, edukacji i upowszechniania m.in. MOST – Model Ograniczania Strat i Marnotrawstwa Żywności z Korzyścią </w:t>
            </w:r>
            <w:r w:rsidRPr="00C416DE">
              <w:lastRenderedPageBreak/>
              <w:t xml:space="preserve">dla Społeczeństwa finansowany z </w:t>
            </w:r>
            <w:proofErr w:type="spellStart"/>
            <w:r w:rsidRPr="00C416DE">
              <w:t>NCBiR</w:t>
            </w:r>
            <w:proofErr w:type="spellEnd"/>
            <w:r w:rsidRPr="00C416DE">
              <w:t>, STREFOWA</w:t>
            </w:r>
            <w:r w:rsidR="00F3258D">
              <w:t xml:space="preserve"> </w:t>
            </w:r>
            <w:r w:rsidRPr="00C416DE">
              <w:t>“</w:t>
            </w:r>
            <w:proofErr w:type="spellStart"/>
            <w:r w:rsidRPr="00C416DE">
              <w:t>Strategies</w:t>
            </w:r>
            <w:proofErr w:type="spellEnd"/>
            <w:r w:rsidRPr="00C416DE">
              <w:t xml:space="preserve"> to </w:t>
            </w:r>
            <w:proofErr w:type="spellStart"/>
            <w:r w:rsidRPr="00C416DE">
              <w:t>Reduce</w:t>
            </w:r>
            <w:proofErr w:type="spellEnd"/>
            <w:r w:rsidRPr="00C416DE">
              <w:t xml:space="preserve"> and </w:t>
            </w:r>
            <w:proofErr w:type="spellStart"/>
            <w:r w:rsidRPr="00C416DE">
              <w:t>Manage</w:t>
            </w:r>
            <w:proofErr w:type="spellEnd"/>
            <w:r w:rsidRPr="00C416DE">
              <w:t xml:space="preserve"> Food Waste in Central Europe” finansowany z </w:t>
            </w:r>
            <w:proofErr w:type="spellStart"/>
            <w:r w:rsidRPr="00C416DE">
              <w:t>Interreg</w:t>
            </w:r>
            <w:proofErr w:type="spellEnd"/>
            <w:r w:rsidRPr="00C416DE">
              <w:t xml:space="preserve"> CE oraz EFFECT Europe </w:t>
            </w:r>
            <w:proofErr w:type="spellStart"/>
            <w:r w:rsidRPr="00C416DE">
              <w:t>Fights</w:t>
            </w:r>
            <w:proofErr w:type="spellEnd"/>
            <w:r w:rsidRPr="00C416DE">
              <w:t xml:space="preserve"> Food waste </w:t>
            </w:r>
            <w:proofErr w:type="spellStart"/>
            <w:r w:rsidRPr="00C416DE">
              <w:t>through</w:t>
            </w:r>
            <w:proofErr w:type="spellEnd"/>
            <w:r w:rsidRPr="00C416DE">
              <w:t xml:space="preserve"> </w:t>
            </w:r>
            <w:proofErr w:type="spellStart"/>
            <w:r w:rsidRPr="00C416DE">
              <w:t>Effective</w:t>
            </w:r>
            <w:proofErr w:type="spellEnd"/>
            <w:r w:rsidRPr="00C416DE">
              <w:t xml:space="preserve"> Consumer Training </w:t>
            </w:r>
            <w:proofErr w:type="spellStart"/>
            <w:r w:rsidRPr="00C416DE">
              <w:t>fianansowany</w:t>
            </w:r>
            <w:proofErr w:type="spellEnd"/>
            <w:r w:rsidRPr="00C416DE">
              <w:t xml:space="preserve"> przez Erasmus Plus.</w:t>
            </w:r>
          </w:p>
          <w:p w14:paraId="1C707A55" w14:textId="77777777" w:rsidR="00FF656F" w:rsidRDefault="00FF656F" w:rsidP="00750CC2">
            <w:pPr>
              <w:jc w:val="both"/>
            </w:pPr>
            <w:r w:rsidRPr="00C416DE">
              <w:t xml:space="preserve">Banki Żywności co roku organizują wydarzenia edukacyjne skierowane do dzieci i dorosłych realizowane na terenie szkoły oraz w przestrzeni publicznej z okazji Światowego Dnia Żywności. W latach 2014-2016 zrealizowano ponad 100 różnych wydarzeń w formie warsztatów, konferencji. </w:t>
            </w:r>
          </w:p>
          <w:p w14:paraId="2211C235" w14:textId="77777777" w:rsidR="00FF656F" w:rsidRPr="002B7FEA" w:rsidRDefault="00FF656F" w:rsidP="00750CC2">
            <w:pPr>
              <w:jc w:val="both"/>
              <w:rPr>
                <w:iCs/>
              </w:rPr>
            </w:pPr>
            <w:r w:rsidRPr="002B7FEA">
              <w:t xml:space="preserve">Polska Federacja Producentów Żywności Związek Pracodawców </w:t>
            </w:r>
            <w:r>
              <w:t>w</w:t>
            </w:r>
            <w:r w:rsidRPr="002B7FEA">
              <w:t xml:space="preserve"> ramach zapobiegania marnowaniu żywności w sektorze napojów, pod patronatem Głównego Inspektora Sanitarnego opracowała w 2015 r. wytyczne i przeprowadziła </w:t>
            </w:r>
            <w:r w:rsidRPr="002B7FEA">
              <w:rPr>
                <w:iCs/>
              </w:rPr>
              <w:t>kampanię edukacyjną pt. „ABC Dobrego Magazynowania”, skierowaną do sprzedawców hurtowych i detalicznych. Bliższe informacje udostępnione są na stronie:</w:t>
            </w:r>
          </w:p>
          <w:p w14:paraId="1E542EFE" w14:textId="77777777" w:rsidR="00FF656F" w:rsidRPr="002B7FEA" w:rsidRDefault="007D20D7" w:rsidP="00FF656F">
            <w:pPr>
              <w:jc w:val="both"/>
              <w:rPr>
                <w:iCs/>
              </w:rPr>
            </w:pPr>
            <w:hyperlink r:id="rId11" w:history="1">
              <w:r w:rsidR="00FF656F" w:rsidRPr="002B7FEA">
                <w:rPr>
                  <w:rStyle w:val="Hipercze"/>
                  <w:iCs/>
                </w:rPr>
                <w:t>https://www.pfpz.pl/nowosci/?id_news=5044&amp;lang_id=1</w:t>
              </w:r>
            </w:hyperlink>
          </w:p>
          <w:p w14:paraId="1E9B818B" w14:textId="77777777" w:rsidR="00FF656F" w:rsidRPr="002B7FEA" w:rsidRDefault="00FF656F" w:rsidP="00750CC2">
            <w:pPr>
              <w:jc w:val="both"/>
            </w:pPr>
            <w:r w:rsidRPr="002B7FEA">
              <w:t>Ostatnim elementem kampanii była organizacja spotkań informacyjnych z największymi w Polsce sieciami handlowymi oraz przekazanie im specjalnie przygotowanych materiałów edukacyjnych.</w:t>
            </w:r>
          </w:p>
          <w:p w14:paraId="4EC57EF9" w14:textId="77777777" w:rsidR="00FF656F" w:rsidRPr="00CC20C7" w:rsidRDefault="00FF656F" w:rsidP="00750CC2">
            <w:pPr>
              <w:jc w:val="both"/>
            </w:pPr>
            <w:r w:rsidRPr="002B7FEA">
              <w:t>Wiodącym w Polsce sieciom handlowym został udostępniony film instruktażowy prezentujący 10 zasad dobrego magazynowania oraz plakaty informacyjne w celu umieszczenia ich w magazynach sklepów należących do danych sieci. Przekazywaniu materiałów towarzyszyły briefingi, komunikujące cele i główne aspekty kampanii.</w:t>
            </w:r>
          </w:p>
        </w:tc>
      </w:tr>
      <w:tr w:rsidR="00FF656F" w:rsidRPr="00CC20C7" w14:paraId="2D94586F" w14:textId="77777777" w:rsidTr="00553DF5">
        <w:trPr>
          <w:trHeight w:val="228"/>
        </w:trPr>
        <w:tc>
          <w:tcPr>
            <w:tcW w:w="539" w:type="dxa"/>
          </w:tcPr>
          <w:p w14:paraId="16953171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749672D2" w14:textId="77777777" w:rsidR="00FF656F" w:rsidRPr="00CC20C7" w:rsidRDefault="00FF656F" w:rsidP="00750CC2">
            <w:pPr>
              <w:rPr>
                <w:b/>
                <w:bCs/>
              </w:rPr>
            </w:pPr>
            <w:r w:rsidRPr="00CC20C7">
              <w:t>Gromadzenie i udostępnianie materiałów edukacyjnych na temat ZPO oraz prawidłowego postępowania z odpadami dla szkół.</w:t>
            </w:r>
          </w:p>
        </w:tc>
        <w:tc>
          <w:tcPr>
            <w:tcW w:w="1985" w:type="dxa"/>
          </w:tcPr>
          <w:p w14:paraId="4ABFDA06" w14:textId="77777777" w:rsidR="00FF656F" w:rsidRPr="00CC20C7" w:rsidRDefault="00FF656F" w:rsidP="00FF656F">
            <w:pPr>
              <w:spacing w:after="120"/>
            </w:pPr>
            <w:r w:rsidRPr="00CC20C7">
              <w:t xml:space="preserve">Minister Edukacji Narodowej, </w:t>
            </w:r>
          </w:p>
          <w:p w14:paraId="3D1BFC36" w14:textId="77777777" w:rsidR="00FF656F" w:rsidRPr="00CC20C7" w:rsidRDefault="00FF656F" w:rsidP="00FF656F">
            <w:pPr>
              <w:spacing w:after="120"/>
            </w:pPr>
            <w:r w:rsidRPr="00CC20C7">
              <w:t xml:space="preserve">Ośrodek Rozwoju </w:t>
            </w:r>
            <w:r w:rsidRPr="00CC20C7">
              <w:lastRenderedPageBreak/>
              <w:t>Edukacji</w:t>
            </w:r>
          </w:p>
        </w:tc>
        <w:tc>
          <w:tcPr>
            <w:tcW w:w="1676" w:type="dxa"/>
          </w:tcPr>
          <w:p w14:paraId="75A769E6" w14:textId="7B9C228F" w:rsidR="00FF656F" w:rsidRDefault="00FF656F" w:rsidP="00750CC2">
            <w:r w:rsidRPr="00DD797B">
              <w:lastRenderedPageBreak/>
              <w:t>2016 (wg Kpgo 2022)</w:t>
            </w:r>
          </w:p>
          <w:p w14:paraId="2FE6B3D9" w14:textId="77777777" w:rsidR="00750CC2" w:rsidRPr="00DD797B" w:rsidRDefault="00750CC2" w:rsidP="00750CC2"/>
          <w:p w14:paraId="329684EE" w14:textId="77777777" w:rsidR="00FF656F" w:rsidRPr="00DD797B" w:rsidRDefault="00FF656F" w:rsidP="00750CC2">
            <w:r w:rsidRPr="00DD797B">
              <w:t xml:space="preserve">2014-2016 (wg </w:t>
            </w:r>
            <w:proofErr w:type="spellStart"/>
            <w:r w:rsidRPr="00DD797B">
              <w:lastRenderedPageBreak/>
              <w:t>Kpzpo</w:t>
            </w:r>
            <w:proofErr w:type="spellEnd"/>
            <w:r w:rsidRPr="00DD797B">
              <w:t>)</w:t>
            </w:r>
          </w:p>
          <w:p w14:paraId="031A31D7" w14:textId="77777777" w:rsidR="00FF656F" w:rsidRPr="00CC20C7" w:rsidRDefault="00FF656F" w:rsidP="00750CC2"/>
        </w:tc>
        <w:tc>
          <w:tcPr>
            <w:tcW w:w="1559" w:type="dxa"/>
          </w:tcPr>
          <w:p w14:paraId="1EF6A4CD" w14:textId="77777777" w:rsidR="00FF656F" w:rsidRPr="00DD797B" w:rsidRDefault="00FF656F" w:rsidP="00750CC2">
            <w:r w:rsidRPr="00DD797B">
              <w:lastRenderedPageBreak/>
              <w:t>Tab. 44 poz. 21</w:t>
            </w:r>
          </w:p>
          <w:p w14:paraId="771D1FF1" w14:textId="77777777" w:rsidR="00FF656F" w:rsidRDefault="00FF656F" w:rsidP="00750CC2">
            <w:r w:rsidRPr="00DD797B">
              <w:t>w Kpgo 2022</w:t>
            </w:r>
          </w:p>
          <w:p w14:paraId="335F5EBB" w14:textId="77777777" w:rsidR="00FF656F" w:rsidRPr="00DD797B" w:rsidRDefault="00FF656F" w:rsidP="00750CC2"/>
          <w:p w14:paraId="6CC20146" w14:textId="77777777" w:rsidR="00FF656F" w:rsidRPr="00CC20C7" w:rsidRDefault="00FF656F" w:rsidP="00750CC2">
            <w:r w:rsidRPr="00DD797B">
              <w:t xml:space="preserve">Tab. 3 poz. 12 </w:t>
            </w:r>
            <w:r w:rsidRPr="00DD797B">
              <w:br/>
            </w:r>
            <w:r w:rsidRPr="00DD797B">
              <w:lastRenderedPageBreak/>
              <w:t xml:space="preserve">w </w:t>
            </w:r>
            <w:proofErr w:type="spellStart"/>
            <w:r w:rsidRPr="00DD797B">
              <w:t>Kpzpo</w:t>
            </w:r>
            <w:proofErr w:type="spellEnd"/>
          </w:p>
        </w:tc>
        <w:tc>
          <w:tcPr>
            <w:tcW w:w="5670" w:type="dxa"/>
          </w:tcPr>
          <w:p w14:paraId="69B7D65C" w14:textId="77777777" w:rsidR="00FF656F" w:rsidRPr="0085623A" w:rsidRDefault="00FF656F" w:rsidP="00750CC2">
            <w:pPr>
              <w:jc w:val="both"/>
            </w:pPr>
            <w:r>
              <w:lastRenderedPageBreak/>
              <w:t>Realizacja zadania polegała na d</w:t>
            </w:r>
            <w:r w:rsidRPr="0085623A">
              <w:t>ziałania</w:t>
            </w:r>
            <w:r>
              <w:t>ch</w:t>
            </w:r>
            <w:r w:rsidRPr="0085623A">
              <w:t xml:space="preserve"> Ośrodka Rozwoju Edukacji </w:t>
            </w:r>
            <w:r>
              <w:t>w zakresie następujących przedsięwzięć:</w:t>
            </w:r>
            <w:r w:rsidRPr="0085623A">
              <w:t xml:space="preserve"> </w:t>
            </w:r>
          </w:p>
          <w:p w14:paraId="4CA7720B" w14:textId="043C8C6B" w:rsidR="00FF656F" w:rsidRPr="0085623A" w:rsidRDefault="00FF656F" w:rsidP="00750CC2">
            <w:pPr>
              <w:jc w:val="both"/>
            </w:pPr>
            <w:r w:rsidRPr="0085623A">
              <w:rPr>
                <w:b/>
              </w:rPr>
              <w:t xml:space="preserve">- </w:t>
            </w:r>
            <w:r w:rsidRPr="0085623A">
              <w:rPr>
                <w:i/>
              </w:rPr>
              <w:t>Projekt modułowy „Edukacja globalna. Liderzy edukacji na rzecz rozwoju”</w:t>
            </w:r>
            <w:r w:rsidR="00F3258D">
              <w:rPr>
                <w:b/>
              </w:rPr>
              <w:t xml:space="preserve"> </w:t>
            </w:r>
            <w:r w:rsidRPr="0085623A">
              <w:t>realizowa</w:t>
            </w:r>
            <w:r>
              <w:t>ny w latach 2016 – 2017, będący</w:t>
            </w:r>
            <w:r w:rsidRPr="0085623A">
              <w:t xml:space="preserve"> kontynuacją </w:t>
            </w:r>
            <w:r w:rsidRPr="0085623A">
              <w:lastRenderedPageBreak/>
              <w:t>działań rozpoczętych w 2007 roku.</w:t>
            </w:r>
          </w:p>
          <w:p w14:paraId="4ECEFC0B" w14:textId="34E22E4A" w:rsidR="00FF656F" w:rsidRPr="0085623A" w:rsidRDefault="00FF656F" w:rsidP="00750CC2">
            <w:pPr>
              <w:jc w:val="both"/>
              <w:rPr>
                <w:i/>
              </w:rPr>
            </w:pPr>
            <w:r w:rsidRPr="0085623A">
              <w:t xml:space="preserve">W szkoleniu otwartym „Edukacja globalna w szkolnych programach nauczania”, opublikowanym na stronie projektu </w:t>
            </w:r>
            <w:hyperlink r:id="rId12" w:history="1">
              <w:r w:rsidRPr="0085623A">
                <w:rPr>
                  <w:rStyle w:val="Hipercze"/>
                </w:rPr>
                <w:t>https://edukacjaglobalna.ore.edu.pl/pl/e-learning</w:t>
              </w:r>
            </w:hyperlink>
            <w:r w:rsidRPr="0085623A">
              <w:t xml:space="preserve">, w module 4. Szkolenia pn. </w:t>
            </w:r>
            <w:r w:rsidRPr="0085623A">
              <w:rPr>
                <w:i/>
              </w:rPr>
              <w:t>„Zrównoważony rozwój. Człowiek i środowisko”,</w:t>
            </w:r>
            <w:r w:rsidRPr="0085623A">
              <w:t xml:space="preserve"> uwzględniono m.in. zagadnienia ochrony zasobów naturalnych, kryzysu wodnego,</w:t>
            </w:r>
            <w:r w:rsidR="00F3258D">
              <w:t xml:space="preserve"> </w:t>
            </w:r>
            <w:r w:rsidRPr="0085623A">
              <w:t>zmian klimatycznych, deforestacji, śladu ekologicznego.</w:t>
            </w:r>
          </w:p>
          <w:p w14:paraId="75A808FC" w14:textId="637F303E" w:rsidR="00FF656F" w:rsidRPr="0085623A" w:rsidRDefault="00FF656F" w:rsidP="00750CC2">
            <w:pPr>
              <w:jc w:val="both"/>
              <w:rPr>
                <w:i/>
              </w:rPr>
            </w:pPr>
            <w:r w:rsidRPr="0085623A">
              <w:rPr>
                <w:i/>
              </w:rPr>
              <w:t>Tematyka edukacji globalnej (EG),</w:t>
            </w:r>
            <w:r w:rsidRPr="0085623A">
              <w:rPr>
                <w:b/>
              </w:rPr>
              <w:t xml:space="preserve"> </w:t>
            </w:r>
            <w:r w:rsidRPr="0085623A">
              <w:t>realizowana jest aktualnie w sieci 242 szkół EG, w całej Polsce (ok. 2 500 przeszko</w:t>
            </w:r>
            <w:r>
              <w:t xml:space="preserve">lonych nauczycieli w roku 2017 </w:t>
            </w:r>
            <w:r w:rsidRPr="0085623A">
              <w:t>prowadzi</w:t>
            </w:r>
            <w:r w:rsidR="00F3258D">
              <w:t xml:space="preserve"> </w:t>
            </w:r>
            <w:r w:rsidRPr="0085623A">
              <w:t>lekcje i zajęcia</w:t>
            </w:r>
            <w:r w:rsidR="00F3258D">
              <w:t xml:space="preserve"> </w:t>
            </w:r>
            <w:r w:rsidRPr="0085623A">
              <w:t>szkolne z</w:t>
            </w:r>
            <w:r w:rsidR="00F3258D">
              <w:t xml:space="preserve"> </w:t>
            </w:r>
            <w:r w:rsidRPr="0085623A">
              <w:t>tematyki zrównoważonego rozwoju, w tym dotyczących odpowiedzialnej konsumpcji i racjonalnego gospodarowania</w:t>
            </w:r>
            <w:r w:rsidR="00F3258D">
              <w:t xml:space="preserve"> </w:t>
            </w:r>
            <w:r w:rsidRPr="0085623A">
              <w:t>odpadami z ok. 60 000 uczniami szkół podstawowych, klas gimnazjalnych i liceów).</w:t>
            </w:r>
            <w:r w:rsidR="00F3258D">
              <w:t xml:space="preserve"> </w:t>
            </w:r>
            <w:r w:rsidRPr="0085623A">
              <w:t>Podejmowana tematyka</w:t>
            </w:r>
            <w:r w:rsidR="00F3258D">
              <w:t xml:space="preserve"> </w:t>
            </w:r>
            <w:r w:rsidRPr="0085623A">
              <w:t>stanowi realizację podstawy programowej kształce</w:t>
            </w:r>
            <w:r>
              <w:t>nia ogólnego oraz odnosi się do</w:t>
            </w:r>
            <w:r w:rsidRPr="0085623A">
              <w:t xml:space="preserve"> Agendy 2030 i Celów Zrównoważonego Rozwoju, w tym celu 12. </w:t>
            </w:r>
            <w:r w:rsidRPr="0085623A">
              <w:rPr>
                <w:i/>
              </w:rPr>
              <w:t>Zapewnić wzorce zrównoważonej konsumpcji i produkcji</w:t>
            </w:r>
            <w:r w:rsidRPr="0085623A">
              <w:t xml:space="preserve"> </w:t>
            </w:r>
            <w:hyperlink r:id="rId13" w:history="1">
              <w:r w:rsidRPr="0085623A">
                <w:rPr>
                  <w:rStyle w:val="Hipercze"/>
                </w:rPr>
                <w:t>http://www.un.org.pl/cel12</w:t>
              </w:r>
            </w:hyperlink>
            <w:r w:rsidRPr="0085623A">
              <w:t xml:space="preserve"> - zadania do 2030 roku: istotnie obniżyć poziom generowania odpadów poprzez prewencję, redukcję, recykling i ponowne użycie.</w:t>
            </w:r>
          </w:p>
          <w:p w14:paraId="4A6DA754" w14:textId="77777777" w:rsidR="00FF656F" w:rsidRPr="0085623A" w:rsidRDefault="00FF656F" w:rsidP="00750CC2">
            <w:pPr>
              <w:jc w:val="both"/>
            </w:pPr>
            <w:r w:rsidRPr="0085623A">
              <w:t>W szkołach realizowany jest cel społeczny budowy świadomego i odpowiedzialnego społeczeństwa na rzecz zrównoważonego rozwoju poprzez edukację ekologiczną opartą na propagowaniu działań o charakterze niematerialnym np. propagowanie inwestycji w rozwój kompetencji, naukę, rozpowszechnianie kultury, turystyki zamiast dóbr materialnych, ograniczenia zbędnej konsumpcji, uczenia podejmowania świadomych wyborów i wsparciu dobrych praktyk oraz inicjatyw społecznych.</w:t>
            </w:r>
          </w:p>
          <w:p w14:paraId="6BB91E0D" w14:textId="77777777" w:rsidR="00FF656F" w:rsidRPr="0085623A" w:rsidRDefault="00FF656F" w:rsidP="00750CC2">
            <w:pPr>
              <w:jc w:val="both"/>
            </w:pPr>
            <w:r w:rsidRPr="0085623A">
              <w:t xml:space="preserve">W Tygodniu Edukacji Globalnej </w:t>
            </w:r>
            <w:r w:rsidRPr="0085623A">
              <w:rPr>
                <w:i/>
              </w:rPr>
              <w:t>(ostatni tydzień listopada każdego roku)</w:t>
            </w:r>
            <w:r w:rsidRPr="0085623A">
              <w:t xml:space="preserve"> organizowane są akcje, kampanie szkolne promujące (zgodnie z założeniami </w:t>
            </w:r>
            <w:r w:rsidRPr="0085623A">
              <w:rPr>
                <w:i/>
              </w:rPr>
              <w:t xml:space="preserve">Krajowego programu i planu zapobiegania </w:t>
            </w:r>
            <w:r w:rsidRPr="0085623A">
              <w:rPr>
                <w:i/>
              </w:rPr>
              <w:lastRenderedPageBreak/>
              <w:t xml:space="preserve">powstawaniu odpadom) </w:t>
            </w:r>
            <w:r w:rsidRPr="0085623A">
              <w:t xml:space="preserve">sens postępowania z odpadami (w tym: mniej konsumpcyjny styl życia). </w:t>
            </w:r>
          </w:p>
          <w:p w14:paraId="37C2BF13" w14:textId="53485804" w:rsidR="00FF656F" w:rsidRPr="0085623A" w:rsidRDefault="00FF656F" w:rsidP="00750CC2">
            <w:pPr>
              <w:jc w:val="both"/>
            </w:pPr>
            <w:r w:rsidRPr="0085623A">
              <w:t>Jednym z podstawowych zadań edukacyjnych w szkołach w zakresie zapobiegania powstawaniu odpadów jest podnoszenie świadomości ekologicznej nauczycieli i uczniów, a także ich rodziców.</w:t>
            </w:r>
            <w:r w:rsidR="00F3258D">
              <w:t xml:space="preserve"> </w:t>
            </w:r>
            <w:r w:rsidRPr="0085623A">
              <w:t xml:space="preserve">Z proponowanych metod zapobiegania powstawaniu odpadów komunalnych w życiu codziennym, wymienia się następujące zachowania, postawy, czy też sposoby </w:t>
            </w:r>
            <w:r>
              <w:t>zapobiegania powstaniu</w:t>
            </w:r>
            <w:r w:rsidRPr="0085623A">
              <w:t xml:space="preserve"> odpadów: wybieranie produktów, które nie posiadają zbędnych opakowań;</w:t>
            </w:r>
            <w:r w:rsidR="00F3258D">
              <w:t xml:space="preserve"> </w:t>
            </w:r>
            <w:r w:rsidRPr="0085623A">
              <w:t>używanie toreb wielokrotnego użytku; wielokrotne używanie opakowań nadających się do danego celu; racjonalne korzystanie z papieru poprzez wyk</w:t>
            </w:r>
            <w:r>
              <w:t xml:space="preserve">orzystywanie obu stron kartki; </w:t>
            </w:r>
            <w:r w:rsidRPr="0085623A">
              <w:t xml:space="preserve">kupowanie baterii nadających się do ładowania (tzw. akumulatorki) zamiast baterii jednorazowych; unikanie jednorazowych kubków, talerzy, sztućców i ręczników; kupno i konsumpcja napojów, pożywienia, środków chemicznych </w:t>
            </w:r>
            <w:r w:rsidRPr="0085623A">
              <w:br/>
              <w:t>w opakowaniach, które można zwrócić lub ponownie napełnić; przekazywanie zużytej odzieży, obuwia i innych przedmiotów niechcianych innym odbiorcom lub sprzedawanie na serwisach aukcyjnych; wybieranie produktów trwałych; czytanie etykiet na produktach i świadome podejmowanie decyzji konsumenckich.</w:t>
            </w:r>
          </w:p>
          <w:p w14:paraId="45291A89" w14:textId="2B5FAE80" w:rsidR="00FF656F" w:rsidRPr="0085623A" w:rsidRDefault="00FF656F" w:rsidP="00750CC2">
            <w:r>
              <w:rPr>
                <w:i/>
              </w:rPr>
              <w:t xml:space="preserve">- OTWARTE ZASOBY </w:t>
            </w:r>
            <w:r w:rsidRPr="0085623A">
              <w:rPr>
                <w:i/>
              </w:rPr>
              <w:t>EDUKACYJNE ORE</w:t>
            </w:r>
            <w:r w:rsidR="00F3258D">
              <w:rPr>
                <w:i/>
              </w:rPr>
              <w:t xml:space="preserve"> </w:t>
            </w:r>
            <w:r w:rsidRPr="0085623A">
              <w:rPr>
                <w:i/>
              </w:rPr>
              <w:t>-</w:t>
            </w:r>
            <w:r w:rsidR="00F3258D">
              <w:rPr>
                <w:b/>
              </w:rPr>
              <w:t xml:space="preserve"> </w:t>
            </w:r>
            <w:hyperlink r:id="rId14" w:tgtFrame="_blank" w:history="1">
              <w:r w:rsidRPr="0085623A">
                <w:rPr>
                  <w:rStyle w:val="Hipercze"/>
                  <w:i/>
                </w:rPr>
                <w:t>EPODRECZNIKI.PL</w:t>
              </w:r>
            </w:hyperlink>
            <w:r>
              <w:t>:</w:t>
            </w:r>
            <w:r w:rsidRPr="0085623A">
              <w:rPr>
                <w:b/>
              </w:rPr>
              <w:br/>
            </w:r>
            <w:r w:rsidRPr="0085623A">
              <w:t>- WIOSNA, Edukacja przyrodnicza, Szkoła podstawowa klasa 1</w:t>
            </w:r>
            <w:r w:rsidRPr="0085623A">
              <w:br/>
              <w:t xml:space="preserve">Temat: </w:t>
            </w:r>
            <w:r w:rsidRPr="0085623A">
              <w:rPr>
                <w:i/>
              </w:rPr>
              <w:t>Segregowanie śmieci.</w:t>
            </w:r>
            <w:r w:rsidRPr="0085623A">
              <w:br/>
            </w:r>
            <w:hyperlink r:id="rId15" w:tgtFrame="_blank" w:history="1">
              <w:r w:rsidRPr="0085623A">
                <w:rPr>
                  <w:rStyle w:val="Hipercze"/>
                </w:rPr>
                <w:t>http://www.epodreczniki.pl/reader/c/237696/v/3/t/student-canon/m/KL1_ORE_V9_WIOSNA_1_3_25_126_p3</w:t>
              </w:r>
            </w:hyperlink>
          </w:p>
          <w:p w14:paraId="54EBE36B" w14:textId="37D08051" w:rsidR="00FF656F" w:rsidRPr="0085623A" w:rsidRDefault="00FF656F" w:rsidP="00750CC2">
            <w:r w:rsidRPr="0085623A">
              <w:t>- Świat pod lupą, Przyroda, Szkoła podstawowa, klasa 4</w:t>
            </w:r>
            <w:r w:rsidRPr="0085623A">
              <w:br/>
              <w:t>Temat:</w:t>
            </w:r>
            <w:r w:rsidR="00F3258D">
              <w:t xml:space="preserve"> </w:t>
            </w:r>
            <w:r w:rsidRPr="0085623A">
              <w:rPr>
                <w:i/>
              </w:rPr>
              <w:t>Segregujemy śmieci.</w:t>
            </w:r>
            <w:r w:rsidRPr="0085623A">
              <w:br/>
            </w:r>
            <w:hyperlink r:id="rId16" w:anchor="iBKegXuoHa_1443595098249_0" w:tgtFrame="_blank" w:history="1">
              <w:r w:rsidRPr="0085623A">
                <w:rPr>
                  <w:rStyle w:val="Hipercze"/>
                </w:rPr>
                <w:t>http://www.epodreczniki.pl/reader/c/130637/v/78/t/student-canon/m/iBKegXuoHa#iBKegXuoHa_1443595098249_0</w:t>
              </w:r>
            </w:hyperlink>
          </w:p>
          <w:p w14:paraId="78805E0E" w14:textId="77777777" w:rsidR="00FF656F" w:rsidRPr="0085623A" w:rsidRDefault="00FF656F" w:rsidP="00750CC2">
            <w:r w:rsidRPr="0085623A">
              <w:t>- Świat pod lupą, Biologia, Gimnazjum klasa 3</w:t>
            </w:r>
            <w:r w:rsidRPr="0085623A">
              <w:br/>
              <w:t xml:space="preserve">Temat 4.4: </w:t>
            </w:r>
            <w:r w:rsidRPr="0085623A">
              <w:rPr>
                <w:i/>
              </w:rPr>
              <w:t>Gospodarowanie odpadami</w:t>
            </w:r>
            <w:r w:rsidRPr="0085623A">
              <w:br/>
            </w:r>
            <w:hyperlink r:id="rId17" w:tgtFrame="_blank" w:history="1">
              <w:r w:rsidRPr="0085623A">
                <w:rPr>
                  <w:rStyle w:val="Hipercze"/>
                </w:rPr>
                <w:t>http://www.epodreczniki.pl/reader/c/140129/v/39/t/student-canon/m/izjcUfGc6w</w:t>
              </w:r>
            </w:hyperlink>
            <w:r w:rsidRPr="0085623A">
              <w:t xml:space="preserve"> </w:t>
            </w:r>
          </w:p>
          <w:p w14:paraId="6FA52549" w14:textId="689A3AA2" w:rsidR="00FF656F" w:rsidRPr="00CC20C7" w:rsidRDefault="00FF656F" w:rsidP="00750CC2">
            <w:r w:rsidRPr="0085623A">
              <w:t>- Świat pod lupą, Chemia, Ponadgimnazjalna klasa 1</w:t>
            </w:r>
            <w:r w:rsidRPr="0085623A">
              <w:br/>
              <w:t>Temat 3.8</w:t>
            </w:r>
            <w:r w:rsidRPr="0085623A">
              <w:rPr>
                <w:i/>
              </w:rPr>
              <w:t>:</w:t>
            </w:r>
            <w:r w:rsidR="00F3258D">
              <w:rPr>
                <w:i/>
              </w:rPr>
              <w:t xml:space="preserve"> </w:t>
            </w:r>
            <w:proofErr w:type="spellStart"/>
            <w:r w:rsidRPr="0085623A">
              <w:rPr>
                <w:i/>
              </w:rPr>
              <w:t>Ekoproblemy</w:t>
            </w:r>
            <w:proofErr w:type="spellEnd"/>
            <w:r w:rsidRPr="0085623A">
              <w:rPr>
                <w:i/>
              </w:rPr>
              <w:t xml:space="preserve"> jako konsekwencja stosowania opakowań</w:t>
            </w:r>
            <w:r w:rsidRPr="0085623A">
              <w:br/>
            </w:r>
            <w:hyperlink r:id="rId18" w:anchor="iMCKQxBL4T_d5e135" w:tgtFrame="_blank" w:history="1">
              <w:r w:rsidRPr="0085623A">
                <w:rPr>
                  <w:rStyle w:val="Hipercze"/>
                </w:rPr>
                <w:t>http://www.epodreczniki.pl/reader/c/169412/v/30/t/student-canon/m/iMCKQxBL4T#iMCKQxBL4T_d5e135</w:t>
              </w:r>
            </w:hyperlink>
          </w:p>
        </w:tc>
      </w:tr>
      <w:tr w:rsidR="00FF656F" w:rsidRPr="00CC20C7" w14:paraId="17D44439" w14:textId="77777777" w:rsidTr="00553DF5">
        <w:trPr>
          <w:trHeight w:val="952"/>
        </w:trPr>
        <w:tc>
          <w:tcPr>
            <w:tcW w:w="539" w:type="dxa"/>
          </w:tcPr>
          <w:p w14:paraId="2F1157FE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4769718E" w14:textId="77777777" w:rsidR="00FF656F" w:rsidRPr="00CC20C7" w:rsidRDefault="00FF656F" w:rsidP="00750CC2">
            <w:r w:rsidRPr="00CC20C7">
              <w:t>Wprowadzenie zagadnień związanych z ZPO oraz prawidłowym postępowaniem z odpadami do podstawy programowej kształcenia ogólnego i podstawy programowej kształcenia w zawodach.</w:t>
            </w:r>
          </w:p>
        </w:tc>
        <w:tc>
          <w:tcPr>
            <w:tcW w:w="1985" w:type="dxa"/>
          </w:tcPr>
          <w:p w14:paraId="33363CF6" w14:textId="77777777" w:rsidR="00FF656F" w:rsidRPr="00CC20C7" w:rsidRDefault="00FF656F" w:rsidP="00FF656F">
            <w:pPr>
              <w:spacing w:after="120"/>
            </w:pPr>
            <w:r w:rsidRPr="00CC20C7">
              <w:t>Ministerstwo Edukacji Narodowej</w:t>
            </w:r>
          </w:p>
        </w:tc>
        <w:tc>
          <w:tcPr>
            <w:tcW w:w="1676" w:type="dxa"/>
          </w:tcPr>
          <w:p w14:paraId="42CD842E" w14:textId="77777777" w:rsidR="00FF656F" w:rsidRPr="00CC20C7" w:rsidRDefault="00FF656F" w:rsidP="00FF656F">
            <w:pPr>
              <w:spacing w:after="120"/>
            </w:pPr>
            <w:r w:rsidRPr="00CC20C7">
              <w:t>2016-2017 r.</w:t>
            </w:r>
          </w:p>
        </w:tc>
        <w:tc>
          <w:tcPr>
            <w:tcW w:w="1559" w:type="dxa"/>
          </w:tcPr>
          <w:p w14:paraId="6154B83E" w14:textId="77777777" w:rsidR="00FF656F" w:rsidRPr="005C0C0B" w:rsidRDefault="00FF656F" w:rsidP="00FF656F">
            <w:r w:rsidRPr="005C0C0B">
              <w:t>Tab. 44 poz. 22</w:t>
            </w:r>
          </w:p>
          <w:p w14:paraId="0A2D1312" w14:textId="77777777" w:rsidR="00FF656F" w:rsidRPr="00CC20C7" w:rsidRDefault="00FF656F" w:rsidP="00FF656F">
            <w:r w:rsidRPr="005C0C0B">
              <w:t>w Kpgo 2022</w:t>
            </w:r>
          </w:p>
        </w:tc>
        <w:tc>
          <w:tcPr>
            <w:tcW w:w="5670" w:type="dxa"/>
          </w:tcPr>
          <w:p w14:paraId="7E414645" w14:textId="77777777" w:rsidR="00FF656F" w:rsidRPr="005C1E28" w:rsidRDefault="00FF656F" w:rsidP="00FF656F">
            <w:pPr>
              <w:jc w:val="both"/>
            </w:pPr>
            <w:r w:rsidRPr="005C1E28">
              <w:t xml:space="preserve">Zagadnienia z zakresu edukacji ekologicznej </w:t>
            </w:r>
            <w:r>
              <w:t>były</w:t>
            </w:r>
            <w:r w:rsidRPr="005C1E28">
              <w:t xml:space="preserve"> realizowane w szkołach zgodnie z podstawą programową kształcenia ogólnego, która określa obowiązkowe zestawy celów kształcenia i treści nauczania dla poszczególnych etapów edukacyjnych. </w:t>
            </w:r>
          </w:p>
          <w:p w14:paraId="2931AFC4" w14:textId="77777777" w:rsidR="00FF656F" w:rsidRPr="00EF02A5" w:rsidRDefault="00FF656F" w:rsidP="00FF656F">
            <w:pPr>
              <w:jc w:val="both"/>
            </w:pPr>
            <w:r w:rsidRPr="005C1E28">
              <w:t xml:space="preserve">W okresie od 1 stycznia 2014 r. do 31 grudnia 2016 r. obowiązywała podstawa programowa określona w rozporządzeniu Ministra Edukacji Narodowej z dnia 27 sierpnia 2012 r. </w:t>
            </w:r>
            <w:r w:rsidRPr="00EF02A5">
              <w:t xml:space="preserve">w sprawie podstawy programowej wychowania przedszkolnego oraz kształcenia ogólnego w poszczególnych typach szkół (Dz. U. poz. 977, z </w:t>
            </w:r>
            <w:proofErr w:type="spellStart"/>
            <w:r w:rsidRPr="00EF02A5">
              <w:t>późn</w:t>
            </w:r>
            <w:proofErr w:type="spellEnd"/>
            <w:r w:rsidRPr="00EF02A5">
              <w:t>. zm.).</w:t>
            </w:r>
          </w:p>
          <w:p w14:paraId="7230BEDA" w14:textId="77777777" w:rsidR="00FF656F" w:rsidRPr="005C1E28" w:rsidRDefault="00FF656F" w:rsidP="00FF656F">
            <w:pPr>
              <w:jc w:val="both"/>
            </w:pPr>
            <w:r w:rsidRPr="005C1E28">
              <w:t>W ww. dokumencie treści nauczania z zakresu edukacji ekologicznej sformułowane zostały odpowiednio do wieku i potrzeb edukacyjnych uczniów.</w:t>
            </w:r>
          </w:p>
          <w:p w14:paraId="5316AA6E" w14:textId="421ED601" w:rsidR="00FF656F" w:rsidRPr="005C1E28" w:rsidRDefault="00FF656F" w:rsidP="00FF656F">
            <w:pPr>
              <w:jc w:val="both"/>
            </w:pPr>
            <w:r w:rsidRPr="005C1E28">
              <w:t>Podstawa programowa wychowania przedszkolnego poprzez budowanie systemu wartości, w tym wychowywanie dzieci tak, aby orientowały s</w:t>
            </w:r>
            <w:r>
              <w:t xml:space="preserve">ię w tym, co jest dobre, </w:t>
            </w:r>
            <w:r w:rsidRPr="005C1E28">
              <w:t>a co złe, również poprzez rozwijanie umiejętności społecznych oraz budowanie dziecięcej wiedzy o świecie społecznym, przyrodniczym</w:t>
            </w:r>
            <w:r w:rsidR="00F3258D">
              <w:t xml:space="preserve"> </w:t>
            </w:r>
            <w:r w:rsidRPr="005C1E28">
              <w:t xml:space="preserve">i technicznym, miała na celu kształtowanie świadomości dziecka w zakresie poszanowania własnego otoczenia, w tym poszanowanie roślin i zwierząt oraz wdrażanie do dbałości o porządek w swoim otoczeniu. </w:t>
            </w:r>
          </w:p>
          <w:p w14:paraId="279513E8" w14:textId="77777777" w:rsidR="00FF656F" w:rsidRPr="005C1E28" w:rsidRDefault="00FF656F" w:rsidP="00FF656F">
            <w:pPr>
              <w:jc w:val="both"/>
            </w:pPr>
            <w:r w:rsidRPr="005C1E28">
              <w:t xml:space="preserve">Uczniowie I etapu edukacyjnego (klasy I – III szkoły podstawowej) w efekcie realizacji treści obszaru </w:t>
            </w:r>
            <w:r w:rsidRPr="005C1E28">
              <w:rPr>
                <w:i/>
              </w:rPr>
              <w:t>Edukacja przyrodnicza</w:t>
            </w:r>
            <w:r w:rsidRPr="005C1E28">
              <w:t xml:space="preserve"> poznali zagrożenia dla środowiska przyrodniczego ze strony człowieka: zatruwanie powietrza i wód, wyrzucanie odpadów i spalanie śmieci </w:t>
            </w:r>
            <w:r w:rsidRPr="005C1E28">
              <w:lastRenderedPageBreak/>
              <w:t>itp. Dowiedzieli się, że należy chronić przyrodę, nie śmiecić, szanować rośliny, segregować śmieci i stosować opakowania ekologiczne.</w:t>
            </w:r>
          </w:p>
          <w:p w14:paraId="1D296BDF" w14:textId="77777777" w:rsidR="00FF656F" w:rsidRPr="005C1E28" w:rsidRDefault="00FF656F" w:rsidP="00FF656F">
            <w:pPr>
              <w:jc w:val="both"/>
            </w:pPr>
            <w:r w:rsidRPr="005C1E28">
              <w:t>Na wyższych etapach edukacyjnych cele kształcenia oraz treści nauczania z zakresu edukacji ekologicznej były realizowane w ramach następujących przedmiotów: przyroda, biologia, geografia, chemia, fizyka, zajęcia techniczne i przedmiot uzupełniający: Przyroda.</w:t>
            </w:r>
          </w:p>
          <w:p w14:paraId="591C1384" w14:textId="77777777" w:rsidR="00FF656F" w:rsidRPr="005C1E28" w:rsidRDefault="00FF656F" w:rsidP="00FF656F">
            <w:pPr>
              <w:jc w:val="both"/>
            </w:pPr>
            <w:r w:rsidRPr="005C1E28">
              <w:t xml:space="preserve">Na lekcjach przyrody uczniowie podejmowali działania na rzecz ochrony środowiska, prowadzili obserwacje i doświadczenia wykazujące zanieczyszczenie najbliższego otoczenia, dyskutowali o potrzebie segregacji odpadów, wskazując na możliwość ich ponownego </w:t>
            </w:r>
            <w:r>
              <w:t>przetwarzania</w:t>
            </w:r>
            <w:r w:rsidRPr="005C1E28">
              <w:t xml:space="preserve">. </w:t>
            </w:r>
          </w:p>
          <w:p w14:paraId="25259010" w14:textId="77777777" w:rsidR="00FF656F" w:rsidRPr="005C1E28" w:rsidRDefault="00FF656F" w:rsidP="00FF656F">
            <w:pPr>
              <w:jc w:val="both"/>
            </w:pPr>
            <w:r w:rsidRPr="005C1E28">
              <w:t>Zajęcia techniczne rozwijały u uczniów umiejętność poszukiwania rozwiązań problemów rozwoju środowiska technicznego, w tym w odniesieniu do segregowania i przetwarzania odpadów z różnych materiałów oraz projektów racjonalnego gospodarowania surowcami wtórnymi w najbliższym środowisku: w domu, na osiedlu, w miejscowości.</w:t>
            </w:r>
          </w:p>
          <w:p w14:paraId="2D1478E0" w14:textId="77777777" w:rsidR="00FF656F" w:rsidRPr="005C1E28" w:rsidRDefault="00FF656F" w:rsidP="00FF656F">
            <w:pPr>
              <w:jc w:val="both"/>
            </w:pPr>
            <w:r w:rsidRPr="005C1E28">
              <w:t>Lekcje biologii poświęcone były m.in. globalnym i lokalnym problemom środowiska. Wskazywały potrzebę segregowania odpadów w gospodarstwie domowym oraz konieczność specjalnego postępowania ze zużytymi bateriami, świetlówkami, przeterminowanymi lekami. Uczniowie projektowali działania ograniczające m.in. wytwarzanie odpadów w gospodarstwach domowych. Wskazywali również konieczność prowadzenia międzynarodowej współpracy w celu zapobiegania zagrożeniom przyrody.</w:t>
            </w:r>
          </w:p>
          <w:p w14:paraId="056DF2A9" w14:textId="77777777" w:rsidR="00FF656F" w:rsidRPr="005C1E28" w:rsidRDefault="00FF656F" w:rsidP="00FF656F">
            <w:pPr>
              <w:jc w:val="both"/>
            </w:pPr>
            <w:r w:rsidRPr="005C1E28">
              <w:t xml:space="preserve">Treści nauczania etyki przybliżyły uczniom m.in. zasady harmonijnego współistnienia i współdziałania ze środowiskiem społecznym i przyrodniczym, a geografii rozumienie relacji człowiek-przyroda-społeczeństwo w skali globalnej i regionalnej. </w:t>
            </w:r>
          </w:p>
          <w:p w14:paraId="6602E33B" w14:textId="77777777" w:rsidR="00FF656F" w:rsidRPr="00CC20C7" w:rsidRDefault="00FF656F" w:rsidP="00FF656F">
            <w:pPr>
              <w:jc w:val="both"/>
            </w:pPr>
            <w:r w:rsidRPr="005C1E28">
              <w:lastRenderedPageBreak/>
              <w:t>Treści przedmiotu uzupełniającego: Przyroda zapoznały uczniów z ideą zrównoważonego rozwoju oraz zasadami, którymi powinna kierować się gospodarka świata.</w:t>
            </w:r>
          </w:p>
        </w:tc>
      </w:tr>
      <w:tr w:rsidR="00FF656F" w:rsidRPr="00CC20C7" w14:paraId="6623FB09" w14:textId="77777777" w:rsidTr="00553DF5">
        <w:trPr>
          <w:trHeight w:val="1033"/>
        </w:trPr>
        <w:tc>
          <w:tcPr>
            <w:tcW w:w="539" w:type="dxa"/>
          </w:tcPr>
          <w:p w14:paraId="454A06DD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vAlign w:val="center"/>
          </w:tcPr>
          <w:p w14:paraId="43F6230D" w14:textId="77777777" w:rsidR="00FF656F" w:rsidRPr="00CC20C7" w:rsidRDefault="00FF656F" w:rsidP="00750CC2">
            <w:r w:rsidRPr="00CC20C7">
              <w:t>Przygotowanie rekomendacji dla budowy sieci napraw i ponownego użycia oraz opracowanie wytycznych dotyczących minimalnej funkcjonalności PSZOK dla jednostek samorządu terytorialnego.</w:t>
            </w:r>
          </w:p>
        </w:tc>
        <w:tc>
          <w:tcPr>
            <w:tcW w:w="1985" w:type="dxa"/>
          </w:tcPr>
          <w:p w14:paraId="54AB9099" w14:textId="77777777" w:rsidR="00FF656F" w:rsidRPr="00CC20C7" w:rsidRDefault="00FF656F" w:rsidP="00FF656F">
            <w:r w:rsidRPr="00CC20C7">
              <w:t>MŚ</w:t>
            </w:r>
          </w:p>
        </w:tc>
        <w:tc>
          <w:tcPr>
            <w:tcW w:w="1676" w:type="dxa"/>
          </w:tcPr>
          <w:p w14:paraId="54D7267B" w14:textId="77777777" w:rsidR="00FF656F" w:rsidRPr="00CC20C7" w:rsidRDefault="00FF656F" w:rsidP="00FF656F">
            <w:pPr>
              <w:spacing w:after="240"/>
            </w:pPr>
            <w:r w:rsidRPr="00CC20C7">
              <w:t>2016-2018 r.</w:t>
            </w:r>
          </w:p>
        </w:tc>
        <w:tc>
          <w:tcPr>
            <w:tcW w:w="1559" w:type="dxa"/>
          </w:tcPr>
          <w:p w14:paraId="5CEC21E9" w14:textId="77777777" w:rsidR="00FF656F" w:rsidRPr="00CC20C7" w:rsidRDefault="00FF656F" w:rsidP="00FF656F">
            <w:pPr>
              <w:spacing w:after="240"/>
            </w:pPr>
            <w:r w:rsidRPr="006D3F57">
              <w:t>Tab. 44 poz. 23</w:t>
            </w:r>
            <w:r w:rsidRPr="006D3F57">
              <w:br/>
              <w:t>w Kpgo 2022</w:t>
            </w:r>
          </w:p>
        </w:tc>
        <w:tc>
          <w:tcPr>
            <w:tcW w:w="5670" w:type="dxa"/>
            <w:vAlign w:val="center"/>
          </w:tcPr>
          <w:p w14:paraId="69DDD0B1" w14:textId="77777777" w:rsidR="00FF656F" w:rsidRDefault="00FF656F" w:rsidP="00FF656F">
            <w:pPr>
              <w:spacing w:after="240"/>
              <w:rPr>
                <w:bCs/>
              </w:rPr>
            </w:pPr>
            <w:r w:rsidRPr="00E153F3">
              <w:rPr>
                <w:bCs/>
              </w:rPr>
              <w:t xml:space="preserve">Ekspertyza została </w:t>
            </w:r>
            <w:r>
              <w:rPr>
                <w:bCs/>
              </w:rPr>
              <w:t>zrealizowana w 2017 r., dostępna pod adresem:</w:t>
            </w:r>
          </w:p>
          <w:p w14:paraId="7D9C0976" w14:textId="77777777" w:rsidR="00FF656F" w:rsidRPr="00CC20C7" w:rsidRDefault="007D20D7" w:rsidP="00FF656F">
            <w:pPr>
              <w:spacing w:after="240"/>
            </w:pPr>
            <w:hyperlink r:id="rId19" w:tgtFrame="_blank" w:history="1">
              <w:r w:rsidR="00FF656F" w:rsidRPr="007B623A">
                <w:rPr>
                  <w:rStyle w:val="Hipercze"/>
                </w:rPr>
                <w:t>https://www.mos.gov.pl/komunikaty/szczegoly/news/jak-budowac-pszok-i/</w:t>
              </w:r>
            </w:hyperlink>
          </w:p>
        </w:tc>
      </w:tr>
      <w:tr w:rsidR="00FF656F" w14:paraId="4EFD92D4" w14:textId="77777777" w:rsidTr="00553DF5">
        <w:tc>
          <w:tcPr>
            <w:tcW w:w="539" w:type="dxa"/>
          </w:tcPr>
          <w:p w14:paraId="0D627C30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1642F0D7" w14:textId="77777777" w:rsidR="00FF656F" w:rsidRPr="002C4810" w:rsidRDefault="00FF656F" w:rsidP="00FF656F">
            <w:pPr>
              <w:jc w:val="both"/>
              <w:rPr>
                <w:sz w:val="22"/>
              </w:rPr>
            </w:pPr>
            <w:r w:rsidRPr="002C4810">
              <w:t>Opracowanie planu zagospodarowania odpadów z rozlewów olejowych powstałych w wyniku wypadków morskich (</w:t>
            </w:r>
            <w:r w:rsidRPr="002C4810">
              <w:rPr>
                <w:i/>
              </w:rPr>
              <w:t>Kontynuacja realizacji zadania wskazanego w Krajowym planie gospodarki odpadami 2010</w:t>
            </w:r>
            <w:r w:rsidRPr="002C4810">
              <w:rPr>
                <w:i/>
                <w:iCs/>
              </w:rPr>
              <w:t>)</w:t>
            </w:r>
          </w:p>
        </w:tc>
        <w:tc>
          <w:tcPr>
            <w:tcW w:w="1985" w:type="dxa"/>
          </w:tcPr>
          <w:p w14:paraId="211E32D0" w14:textId="77777777" w:rsidR="00FF656F" w:rsidRPr="002C4810" w:rsidRDefault="00FF656F" w:rsidP="00FF656F">
            <w:pPr>
              <w:snapToGrid w:val="0"/>
            </w:pPr>
            <w:r w:rsidRPr="002C4810">
              <w:t>Minister właściwy do spraw gospodarki morskiej</w:t>
            </w:r>
          </w:p>
          <w:p w14:paraId="1E900CB6" w14:textId="77777777" w:rsidR="00FF656F" w:rsidRPr="002C4810" w:rsidRDefault="00FF656F" w:rsidP="00FF656F">
            <w:r w:rsidRPr="002C4810">
              <w:t xml:space="preserve">w porozumieniu </w:t>
            </w:r>
          </w:p>
          <w:p w14:paraId="17446FF8" w14:textId="77777777" w:rsidR="00FF656F" w:rsidRPr="002C4810" w:rsidRDefault="00FF656F" w:rsidP="00FF656F">
            <w:pPr>
              <w:rPr>
                <w:sz w:val="22"/>
              </w:rPr>
            </w:pPr>
            <w:r w:rsidRPr="002C4810">
              <w:t>z ministrem właściwym do spraw środowiska</w:t>
            </w:r>
          </w:p>
        </w:tc>
        <w:tc>
          <w:tcPr>
            <w:tcW w:w="1676" w:type="dxa"/>
          </w:tcPr>
          <w:p w14:paraId="37884C5E" w14:textId="77777777" w:rsidR="00FF656F" w:rsidRPr="002C4810" w:rsidRDefault="00FF656F" w:rsidP="00FF656F">
            <w:pPr>
              <w:rPr>
                <w:sz w:val="22"/>
              </w:rPr>
            </w:pPr>
            <w:r w:rsidRPr="002C4810">
              <w:t>2011-2012</w:t>
            </w:r>
          </w:p>
        </w:tc>
        <w:tc>
          <w:tcPr>
            <w:tcW w:w="1559" w:type="dxa"/>
          </w:tcPr>
          <w:p w14:paraId="02E692BC" w14:textId="77777777" w:rsidR="00FF656F" w:rsidRDefault="00FF656F" w:rsidP="00FF656F">
            <w:r w:rsidRPr="002C4810">
              <w:t>Tab. 39 poz.24</w:t>
            </w:r>
          </w:p>
          <w:p w14:paraId="6297EEF1" w14:textId="77777777" w:rsidR="00FF656F" w:rsidRPr="002C4810" w:rsidRDefault="00FF656F" w:rsidP="00FF656F">
            <w:r>
              <w:t>w Kpgo 2014</w:t>
            </w:r>
          </w:p>
        </w:tc>
        <w:tc>
          <w:tcPr>
            <w:tcW w:w="5670" w:type="dxa"/>
          </w:tcPr>
          <w:p w14:paraId="6866E8CB" w14:textId="603A1BD3" w:rsidR="00FF656F" w:rsidRPr="00542480" w:rsidRDefault="00FF656F" w:rsidP="00FF656F">
            <w:pPr>
              <w:rPr>
                <w:sz w:val="22"/>
              </w:rPr>
            </w:pPr>
            <w:r>
              <w:t>Z</w:t>
            </w:r>
            <w:r w:rsidRPr="003E3471">
              <w:t>ostało zrealizowane</w:t>
            </w:r>
            <w:r>
              <w:t xml:space="preserve"> w</w:t>
            </w:r>
            <w:r w:rsidRPr="003E3471">
              <w:t xml:space="preserve">e współpracy </w:t>
            </w:r>
            <w:r>
              <w:t xml:space="preserve">z </w:t>
            </w:r>
            <w:r w:rsidRPr="003E3471">
              <w:t>Min</w:t>
            </w:r>
            <w:r>
              <w:t>isterstwem</w:t>
            </w:r>
            <w:r w:rsidRPr="003E3471">
              <w:t xml:space="preserve"> Transportu i Min</w:t>
            </w:r>
            <w:r>
              <w:t>isterstwem</w:t>
            </w:r>
            <w:r w:rsidRPr="003E3471">
              <w:t xml:space="preserve"> Środowiska</w:t>
            </w:r>
            <w:r>
              <w:t xml:space="preserve"> opracowanie pt.:</w:t>
            </w:r>
            <w:r w:rsidRPr="003E3471" w:rsidDel="003E3471">
              <w:t xml:space="preserve"> </w:t>
            </w:r>
            <w:r w:rsidRPr="00542480">
              <w:t>„Plan zagospodarowania odpadów z rozlewów olejowych powstałych w wyniku wypadków morskich”</w:t>
            </w:r>
            <w:r>
              <w:t>.</w:t>
            </w:r>
            <w:r w:rsidRPr="00542480">
              <w:t xml:space="preserve"> </w:t>
            </w:r>
          </w:p>
        </w:tc>
      </w:tr>
      <w:tr w:rsidR="00FF656F" w14:paraId="44D579F4" w14:textId="77777777" w:rsidTr="00553DF5">
        <w:tc>
          <w:tcPr>
            <w:tcW w:w="539" w:type="dxa"/>
          </w:tcPr>
          <w:p w14:paraId="70F6BC1C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193E1DCD" w14:textId="6A0D6B46" w:rsidR="00FF656F" w:rsidRPr="002C4810" w:rsidRDefault="00FF656F" w:rsidP="00750CC2">
            <w:pPr>
              <w:jc w:val="both"/>
            </w:pPr>
            <w:r w:rsidRPr="00C04B41">
              <w:t>Wdrożenie „Planu zagospodarowania odpadów z rozlewów olejowych powstałych na skutek wypadków morskich”</w:t>
            </w:r>
          </w:p>
        </w:tc>
        <w:tc>
          <w:tcPr>
            <w:tcW w:w="1985" w:type="dxa"/>
          </w:tcPr>
          <w:p w14:paraId="3E42E637" w14:textId="4BD25946" w:rsidR="0042346D" w:rsidRPr="002C4810" w:rsidRDefault="0042346D" w:rsidP="00750CC2">
            <w:pPr>
              <w:snapToGrid w:val="0"/>
            </w:pPr>
            <w:r>
              <w:t>-</w:t>
            </w:r>
          </w:p>
        </w:tc>
        <w:tc>
          <w:tcPr>
            <w:tcW w:w="1676" w:type="dxa"/>
          </w:tcPr>
          <w:p w14:paraId="278696FC" w14:textId="77777777" w:rsidR="00FF656F" w:rsidRPr="00E726EB" w:rsidRDefault="00FF656F" w:rsidP="00FF656F">
            <w:r w:rsidRPr="00E726EB">
              <w:t>-</w:t>
            </w:r>
          </w:p>
        </w:tc>
        <w:tc>
          <w:tcPr>
            <w:tcW w:w="1559" w:type="dxa"/>
          </w:tcPr>
          <w:p w14:paraId="715B1491" w14:textId="77777777" w:rsidR="00FF656F" w:rsidRPr="002C4810" w:rsidRDefault="00FF656F" w:rsidP="00FF656F">
            <w:r>
              <w:t>Str. 114 podrozdział 5.4.5, pkt 5 w Kpgo 2022</w:t>
            </w:r>
          </w:p>
        </w:tc>
        <w:tc>
          <w:tcPr>
            <w:tcW w:w="5670" w:type="dxa"/>
          </w:tcPr>
          <w:p w14:paraId="4E30E268" w14:textId="0C47C329" w:rsidR="00FF656F" w:rsidRPr="0070506E" w:rsidRDefault="0042346D" w:rsidP="00FF656F">
            <w:pPr>
              <w:jc w:val="both"/>
            </w:pPr>
            <w:r>
              <w:t>Zgodnie z informacjami Ministra Gospodarki Morskiej i Żeglugi Śródlądowej</w:t>
            </w:r>
            <w:r w:rsidR="00B35600">
              <w:t>,</w:t>
            </w:r>
            <w:r>
              <w:t xml:space="preserve"> </w:t>
            </w:r>
            <w:r w:rsidR="00FF656F">
              <w:t>Plan zagospodarowania odpadów</w:t>
            </w:r>
            <w:r w:rsidR="00FF656F" w:rsidRPr="0070506E">
              <w:t xml:space="preserve"> z rozlewów olejowych (GOOPAM) dostępny jest na stronie internetowej pod adresem: http://im.gda.pl/images/zeip/geopam.zip. GOOPAM zawiera zestaw podstawowych informacji na temat procedur postępowania w przypadku zdarzenia skutkującego wytworzeniem dużej masy odpadów olejowych. GOOPAM zawiera informacje na temat instytucji odpowiedzialnych za usuwanie skutków zdarzenia oraz zagospodarowanie odpadów , procedur postępowania i zaleceń dla każdego kroku w procesie zarządzania gospodarką odpadami w celu optymalizacji wydajności i kosztów. Baza GOOPAM zawiera również informacje o instytucjach, organizacjach i podmiotach gospodarczych świadczących usługi</w:t>
            </w:r>
            <w:r w:rsidR="00F3258D">
              <w:t xml:space="preserve"> </w:t>
            </w:r>
            <w:r w:rsidR="00FF656F" w:rsidRPr="0070506E">
              <w:t xml:space="preserve">w zakresie gospodarowania odpadami (w tym: wykaz składowisk w województwach nadmorskich, podmioty zajmujące się zagospodarowaniem olejów </w:t>
            </w:r>
            <w:r w:rsidR="00FF656F" w:rsidRPr="0070506E">
              <w:lastRenderedPageBreak/>
              <w:t>odpadowych, spalarnie odpadów komunalnych, wykaz regionalnych instalacji do przetwarzania odpadów komunalnych oraz innych zakładach przemysłowych, w tym rafineriach, zakładach przemysłu cementowego, elektrowniach i elektrociepłowniach oraz instalacjach unieszkodliwiania odpadów niebezpiecznych).</w:t>
            </w:r>
          </w:p>
          <w:p w14:paraId="446A80A1" w14:textId="40571E3F" w:rsidR="00FF656F" w:rsidRDefault="00FF656F" w:rsidP="00FF656F">
            <w:pPr>
              <w:jc w:val="both"/>
            </w:pPr>
            <w:r w:rsidRPr="0070506E">
              <w:t>Odniesienie do GOOPAM zawierać będzie m.in. aktualizowany obecnie Krajowy plan zwalczania zagrożeń i zanieczyszczeń środowiska morskiego.</w:t>
            </w:r>
          </w:p>
        </w:tc>
      </w:tr>
      <w:tr w:rsidR="00FF656F" w14:paraId="2128B6D4" w14:textId="77777777" w:rsidTr="00553DF5">
        <w:tc>
          <w:tcPr>
            <w:tcW w:w="539" w:type="dxa"/>
          </w:tcPr>
          <w:p w14:paraId="4CB45AD5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3E0D8B60" w14:textId="77777777" w:rsidR="00FF656F" w:rsidRPr="002C4810" w:rsidRDefault="00FF656F" w:rsidP="00FF656F">
            <w:pPr>
              <w:jc w:val="both"/>
            </w:pPr>
            <w:r>
              <w:t>O</w:t>
            </w:r>
            <w:r w:rsidRPr="00036EB7">
              <w:t>pracowanie oraz wdrażanie i propagowanie dobrych praktyk w zakresie zagadnień dotyczących odpadów w środowisku morskim, w szczególności dotyczących należytego postępowania z odpadami na pokładzie statków, w portach oraz na plażach i w ich sąsiedztwie</w:t>
            </w:r>
          </w:p>
        </w:tc>
        <w:tc>
          <w:tcPr>
            <w:tcW w:w="1985" w:type="dxa"/>
          </w:tcPr>
          <w:p w14:paraId="6A30C46E" w14:textId="2237B6B2" w:rsidR="00FF656F" w:rsidRPr="002C4810" w:rsidRDefault="0042346D" w:rsidP="00FF656F">
            <w:pPr>
              <w:snapToGrid w:val="0"/>
            </w:pPr>
            <w:r>
              <w:t>-</w:t>
            </w:r>
          </w:p>
        </w:tc>
        <w:tc>
          <w:tcPr>
            <w:tcW w:w="1676" w:type="dxa"/>
          </w:tcPr>
          <w:p w14:paraId="6BEC963C" w14:textId="77777777" w:rsidR="00FF656F" w:rsidRPr="00E726EB" w:rsidRDefault="00FF656F" w:rsidP="00FF656F">
            <w:r w:rsidRPr="00E726EB">
              <w:t>-</w:t>
            </w:r>
          </w:p>
        </w:tc>
        <w:tc>
          <w:tcPr>
            <w:tcW w:w="1559" w:type="dxa"/>
          </w:tcPr>
          <w:p w14:paraId="6E4C79AD" w14:textId="77777777" w:rsidR="00FF656F" w:rsidRPr="002C4810" w:rsidRDefault="00FF656F" w:rsidP="00FF656F">
            <w:r w:rsidRPr="008E485C">
              <w:t>Str. 114 podrozdział 5.4.5</w:t>
            </w:r>
            <w:r>
              <w:t>, pkt 3</w:t>
            </w:r>
            <w:r w:rsidRPr="008E485C">
              <w:t xml:space="preserve"> w Kpgo 2022</w:t>
            </w:r>
          </w:p>
        </w:tc>
        <w:tc>
          <w:tcPr>
            <w:tcW w:w="5670" w:type="dxa"/>
          </w:tcPr>
          <w:p w14:paraId="06E4C1AF" w14:textId="1154EA7C" w:rsidR="00FF656F" w:rsidRPr="003B0C82" w:rsidRDefault="0042346D" w:rsidP="00FF656F">
            <w:pPr>
              <w:jc w:val="both"/>
            </w:pPr>
            <w:r w:rsidRPr="0042346D">
              <w:t>Zgodnie z informacjami Ministra Gospodarki Morskiej i Żeglugi Śródlądowej</w:t>
            </w:r>
            <w:r w:rsidR="00B35600">
              <w:t>,</w:t>
            </w:r>
            <w:r w:rsidRPr="0042346D">
              <w:t xml:space="preserve"> </w:t>
            </w:r>
            <w:r>
              <w:t>p</w:t>
            </w:r>
            <w:r w:rsidR="00FF656F" w:rsidRPr="003B0C82">
              <w:t>roblematyka gospodarowania odpadami pochodzącymi ze statków morskich regulowana jest m.in. przez Międzynarodową konwencję o zapobieganiu zanieczyszczenia morza przez statki MARPOL 73/78, konwencję o zatapianiu oraz konwencję helsińską obejmującą swoim zakresem obszar Morza Bałtyckiego.</w:t>
            </w:r>
          </w:p>
          <w:p w14:paraId="10E71657" w14:textId="77777777" w:rsidR="00FF656F" w:rsidRPr="003B0C82" w:rsidRDefault="00FF656F" w:rsidP="00FF656F">
            <w:pPr>
              <w:jc w:val="both"/>
            </w:pPr>
            <w:r w:rsidRPr="003B0C82">
              <w:t>Ponadto w „Krajowym programie ochrony wód morskich” przyjętym przez Radę Ministrów 2 grudnia 2016 r., który został opracowany w uzgodnieniu z ministrem właściwym ds. gospodarki morskiej, zawarto m. in. działania związane z minimalizacją odpadów w środowisku morskim.</w:t>
            </w:r>
          </w:p>
          <w:p w14:paraId="7F873B43" w14:textId="328555FB" w:rsidR="00290D83" w:rsidRPr="00290D83" w:rsidRDefault="00DA23E3" w:rsidP="00290D83">
            <w:pPr>
              <w:jc w:val="both"/>
            </w:pPr>
            <w:r>
              <w:t>R</w:t>
            </w:r>
            <w:r w:rsidR="00FF656F" w:rsidRPr="00DE3569">
              <w:t>ealizacja zdania, może być podejmowana przez Okręgowych Inspektorów Rybołówstwa Morskiego, na zasadzie współdziałania z innymi organami właściwymi do spraw odpadów w środowisku morskim, przede wszystkim z terenowymi organami administracji morskiej, wojewódzkimi inspektoratami ochrony środowiska oraz z podmiotami zarządzającymi portami i przystaniami morskimi, w związku z artykułem 107 ust. 3 ustawy z dnia 19 grudnia 2014 r. o rybołówstwie morskim</w:t>
            </w:r>
            <w:r w:rsidR="00290D83">
              <w:t xml:space="preserve"> </w:t>
            </w:r>
            <w:r w:rsidR="00290D83" w:rsidRPr="00290D83">
              <w:t>(Dz. U. z 2018 r. poz. 514 i 650).</w:t>
            </w:r>
          </w:p>
          <w:p w14:paraId="0C50D130" w14:textId="5ABBDF17" w:rsidR="00FF656F" w:rsidRPr="00DE3569" w:rsidRDefault="00FF656F" w:rsidP="00FF656F">
            <w:pPr>
              <w:jc w:val="both"/>
            </w:pPr>
          </w:p>
          <w:p w14:paraId="1375E027" w14:textId="42A45B77" w:rsidR="00FF656F" w:rsidRPr="003B0C82" w:rsidRDefault="00FF656F" w:rsidP="00FF656F">
            <w:pPr>
              <w:jc w:val="both"/>
            </w:pPr>
            <w:r w:rsidRPr="00DE3569">
              <w:t>Z informacji uzyskanych od OIRM w Szczecinie wynika</w:t>
            </w:r>
            <w:r w:rsidRPr="003B0C82">
              <w:t xml:space="preserve">, iż w latach 2014-2016 współdziałanie to było realizowane przez OIRM </w:t>
            </w:r>
            <w:r w:rsidRPr="003B0C82">
              <w:lastRenderedPageBreak/>
              <w:t>na zasadzie doraźnego zgłaszania ww. organom i podmiotom zauważonych drobnych nieprawidłowości dotyczących odpadów w środowisku morskim, bez uczestniczenia</w:t>
            </w:r>
            <w:r>
              <w:t xml:space="preserve"> </w:t>
            </w:r>
            <w:r w:rsidRPr="003B0C82">
              <w:t>w ewentualnych dalszych postępowaniach prowadzonych przez te organy. Ponadto,</w:t>
            </w:r>
            <w:r w:rsidR="00F3258D">
              <w:t xml:space="preserve"> </w:t>
            </w:r>
            <w:r w:rsidRPr="003B0C82">
              <w:t>OIRM</w:t>
            </w:r>
            <w:r>
              <w:t xml:space="preserve"> </w:t>
            </w:r>
            <w:r w:rsidRPr="003B0C82">
              <w:t>w Szczecinie w ww. latach wielokrotnie, protokolarnie przekazywał Kapitanom Portów wydobyte z morza przez inspektorów rybołówstwa morskiego mienie o nieustalonej własności w postaci nieoznakowanych narzędzi połowowych, często o cechach odpadów, z uwagi na znaczny stopień dekompozycji materiału, z którego były zbudowane.</w:t>
            </w:r>
          </w:p>
          <w:p w14:paraId="2C24F71C" w14:textId="77777777" w:rsidR="00FF656F" w:rsidRDefault="00FF656F" w:rsidP="00FF656F">
            <w:pPr>
              <w:jc w:val="both"/>
            </w:pPr>
            <w:r w:rsidRPr="003B0C82">
              <w:t>W latach 2014 - 2016 dodatkowymi czynnościami podejmowanymi przez OIRM w Szczecinie, w celu zapewnienia działań dotyczących propagowania dobrych praktyk dotyczących odpadów w środowisku morskim, było rozpowszechnianie wśród armatorów rybołówstwa morskiego oraz osób wykonujących rybołówstwo rekreacyjne materiałów informacyjnych otrzymywanych</w:t>
            </w:r>
            <w:r>
              <w:t xml:space="preserve"> </w:t>
            </w:r>
            <w:r w:rsidRPr="003B0C82">
              <w:t>od organizacji pozarządowych i instytucji naukowo-badawczych. Materiały te to wydawnictwa, ulotki, plakaty itp., dotyczące wyników akcji wydobywania z morza utraconych narzędzi połowowych i badań w tym zakresie, a także zgłaszania i zabezpieczania martwych organizmów morskich podlegających ochronie na podstawie przepisów o ochronie przyrody.</w:t>
            </w:r>
          </w:p>
        </w:tc>
      </w:tr>
      <w:tr w:rsidR="00FF656F" w14:paraId="3C670C37" w14:textId="77777777" w:rsidTr="00553DF5">
        <w:tc>
          <w:tcPr>
            <w:tcW w:w="539" w:type="dxa"/>
          </w:tcPr>
          <w:p w14:paraId="31FAABB2" w14:textId="5FDCFD35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7899ACD8" w14:textId="77777777" w:rsidR="00FF656F" w:rsidRPr="002C4810" w:rsidRDefault="00FF656F" w:rsidP="00FF656F">
            <w:pPr>
              <w:jc w:val="both"/>
            </w:pPr>
            <w:r w:rsidRPr="00036EB7">
              <w:t>Identyfikacja zatopionych wraków i dokładne zbadanie skali zagrożenia jakie stanowią.</w:t>
            </w:r>
          </w:p>
        </w:tc>
        <w:tc>
          <w:tcPr>
            <w:tcW w:w="1985" w:type="dxa"/>
          </w:tcPr>
          <w:p w14:paraId="2CDB4572" w14:textId="7B6C96D4" w:rsidR="00B31849" w:rsidRPr="002C4810" w:rsidRDefault="00B31849" w:rsidP="00FF656F">
            <w:pPr>
              <w:snapToGrid w:val="0"/>
            </w:pPr>
            <w:r>
              <w:t>-</w:t>
            </w:r>
          </w:p>
        </w:tc>
        <w:tc>
          <w:tcPr>
            <w:tcW w:w="1676" w:type="dxa"/>
          </w:tcPr>
          <w:p w14:paraId="7303F2FD" w14:textId="77777777" w:rsidR="00FF656F" w:rsidRPr="00E726EB" w:rsidRDefault="00FF656F" w:rsidP="00FF656F">
            <w:r w:rsidRPr="00E726EB">
              <w:t>-</w:t>
            </w:r>
          </w:p>
        </w:tc>
        <w:tc>
          <w:tcPr>
            <w:tcW w:w="1559" w:type="dxa"/>
          </w:tcPr>
          <w:p w14:paraId="798DC62C" w14:textId="77777777" w:rsidR="00FF656F" w:rsidRPr="002C4810" w:rsidRDefault="00FF656F" w:rsidP="00FF656F">
            <w:r w:rsidRPr="008E485C">
              <w:t>Str. 114 podrozdział 5.4.5</w:t>
            </w:r>
            <w:r>
              <w:t>, pkt</w:t>
            </w:r>
            <w:r w:rsidRPr="008E485C">
              <w:t xml:space="preserve"> </w:t>
            </w:r>
            <w:r>
              <w:t xml:space="preserve">4 </w:t>
            </w:r>
            <w:r w:rsidRPr="008E485C">
              <w:t>w Kpgo 2022</w:t>
            </w:r>
          </w:p>
        </w:tc>
        <w:tc>
          <w:tcPr>
            <w:tcW w:w="5670" w:type="dxa"/>
          </w:tcPr>
          <w:p w14:paraId="4EF88656" w14:textId="7B7C73A3" w:rsidR="00FF656F" w:rsidRPr="00C93BCB" w:rsidRDefault="00B31849" w:rsidP="00FF656F">
            <w:pPr>
              <w:jc w:val="both"/>
            </w:pPr>
            <w:r w:rsidRPr="00B31849">
              <w:t xml:space="preserve">Zgodnie z informacjami Ministra Gospodarki Morskiej i Żeglugi Śródlądowej </w:t>
            </w:r>
            <w:r>
              <w:t>w</w:t>
            </w:r>
            <w:r w:rsidRPr="00C93BCB">
              <w:t xml:space="preserve"> </w:t>
            </w:r>
            <w:r w:rsidR="00FF656F" w:rsidRPr="00C93BCB">
              <w:t>2014 roku minister właściwy ds. gospodarki morskiej współpracował</w:t>
            </w:r>
            <w:r w:rsidR="00FF656F">
              <w:t xml:space="preserve"> </w:t>
            </w:r>
            <w:r w:rsidR="00FF656F" w:rsidRPr="00C93BCB">
              <w:t>z ministrem ds. środowiska w celu przygotowania ekspertyz dotyczących „Badań oraz analiz zagrożeń dla środowiska morskiego, jakie stanowi wrak statku Stuttgart wraz z analizą istniejących technologii utylizacji zagrożenia i możliwości ich wykorzystania”. Analizy rozpoczęły się</w:t>
            </w:r>
            <w:r w:rsidR="00F3258D">
              <w:t xml:space="preserve"> </w:t>
            </w:r>
            <w:r w:rsidR="00FF656F" w:rsidRPr="00C93BCB">
              <w:t>w pierwszej połowie 2015 roku i trwały do sierpnia 2016 roku.</w:t>
            </w:r>
          </w:p>
          <w:p w14:paraId="2F4670ED" w14:textId="425E1896" w:rsidR="00FF656F" w:rsidRDefault="00FF656F" w:rsidP="00750CC2">
            <w:pPr>
              <w:jc w:val="both"/>
            </w:pPr>
            <w:r w:rsidRPr="00C93BCB">
              <w:t xml:space="preserve">Ponadto Instytut Morski w Gdańsku, w ramach prac statutowych, w 2014 roku przeprowadził monitoring skażeń dna morskiego w </w:t>
            </w:r>
            <w:r w:rsidRPr="00C93BCB">
              <w:lastRenderedPageBreak/>
              <w:t xml:space="preserve">rejonie zalegania wraku EBERHARD </w:t>
            </w:r>
            <w:r>
              <w:t>oraz w 2016 r.</w:t>
            </w:r>
            <w:r w:rsidRPr="00A561A1">
              <w:t xml:space="preserve"> w rejonie zalegania</w:t>
            </w:r>
            <w:r>
              <w:t xml:space="preserve"> wraku FRANKEN. Instytut Morski</w:t>
            </w:r>
            <w:r w:rsidRPr="00A561A1">
              <w:t xml:space="preserve"> w Gdańsku </w:t>
            </w:r>
            <w:r w:rsidRPr="00C93BCB">
              <w:t>przekazuje informacje o nowych wrakach, obiektach niebezpiecznych oraz niewybuchach do Biura Hydrograficznego Marynarki Wojennej, Urzędów Morskich oraz Wojewódzkiego Konserwatora Zabytków w Gdańsku. W 2014 r. przekazano informacje o 9 wrakach oraz 5 innych obiektach niebezpiecznych</w:t>
            </w:r>
            <w:r w:rsidR="00F3258D">
              <w:t xml:space="preserve"> </w:t>
            </w:r>
            <w:r w:rsidRPr="00C93BCB">
              <w:t>(torpedy, miny, pozostałości obiektów wojskowych). W 2015 r. przekazano informacje o 3 wrakach i 2 obiektach niebezpiecznych, zaś w 2016 roku</w:t>
            </w:r>
            <w:r>
              <w:t xml:space="preserve"> </w:t>
            </w:r>
            <w:r w:rsidRPr="00C93BCB">
              <w:t>o 5 wrakach.</w:t>
            </w:r>
          </w:p>
        </w:tc>
      </w:tr>
      <w:tr w:rsidR="00FF656F" w14:paraId="16B46304" w14:textId="77777777" w:rsidTr="00553DF5">
        <w:tc>
          <w:tcPr>
            <w:tcW w:w="539" w:type="dxa"/>
          </w:tcPr>
          <w:p w14:paraId="584C64D5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</w:tcPr>
          <w:p w14:paraId="05C52AD4" w14:textId="77777777" w:rsidR="00FF656F" w:rsidRPr="002C4810" w:rsidRDefault="00FF656F" w:rsidP="00FF656F">
            <w:pPr>
              <w:jc w:val="both"/>
            </w:pPr>
            <w:r w:rsidRPr="00C04B41">
              <w:t>Kontynuowanie działań mających na celu ograniczenie ilości odpadów trafiających do środowiska morskiego ze względu na recykling dużych jednostek dokonywany bez przestrzegania zasad mających na celu ochronę środowiska</w:t>
            </w:r>
          </w:p>
        </w:tc>
        <w:tc>
          <w:tcPr>
            <w:tcW w:w="1985" w:type="dxa"/>
          </w:tcPr>
          <w:p w14:paraId="049EE627" w14:textId="062FFA88" w:rsidR="00FF656F" w:rsidRPr="002C4810" w:rsidRDefault="00B31849" w:rsidP="00B31849">
            <w:pPr>
              <w:snapToGrid w:val="0"/>
            </w:pPr>
            <w:r>
              <w:t>-</w:t>
            </w:r>
          </w:p>
        </w:tc>
        <w:tc>
          <w:tcPr>
            <w:tcW w:w="1676" w:type="dxa"/>
          </w:tcPr>
          <w:p w14:paraId="5EF01958" w14:textId="77777777" w:rsidR="00FF656F" w:rsidRPr="00E726EB" w:rsidRDefault="00FF656F" w:rsidP="00FF656F">
            <w:r w:rsidRPr="00E726EB">
              <w:t>-</w:t>
            </w:r>
          </w:p>
        </w:tc>
        <w:tc>
          <w:tcPr>
            <w:tcW w:w="1559" w:type="dxa"/>
          </w:tcPr>
          <w:p w14:paraId="3C092122" w14:textId="77777777" w:rsidR="00FF656F" w:rsidRPr="002C4810" w:rsidRDefault="00FF656F" w:rsidP="00FF656F">
            <w:r w:rsidRPr="008E485C">
              <w:t>Str. 114 podrozdział 5.4.5</w:t>
            </w:r>
            <w:r>
              <w:t xml:space="preserve">, </w:t>
            </w:r>
            <w:r w:rsidRPr="008E485C">
              <w:t>pkt 4 w Kpgo 2022</w:t>
            </w:r>
          </w:p>
        </w:tc>
        <w:tc>
          <w:tcPr>
            <w:tcW w:w="5670" w:type="dxa"/>
          </w:tcPr>
          <w:p w14:paraId="0DF4F401" w14:textId="70ECCBF8" w:rsidR="009A7D38" w:rsidRPr="009A7D38" w:rsidRDefault="00B31849" w:rsidP="009A7D38">
            <w:pPr>
              <w:jc w:val="both"/>
            </w:pPr>
            <w:r w:rsidRPr="00B31849">
              <w:t xml:space="preserve">Zgodnie z informacjami Ministra Gospodarki Morskiej i Żeglugi Śródlądowej </w:t>
            </w:r>
            <w:r>
              <w:t>w</w:t>
            </w:r>
            <w:r w:rsidRPr="00DE6C6E">
              <w:t xml:space="preserve"> </w:t>
            </w:r>
            <w:r w:rsidR="00FF656F" w:rsidRPr="00DE6C6E">
              <w:t>lipcu 2016 r. rozpoczęto prace nad projektem ustawy o zmianie ustawy</w:t>
            </w:r>
            <w:r w:rsidR="00FF656F">
              <w:t xml:space="preserve"> </w:t>
            </w:r>
            <w:r w:rsidR="00FF656F" w:rsidRPr="00DE6C6E">
              <w:t>o zapobieganiu zanieczyszczaniu</w:t>
            </w:r>
            <w:r w:rsidR="00F3258D">
              <w:t xml:space="preserve"> </w:t>
            </w:r>
            <w:r w:rsidR="00FF656F" w:rsidRPr="00DE6C6E">
              <w:t>morza przez statki oraz niektórych innych ustaw</w:t>
            </w:r>
            <w:r w:rsidR="009A7D38">
              <w:t xml:space="preserve"> (o</w:t>
            </w:r>
            <w:r w:rsidR="009A7D38" w:rsidRPr="009A7D38">
              <w:t>becnie ustawa z dnia 24 lutego 2017 r. o zmianie ustawy o zapobieganiu zanieczyszczaniu morza przez statki oraz niektórych innych ustaw (Dz.U. 2017 poz. 785)</w:t>
            </w:r>
            <w:r w:rsidR="009A7D38">
              <w:t>).</w:t>
            </w:r>
          </w:p>
          <w:p w14:paraId="4548D8DD" w14:textId="3C8A0A84" w:rsidR="00FF656F" w:rsidRDefault="00FF656F" w:rsidP="009A7D38">
            <w:pPr>
              <w:jc w:val="both"/>
            </w:pPr>
            <w:r w:rsidRPr="00DE6C6E">
              <w:t>Projektowana regulacja służyła między innymi stosowaniu rozporządzenia Parlamentu Europejskiego i Rady (UE) nr 1257/2013 z dnia 20 listopada 2013 r. w sprawie recyklingu statków oraz zmieniającego rozporządzenie (WE) nr 1013/2006 i dyrektywę 2009/16/WE (Dz. Urz. UE L 330 z 10.12.2013, str. 1). W projekcie ustawy ustanowiono sankcje dla armatorów, którzy eksploatują lub poddają recyklingowi statki niezgodnie z rozporządzeniem 1257/2013. Sankcje dotyczyć będą czynności polegających na: eksploatacji statku bez ważnego świadectwa potwierdzającego dokonanie przeglądu oraz kierowaniu statku celem recyklingu do zakładu, który nie znajduje się w europejskim wykazie zakładów recyklingu statków. Proponowany górny wymiar kary ustalono na 600 000 SDR. Ustanowienie kar</w:t>
            </w:r>
            <w:r w:rsidR="00F3258D">
              <w:t xml:space="preserve"> </w:t>
            </w:r>
            <w:r w:rsidRPr="00DE6C6E">
              <w:t xml:space="preserve">ma na celu zapewnienie, że statki podnoszące banderę kraju UE (czyli również polskie statki) będą poddawane recyklingowi jedynie w zakładach </w:t>
            </w:r>
            <w:r w:rsidRPr="00DE6C6E">
              <w:lastRenderedPageBreak/>
              <w:t>spełniających odpowiednie wymogi</w:t>
            </w:r>
            <w:r w:rsidR="00F3258D">
              <w:t xml:space="preserve"> </w:t>
            </w:r>
            <w:r w:rsidRPr="00DE6C6E">
              <w:t>w zakresie ochrony środowiska</w:t>
            </w:r>
            <w:r>
              <w:t xml:space="preserve"> </w:t>
            </w:r>
            <w:r w:rsidRPr="00DE6C6E">
              <w:t>i przepisów bhp, co przyczyni się do eliminacji występowania negatywnych skutków dla zdrowia i życia ludzkiego oraz środowiska związanych z demontażem statków w miejscach nieprzystosowanych do tego. Dodatkowo ustanowienie w przepisach krajowych właściwych organów odpowiedzialnych za nadzór nad zakładami recyklingu statków i wydających stosowne zezwolenia</w:t>
            </w:r>
            <w:r>
              <w:t>,</w:t>
            </w:r>
            <w:r w:rsidRPr="00DE6C6E">
              <w:t xml:space="preserve"> w tym zakresie oraz wspomniane wcześniej kary przyczyni się do większej kontroli nad systemem zagospodarowania statków wycofanych z eksploatacji.</w:t>
            </w:r>
          </w:p>
        </w:tc>
      </w:tr>
      <w:tr w:rsidR="00FF656F" w:rsidRPr="00CC20C7" w14:paraId="34152E7E" w14:textId="77777777" w:rsidTr="00553DF5">
        <w:trPr>
          <w:trHeight w:val="1033"/>
        </w:trPr>
        <w:tc>
          <w:tcPr>
            <w:tcW w:w="539" w:type="dxa"/>
          </w:tcPr>
          <w:p w14:paraId="214743EE" w14:textId="77777777" w:rsidR="00FF656F" w:rsidRPr="00B30A50" w:rsidRDefault="00FF656F" w:rsidP="00553DF5">
            <w:pPr>
              <w:pStyle w:val="Akapitzlist"/>
              <w:numPr>
                <w:ilvl w:val="0"/>
                <w:numId w:val="25"/>
              </w:numPr>
              <w:ind w:left="284" w:right="-113"/>
              <w:jc w:val="center"/>
            </w:pPr>
          </w:p>
        </w:tc>
        <w:tc>
          <w:tcPr>
            <w:tcW w:w="3401" w:type="dxa"/>
            <w:vAlign w:val="center"/>
          </w:tcPr>
          <w:p w14:paraId="4605D322" w14:textId="77777777" w:rsidR="00FF656F" w:rsidRPr="00CC20C7" w:rsidRDefault="00FF656F" w:rsidP="00750CC2">
            <w:pPr>
              <w:tabs>
                <w:tab w:val="left" w:pos="459"/>
              </w:tabs>
              <w:ind w:left="36"/>
            </w:pPr>
            <w:r w:rsidRPr="00CC20C7">
              <w:t>Przegląd legislacji w zakresie ustawy o odpadach oraz ustaw dotyczących odpadów powstających z produktów, to jest:</w:t>
            </w:r>
          </w:p>
          <w:p w14:paraId="688198BD" w14:textId="77777777" w:rsidR="00FF656F" w:rsidRPr="00CC20C7" w:rsidRDefault="00FF656F" w:rsidP="00750CC2">
            <w:pPr>
              <w:numPr>
                <w:ilvl w:val="0"/>
                <w:numId w:val="2"/>
              </w:numPr>
              <w:tabs>
                <w:tab w:val="left" w:pos="320"/>
              </w:tabs>
              <w:ind w:left="320" w:hanging="284"/>
            </w:pPr>
            <w:r w:rsidRPr="00CC20C7">
              <w:t>ustawy z dnia 24 kwietnia 2009 r. o bateriach i akumulatorach;</w:t>
            </w:r>
          </w:p>
          <w:p w14:paraId="4ECD7F3F" w14:textId="77777777" w:rsidR="00FF656F" w:rsidRPr="00CC20C7" w:rsidRDefault="00FF656F" w:rsidP="00750CC2">
            <w:pPr>
              <w:numPr>
                <w:ilvl w:val="0"/>
                <w:numId w:val="2"/>
              </w:numPr>
              <w:tabs>
                <w:tab w:val="left" w:pos="320"/>
              </w:tabs>
              <w:ind w:left="320" w:hanging="284"/>
            </w:pPr>
            <w:r w:rsidRPr="00CC20C7">
              <w:t xml:space="preserve">ustawy z dnia 11 września 2015 r. o zużytym sprzęcie elektrycznym </w:t>
            </w:r>
            <w:r w:rsidRPr="00CC20C7">
              <w:br/>
              <w:t>i elektronicznym;</w:t>
            </w:r>
          </w:p>
          <w:p w14:paraId="3C978601" w14:textId="77777777" w:rsidR="00FF656F" w:rsidRPr="00CC20C7" w:rsidRDefault="00FF656F" w:rsidP="00750CC2">
            <w:pPr>
              <w:numPr>
                <w:ilvl w:val="0"/>
                <w:numId w:val="2"/>
              </w:numPr>
              <w:tabs>
                <w:tab w:val="left" w:pos="320"/>
              </w:tabs>
              <w:ind w:left="320" w:hanging="284"/>
            </w:pPr>
            <w:r w:rsidRPr="00CC20C7">
              <w:t>ustawy z dnia 13 czerwca 2013 r. o gospodarce opakowaniami i odpadami opakowaniowymi;</w:t>
            </w:r>
          </w:p>
          <w:p w14:paraId="1BFCA058" w14:textId="77777777" w:rsidR="00FF656F" w:rsidRPr="00CC20C7" w:rsidRDefault="00FF656F" w:rsidP="00750CC2">
            <w:pPr>
              <w:numPr>
                <w:ilvl w:val="0"/>
                <w:numId w:val="2"/>
              </w:numPr>
              <w:tabs>
                <w:tab w:val="left" w:pos="320"/>
              </w:tabs>
              <w:ind w:left="320" w:hanging="284"/>
            </w:pPr>
            <w:r w:rsidRPr="00CC20C7">
              <w:t xml:space="preserve">ustawy z dnia 20 stycznia 2005 r. o recyklingu pojazdów wycofanych </w:t>
            </w:r>
            <w:r w:rsidRPr="00CC20C7">
              <w:br/>
              <w:t>z eksploatacji,</w:t>
            </w:r>
          </w:p>
          <w:p w14:paraId="45A00A7D" w14:textId="77777777" w:rsidR="00FF656F" w:rsidRPr="00CC20C7" w:rsidRDefault="00FF656F" w:rsidP="00FF656F">
            <w:pPr>
              <w:spacing w:after="240"/>
            </w:pPr>
            <w:r w:rsidRPr="00CC20C7">
              <w:t>w celu identyfikacji i wprowadzenia koniecznych zmian dla zapewnienia sprawnego systemu gospodarki odpadami komunalnymi, w tym odpadami powstającymi z produktów.</w:t>
            </w:r>
          </w:p>
        </w:tc>
        <w:tc>
          <w:tcPr>
            <w:tcW w:w="1985" w:type="dxa"/>
          </w:tcPr>
          <w:p w14:paraId="27BF31EE" w14:textId="77777777" w:rsidR="00FF656F" w:rsidRPr="00CC20C7" w:rsidRDefault="00FF656F" w:rsidP="00FF656F">
            <w:r w:rsidRPr="00CC20C7">
              <w:t>MŚ</w:t>
            </w:r>
          </w:p>
        </w:tc>
        <w:tc>
          <w:tcPr>
            <w:tcW w:w="1676" w:type="dxa"/>
          </w:tcPr>
          <w:p w14:paraId="6CEB4D1A" w14:textId="77777777" w:rsidR="00FF656F" w:rsidRPr="00CC20C7" w:rsidRDefault="00FF656F" w:rsidP="00FF656F">
            <w:pPr>
              <w:spacing w:after="240"/>
            </w:pPr>
            <w:r w:rsidRPr="00CC20C7">
              <w:t>2016-2017 r.</w:t>
            </w:r>
          </w:p>
        </w:tc>
        <w:tc>
          <w:tcPr>
            <w:tcW w:w="1559" w:type="dxa"/>
          </w:tcPr>
          <w:p w14:paraId="19F9CFE4" w14:textId="77777777" w:rsidR="00FF656F" w:rsidRPr="00CC20C7" w:rsidRDefault="00FF656F" w:rsidP="00FF656F">
            <w:pPr>
              <w:spacing w:after="240"/>
            </w:pPr>
            <w:r w:rsidRPr="009F56FD">
              <w:t>Tab. 44 poz. 24</w:t>
            </w:r>
            <w:r w:rsidRPr="009F56FD">
              <w:br/>
              <w:t>w Kpgo 2022</w:t>
            </w:r>
          </w:p>
        </w:tc>
        <w:tc>
          <w:tcPr>
            <w:tcW w:w="5670" w:type="dxa"/>
          </w:tcPr>
          <w:p w14:paraId="6D93B4DB" w14:textId="097640D0" w:rsidR="00477696" w:rsidRPr="00477696" w:rsidRDefault="00FF656F" w:rsidP="00477696">
            <w:pPr>
              <w:spacing w:after="240"/>
              <w:jc w:val="both"/>
            </w:pPr>
            <w:r w:rsidRPr="00BC736C">
              <w:t>Przegląd został dokonany W wyniku tego przeglądu zostały zaproponowane zmiany ustawy z 13 czerwca</w:t>
            </w:r>
            <w:r w:rsidR="00F3258D">
              <w:t xml:space="preserve"> </w:t>
            </w:r>
            <w:r w:rsidRPr="00BC736C">
              <w:t>2013 r. o gospodarce opakowaniami i odpadami opakowaniowymi, mające na celu uszczelnienie systemu zagospodarowania odpadów opakowaniowych. Zmienione przepisy w tym zakresie, wprowadzone nowelizacją ww. ustawy przyjętą w 2017 roku, weszły w życie 1 stycznia 2018 roku</w:t>
            </w:r>
            <w:r w:rsidR="00477696">
              <w:t xml:space="preserve"> (u</w:t>
            </w:r>
            <w:r w:rsidR="00477696" w:rsidRPr="00477696">
              <w:t>stawa z dnia 12 października 2017 r. o zmianie ustawy o gospodarce opakowaniami i odpadami opakowaniowymi oraz niektórych innych ustaw (Dz.U. poz. 2056)</w:t>
            </w:r>
            <w:r w:rsidR="00477696">
              <w:t>).</w:t>
            </w:r>
          </w:p>
          <w:p w14:paraId="1FA9119B" w14:textId="1FE78237" w:rsidR="00FF656F" w:rsidRPr="00BC736C" w:rsidRDefault="00FF656F" w:rsidP="00477696">
            <w:pPr>
              <w:spacing w:after="240"/>
              <w:jc w:val="both"/>
            </w:pPr>
          </w:p>
        </w:tc>
      </w:tr>
    </w:tbl>
    <w:p w14:paraId="06879605" w14:textId="4F85A94F" w:rsidR="009D3D78" w:rsidRDefault="009D3D78">
      <w:r>
        <w:br w:type="page"/>
      </w:r>
    </w:p>
    <w:p w14:paraId="73B2CAA3" w14:textId="3A6F5786" w:rsidR="00880305" w:rsidRPr="00880305" w:rsidRDefault="00880305" w:rsidP="00880305">
      <w:pPr>
        <w:rPr>
          <w:rFonts w:ascii="Times New Roman" w:hAnsi="Times New Roman" w:cs="Times New Roman"/>
          <w:b/>
          <w:sz w:val="24"/>
          <w:szCs w:val="24"/>
        </w:rPr>
      </w:pPr>
      <w:r w:rsidRPr="00880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8030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D3F565A" w14:textId="0C4C1137" w:rsidR="00880305" w:rsidRPr="00880305" w:rsidRDefault="00880305" w:rsidP="00880305">
      <w:pPr>
        <w:rPr>
          <w:rFonts w:ascii="Times New Roman" w:hAnsi="Times New Roman" w:cs="Times New Roman"/>
          <w:b/>
          <w:sz w:val="24"/>
          <w:szCs w:val="24"/>
        </w:rPr>
      </w:pPr>
      <w:r w:rsidRPr="00880305">
        <w:rPr>
          <w:rFonts w:ascii="Times New Roman" w:hAnsi="Times New Roman" w:cs="Times New Roman"/>
          <w:b/>
          <w:sz w:val="24"/>
          <w:szCs w:val="24"/>
        </w:rPr>
        <w:t>Przedsięwzięcia realizowane przez Narodowe Centrum Badań i Rozwoju w ramach Kpgo</w:t>
      </w:r>
    </w:p>
    <w:tbl>
      <w:tblPr>
        <w:tblStyle w:val="Tabela-Siatka1"/>
        <w:tblW w:w="140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6663"/>
        <w:gridCol w:w="3969"/>
      </w:tblGrid>
      <w:tr w:rsidR="00880305" w:rsidRPr="00880305" w14:paraId="016CB719" w14:textId="77777777" w:rsidTr="00880305">
        <w:trPr>
          <w:tblHeader/>
        </w:trPr>
        <w:tc>
          <w:tcPr>
            <w:tcW w:w="596" w:type="dxa"/>
            <w:shd w:val="clear" w:color="auto" w:fill="D9D9D9" w:themeFill="background1" w:themeFillShade="D9"/>
          </w:tcPr>
          <w:p w14:paraId="11D71313" w14:textId="77777777" w:rsidR="00880305" w:rsidRPr="00880305" w:rsidRDefault="00880305" w:rsidP="00880305">
            <w:pPr>
              <w:spacing w:before="360" w:after="360"/>
              <w:ind w:left="-76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hideMark/>
          </w:tcPr>
          <w:p w14:paraId="0303837E" w14:textId="77777777" w:rsidR="00880305" w:rsidRPr="00880305" w:rsidRDefault="00880305" w:rsidP="00880305">
            <w:pPr>
              <w:spacing w:before="360" w:after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projektu</w:t>
            </w:r>
          </w:p>
        </w:tc>
        <w:tc>
          <w:tcPr>
            <w:tcW w:w="6663" w:type="dxa"/>
            <w:shd w:val="clear" w:color="auto" w:fill="D9D9D9" w:themeFill="background1" w:themeFillShade="D9"/>
            <w:noWrap/>
            <w:hideMark/>
          </w:tcPr>
          <w:p w14:paraId="38D8261B" w14:textId="77777777" w:rsidR="00880305" w:rsidRPr="00880305" w:rsidRDefault="00880305" w:rsidP="00880305">
            <w:pPr>
              <w:spacing w:before="360" w:after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projektu</w:t>
            </w:r>
          </w:p>
        </w:tc>
        <w:tc>
          <w:tcPr>
            <w:tcW w:w="3969" w:type="dxa"/>
            <w:shd w:val="clear" w:color="auto" w:fill="D9D9D9" w:themeFill="background1" w:themeFillShade="D9"/>
            <w:hideMark/>
          </w:tcPr>
          <w:p w14:paraId="573AAF87" w14:textId="77777777" w:rsidR="00880305" w:rsidRPr="00880305" w:rsidRDefault="00880305" w:rsidP="00880305">
            <w:pPr>
              <w:spacing w:before="360" w:after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beneficjenta</w:t>
            </w:r>
          </w:p>
        </w:tc>
      </w:tr>
      <w:tr w:rsidR="00880305" w:rsidRPr="00880305" w14:paraId="02975ADB" w14:textId="77777777" w:rsidTr="00880305">
        <w:trPr>
          <w:tblHeader/>
        </w:trPr>
        <w:tc>
          <w:tcPr>
            <w:tcW w:w="596" w:type="dxa"/>
            <w:shd w:val="clear" w:color="auto" w:fill="D9D9D9" w:themeFill="background1" w:themeFillShade="D9"/>
          </w:tcPr>
          <w:p w14:paraId="07FE56AC" w14:textId="515932B9" w:rsidR="00880305" w:rsidRPr="00705814" w:rsidRDefault="00880305" w:rsidP="00880305">
            <w:pPr>
              <w:ind w:left="-76" w:right="-113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058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14:paraId="434FA8F9" w14:textId="1C452E20" w:rsidR="00880305" w:rsidRPr="00705814" w:rsidRDefault="00880305" w:rsidP="0088030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058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D9D9D9" w:themeFill="background1" w:themeFillShade="D9"/>
            <w:noWrap/>
          </w:tcPr>
          <w:p w14:paraId="621243E7" w14:textId="7305805A" w:rsidR="00880305" w:rsidRPr="00705814" w:rsidRDefault="00880305" w:rsidP="0088030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058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1C3E0E3" w14:textId="1822CB43" w:rsidR="00880305" w:rsidRPr="00705814" w:rsidRDefault="00880305" w:rsidP="0088030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058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</w:tr>
      <w:tr w:rsidR="00880305" w:rsidRPr="00880305" w14:paraId="498A2F20" w14:textId="77777777" w:rsidTr="008456DC">
        <w:tc>
          <w:tcPr>
            <w:tcW w:w="14063" w:type="dxa"/>
            <w:gridSpan w:val="4"/>
            <w:vAlign w:val="center"/>
          </w:tcPr>
          <w:p w14:paraId="42B8E085" w14:textId="77777777" w:rsidR="00880305" w:rsidRPr="00880305" w:rsidRDefault="00880305" w:rsidP="0088030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Przedsięwzięcia realizowane przez Narodowe Centrum Badań i Rozwoju w ramach Kpgo 2014</w:t>
            </w:r>
          </w:p>
        </w:tc>
      </w:tr>
      <w:tr w:rsidR="00880305" w:rsidRPr="00880305" w14:paraId="1E3787CB" w14:textId="77777777" w:rsidTr="008456DC">
        <w:tc>
          <w:tcPr>
            <w:tcW w:w="596" w:type="dxa"/>
            <w:vAlign w:val="center"/>
          </w:tcPr>
          <w:p w14:paraId="553EB7A4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6217E05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POIR.01.01.01-00-0334/15</w:t>
            </w:r>
          </w:p>
        </w:tc>
        <w:tc>
          <w:tcPr>
            <w:tcW w:w="6663" w:type="dxa"/>
            <w:hideMark/>
          </w:tcPr>
          <w:p w14:paraId="4905B08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Innowacyjny ciąg technologiczny konwersji odpadów organicznych w nowatorskie, wysokojakościowe paliwa stałe</w:t>
            </w:r>
          </w:p>
        </w:tc>
        <w:tc>
          <w:tcPr>
            <w:tcW w:w="3969" w:type="dxa"/>
            <w:hideMark/>
          </w:tcPr>
          <w:p w14:paraId="7A515BB1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EKOPARTNER RECYKLING Sp. z o.o.</w:t>
            </w:r>
          </w:p>
        </w:tc>
      </w:tr>
      <w:tr w:rsidR="00880305" w:rsidRPr="00880305" w14:paraId="4630458D" w14:textId="77777777" w:rsidTr="008456DC">
        <w:tc>
          <w:tcPr>
            <w:tcW w:w="596" w:type="dxa"/>
          </w:tcPr>
          <w:p w14:paraId="53613F33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54C27A2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POIR.01.01.01-00-0338/15</w:t>
            </w:r>
          </w:p>
        </w:tc>
        <w:tc>
          <w:tcPr>
            <w:tcW w:w="6663" w:type="dxa"/>
            <w:hideMark/>
          </w:tcPr>
          <w:p w14:paraId="43D59A0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Minimalizacja odpadów opakowaniowych poprzez wprowadzenie nowoczesnej folii polipropylenowej o właściwościach wielokrotnego otwierania i zamykania.</w:t>
            </w:r>
          </w:p>
        </w:tc>
        <w:tc>
          <w:tcPr>
            <w:tcW w:w="3969" w:type="dxa"/>
            <w:hideMark/>
          </w:tcPr>
          <w:p w14:paraId="74824F7C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EUROCAST Sp. z o.o.</w:t>
            </w:r>
          </w:p>
        </w:tc>
      </w:tr>
      <w:tr w:rsidR="00880305" w:rsidRPr="00880305" w14:paraId="00DD46FF" w14:textId="77777777" w:rsidTr="008456DC">
        <w:tc>
          <w:tcPr>
            <w:tcW w:w="596" w:type="dxa"/>
          </w:tcPr>
          <w:p w14:paraId="44E915A7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3CF082E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POIR.01.01.01-00-0390/15</w:t>
            </w:r>
          </w:p>
        </w:tc>
        <w:tc>
          <w:tcPr>
            <w:tcW w:w="6663" w:type="dxa"/>
            <w:hideMark/>
          </w:tcPr>
          <w:p w14:paraId="71DBC77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innowacyjnego modelu wibratora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bezprzekładniowego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oraz przesiewacza do recyklingu odpadów</w:t>
            </w:r>
          </w:p>
        </w:tc>
        <w:tc>
          <w:tcPr>
            <w:tcW w:w="3969" w:type="dxa"/>
            <w:hideMark/>
          </w:tcPr>
          <w:p w14:paraId="177F11D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PRZEDSIĘBIORSTWO PROJEKTOWANIA I REALIZACJI " GOSTER " ANNA PATER</w:t>
            </w:r>
          </w:p>
        </w:tc>
      </w:tr>
      <w:tr w:rsidR="00880305" w:rsidRPr="00880305" w14:paraId="29BE3E9D" w14:textId="77777777" w:rsidTr="008456DC">
        <w:tc>
          <w:tcPr>
            <w:tcW w:w="596" w:type="dxa"/>
          </w:tcPr>
          <w:p w14:paraId="43F953D7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F12499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POIR.01.01.01-00-0724/15</w:t>
            </w:r>
          </w:p>
        </w:tc>
        <w:tc>
          <w:tcPr>
            <w:tcW w:w="6663" w:type="dxa"/>
            <w:hideMark/>
          </w:tcPr>
          <w:p w14:paraId="0B9D9C5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technologii modyfikacji i procesu przetwarzania odpadowych materiałów tekstylnych na bazie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politereftalanu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etylenu z dodatkiem silikonu.</w:t>
            </w:r>
          </w:p>
        </w:tc>
        <w:tc>
          <w:tcPr>
            <w:tcW w:w="3969" w:type="dxa"/>
            <w:hideMark/>
          </w:tcPr>
          <w:p w14:paraId="38838CD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HURTOWNIA TWORZYW SZTUCZNYCH " GRANULAT BIS" MARCIN CHMIELARZ</w:t>
            </w:r>
          </w:p>
        </w:tc>
      </w:tr>
      <w:tr w:rsidR="00880305" w:rsidRPr="00880305" w14:paraId="230EDD45" w14:textId="77777777" w:rsidTr="008456DC">
        <w:tc>
          <w:tcPr>
            <w:tcW w:w="596" w:type="dxa"/>
          </w:tcPr>
          <w:p w14:paraId="0274DD36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585721B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POIR.01.01.01-00-1106/15</w:t>
            </w:r>
          </w:p>
        </w:tc>
        <w:tc>
          <w:tcPr>
            <w:tcW w:w="6663" w:type="dxa"/>
            <w:hideMark/>
          </w:tcPr>
          <w:p w14:paraId="21B5D6DC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Zagospodarowanie poprodukcyjnych odpadów zielarskich do wytwarzania ekologicznych preparatów biobójczych.</w:t>
            </w:r>
          </w:p>
        </w:tc>
        <w:tc>
          <w:tcPr>
            <w:tcW w:w="3969" w:type="dxa"/>
            <w:hideMark/>
          </w:tcPr>
          <w:p w14:paraId="58006AD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DARY NATURY MIROSŁAW ANGIELCZYK</w:t>
            </w:r>
          </w:p>
        </w:tc>
      </w:tr>
      <w:tr w:rsidR="00880305" w:rsidRPr="00880305" w14:paraId="46087624" w14:textId="77777777" w:rsidTr="008456DC">
        <w:tc>
          <w:tcPr>
            <w:tcW w:w="596" w:type="dxa"/>
          </w:tcPr>
          <w:p w14:paraId="0C4B77E3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642EE7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POIR.01.01.01-00-1120/15</w:t>
            </w:r>
          </w:p>
        </w:tc>
        <w:tc>
          <w:tcPr>
            <w:tcW w:w="6663" w:type="dxa"/>
            <w:hideMark/>
          </w:tcPr>
          <w:p w14:paraId="10C260FC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Wysokosprawna biotechnologia „zgazowania” osadów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pościekowych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i organicznych odpadów przemysłowych i komunalnych z wykorzystaniem procesu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kofermentacji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, pozyskaniem biogazu i produkcją energii elektrycznej, ciepła i preparatu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organiczno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– mineralnego.</w:t>
            </w:r>
          </w:p>
        </w:tc>
        <w:tc>
          <w:tcPr>
            <w:tcW w:w="3969" w:type="dxa"/>
            <w:hideMark/>
          </w:tcPr>
          <w:p w14:paraId="0C0F67A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EKOLOG Sp. z o.o. </w:t>
            </w:r>
          </w:p>
        </w:tc>
      </w:tr>
      <w:tr w:rsidR="00880305" w:rsidRPr="00880305" w14:paraId="0A26E9FF" w14:textId="77777777" w:rsidTr="008456DC">
        <w:tc>
          <w:tcPr>
            <w:tcW w:w="596" w:type="dxa"/>
          </w:tcPr>
          <w:p w14:paraId="4DA92250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6C962BB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POIR.01.01.01-00-1330/15</w:t>
            </w:r>
          </w:p>
        </w:tc>
        <w:tc>
          <w:tcPr>
            <w:tcW w:w="6663" w:type="dxa"/>
            <w:hideMark/>
          </w:tcPr>
          <w:p w14:paraId="5818888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Prace badawczo – rozwojowe w zakresie zagospodarowania odpadów z branży rolno - spożywczej</w:t>
            </w:r>
          </w:p>
        </w:tc>
        <w:tc>
          <w:tcPr>
            <w:tcW w:w="3969" w:type="dxa"/>
            <w:hideMark/>
          </w:tcPr>
          <w:p w14:paraId="4039F2D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IMA POLSKA S.A.</w:t>
            </w:r>
          </w:p>
        </w:tc>
      </w:tr>
      <w:tr w:rsidR="00880305" w:rsidRPr="00880305" w14:paraId="551C3DCE" w14:textId="77777777" w:rsidTr="008456DC">
        <w:tc>
          <w:tcPr>
            <w:tcW w:w="596" w:type="dxa"/>
          </w:tcPr>
          <w:p w14:paraId="11EB89B9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40F268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POIR.01.01.01-00-1604/15</w:t>
            </w:r>
          </w:p>
        </w:tc>
        <w:tc>
          <w:tcPr>
            <w:tcW w:w="6663" w:type="dxa"/>
            <w:hideMark/>
          </w:tcPr>
          <w:p w14:paraId="24458B8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Innowacje procesowe pozwalające na zagospodarowanie przekazywanych na składowiska odpadów powstających w czasie produkcji aluminium i jego stopów</w:t>
            </w:r>
          </w:p>
        </w:tc>
        <w:tc>
          <w:tcPr>
            <w:tcW w:w="3969" w:type="dxa"/>
            <w:hideMark/>
          </w:tcPr>
          <w:p w14:paraId="1B06209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JN METAL JERZY NYKIEL</w:t>
            </w:r>
          </w:p>
        </w:tc>
      </w:tr>
      <w:tr w:rsidR="00880305" w:rsidRPr="00880305" w14:paraId="2649EB9C" w14:textId="77777777" w:rsidTr="008456DC">
        <w:tc>
          <w:tcPr>
            <w:tcW w:w="596" w:type="dxa"/>
          </w:tcPr>
          <w:p w14:paraId="377BED97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85686F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POIG.01.04.00-18-334/13</w:t>
            </w:r>
          </w:p>
        </w:tc>
        <w:tc>
          <w:tcPr>
            <w:tcW w:w="6663" w:type="dxa"/>
            <w:hideMark/>
          </w:tcPr>
          <w:p w14:paraId="1A843B5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Proekologiczna technologia do odzysku i zagospodarowania strumieni węglowodorowych z wybranych grup odpadów</w:t>
            </w:r>
          </w:p>
        </w:tc>
        <w:tc>
          <w:tcPr>
            <w:tcW w:w="3969" w:type="dxa"/>
            <w:hideMark/>
          </w:tcPr>
          <w:p w14:paraId="5DE49C3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Flukar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Sp. z o.o.</w:t>
            </w:r>
          </w:p>
        </w:tc>
      </w:tr>
      <w:tr w:rsidR="00880305" w:rsidRPr="00880305" w14:paraId="124D3DBE" w14:textId="77777777" w:rsidTr="008456DC">
        <w:tc>
          <w:tcPr>
            <w:tcW w:w="596" w:type="dxa"/>
          </w:tcPr>
          <w:p w14:paraId="7CE07C49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B0CFAB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POIG.01.04.00-22-173/13</w:t>
            </w:r>
          </w:p>
        </w:tc>
        <w:tc>
          <w:tcPr>
            <w:tcW w:w="6663" w:type="dxa"/>
            <w:hideMark/>
          </w:tcPr>
          <w:p w14:paraId="4BFA7A5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Przeprowadzenie prac badawczych w zakresie nowej technologii i urządzenia do automatycznego sortowania odpadów opakowaniowych ze zbiórki selektywnej</w:t>
            </w:r>
          </w:p>
        </w:tc>
        <w:tc>
          <w:tcPr>
            <w:tcW w:w="3969" w:type="dxa"/>
            <w:hideMark/>
          </w:tcPr>
          <w:p w14:paraId="6335641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"SORPLA" Sp. z o.o.</w:t>
            </w:r>
          </w:p>
        </w:tc>
      </w:tr>
      <w:tr w:rsidR="00880305" w:rsidRPr="00880305" w14:paraId="47FC4FF9" w14:textId="77777777" w:rsidTr="008456DC">
        <w:tc>
          <w:tcPr>
            <w:tcW w:w="596" w:type="dxa"/>
          </w:tcPr>
          <w:p w14:paraId="384659C5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7DEEB9CC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6/BIOSUCK/SUSFOOD1/2014</w:t>
            </w:r>
          </w:p>
        </w:tc>
        <w:tc>
          <w:tcPr>
            <w:tcW w:w="6663" w:type="dxa"/>
            <w:hideMark/>
          </w:tcPr>
          <w:p w14:paraId="4A5AC22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System wspomagania decyzji w zakresie optymalizacji zbierania odpadów z zastosowaniem technologii próżniowej z jednoczesną produkcją bioenergii z odpadów - BIOSUCK</w:t>
            </w:r>
          </w:p>
        </w:tc>
        <w:tc>
          <w:tcPr>
            <w:tcW w:w="3969" w:type="dxa"/>
            <w:hideMark/>
          </w:tcPr>
          <w:p w14:paraId="16D6C2C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Ekologii Terenów Uprzemysłowionych</w:t>
            </w:r>
          </w:p>
        </w:tc>
      </w:tr>
      <w:tr w:rsidR="00880305" w:rsidRPr="00880305" w14:paraId="29D41B96" w14:textId="77777777" w:rsidTr="008456DC">
        <w:tc>
          <w:tcPr>
            <w:tcW w:w="596" w:type="dxa"/>
          </w:tcPr>
          <w:p w14:paraId="3594D5F4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9E0CAF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BIOSTRATEG2/297310/13/NCBR/2016</w:t>
            </w:r>
          </w:p>
        </w:tc>
        <w:tc>
          <w:tcPr>
            <w:tcW w:w="6663" w:type="dxa"/>
            <w:hideMark/>
          </w:tcPr>
          <w:p w14:paraId="2FD6E04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Innowacyjna instalacja produkująca wodór i metan metodą mikrobiologiczną z odpadów i produktów ubocznych przemysłu cukrowniczego wraz z zastosowaniami otrzymywanych gazów i zapewnieniem samowystarczalności energetycznej oczyszczalni ścieków w cukrowni</w:t>
            </w:r>
          </w:p>
        </w:tc>
        <w:tc>
          <w:tcPr>
            <w:tcW w:w="3969" w:type="dxa"/>
            <w:hideMark/>
          </w:tcPr>
          <w:p w14:paraId="61663A3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Biochemii i Biofizyki PAN</w:t>
            </w:r>
          </w:p>
        </w:tc>
      </w:tr>
      <w:tr w:rsidR="00880305" w:rsidRPr="00880305" w14:paraId="68533C31" w14:textId="77777777" w:rsidTr="008456DC">
        <w:tc>
          <w:tcPr>
            <w:tcW w:w="596" w:type="dxa"/>
          </w:tcPr>
          <w:p w14:paraId="49330788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5B4D58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BIOSTRATEG2/298338/2/NCBR/2016</w:t>
            </w:r>
          </w:p>
        </w:tc>
        <w:tc>
          <w:tcPr>
            <w:tcW w:w="6663" w:type="dxa"/>
            <w:hideMark/>
          </w:tcPr>
          <w:p w14:paraId="4570962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Technologia przetwarzania surowców i odpadów rolniczych do kwasu D-mlekowego (D-LA) i (S)-(-)-2--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chloropropionowego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(S-MCP), półproduktów do otrzymywania biodegradowalnych polimerów i nowoczesnych herbicydów. Technologie i formy użytkowe herbicydów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aryloksyfenoksypropionowych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fenoksypropionowych</w:t>
            </w:r>
            <w:proofErr w:type="spellEnd"/>
          </w:p>
        </w:tc>
        <w:tc>
          <w:tcPr>
            <w:tcW w:w="3969" w:type="dxa"/>
            <w:hideMark/>
          </w:tcPr>
          <w:p w14:paraId="0B3E190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Przemysłu Organicznego</w:t>
            </w:r>
          </w:p>
        </w:tc>
      </w:tr>
      <w:tr w:rsidR="00880305" w:rsidRPr="00880305" w14:paraId="42EEB8CD" w14:textId="77777777" w:rsidTr="008456DC">
        <w:tc>
          <w:tcPr>
            <w:tcW w:w="596" w:type="dxa"/>
          </w:tcPr>
          <w:p w14:paraId="5C392068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69D123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BIOSTRATEG2/298357/8/NCBR/2016</w:t>
            </w:r>
          </w:p>
        </w:tc>
        <w:tc>
          <w:tcPr>
            <w:tcW w:w="6663" w:type="dxa"/>
            <w:hideMark/>
          </w:tcPr>
          <w:p w14:paraId="22D1B3E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Opracowanie innowacyjnych technologii kompleksowej utylizacji odpadów generowanych w trakcie tuczu trzody chlewnej</w:t>
            </w:r>
          </w:p>
        </w:tc>
        <w:tc>
          <w:tcPr>
            <w:tcW w:w="3969" w:type="dxa"/>
            <w:hideMark/>
          </w:tcPr>
          <w:p w14:paraId="61EFADE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Politechnika Wrocławska</w:t>
            </w:r>
          </w:p>
        </w:tc>
      </w:tr>
      <w:tr w:rsidR="00880305" w:rsidRPr="00880305" w14:paraId="2FFA2A58" w14:textId="77777777" w:rsidTr="008456DC">
        <w:tc>
          <w:tcPr>
            <w:tcW w:w="596" w:type="dxa"/>
          </w:tcPr>
          <w:p w14:paraId="5B347A6C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074954E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DZP/RID-I-06/1/NCBR/2016</w:t>
            </w:r>
          </w:p>
        </w:tc>
        <w:tc>
          <w:tcPr>
            <w:tcW w:w="6663" w:type="dxa"/>
            <w:hideMark/>
          </w:tcPr>
          <w:p w14:paraId="234C042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Wykorzystanie materiałów pochodzących z recyklingu</w:t>
            </w:r>
          </w:p>
        </w:tc>
        <w:tc>
          <w:tcPr>
            <w:tcW w:w="3969" w:type="dxa"/>
            <w:hideMark/>
          </w:tcPr>
          <w:p w14:paraId="36492AC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Badawczy Dróg i Mostów</w:t>
            </w:r>
          </w:p>
        </w:tc>
      </w:tr>
      <w:tr w:rsidR="00880305" w:rsidRPr="00880305" w14:paraId="10DE77F4" w14:textId="77777777" w:rsidTr="008456DC">
        <w:tc>
          <w:tcPr>
            <w:tcW w:w="596" w:type="dxa"/>
          </w:tcPr>
          <w:p w14:paraId="2B3751F4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044FCB4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ERA-MIN/RAREASH/01/2015</w:t>
            </w:r>
          </w:p>
        </w:tc>
        <w:tc>
          <w:tcPr>
            <w:tcW w:w="6663" w:type="dxa"/>
            <w:hideMark/>
          </w:tcPr>
          <w:p w14:paraId="0435D071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Ocena możliwych kierunków recyklingu ciężkich i rzadkich metali odzyskanych z odpadowych produktów spalania</w:t>
            </w:r>
          </w:p>
        </w:tc>
        <w:tc>
          <w:tcPr>
            <w:tcW w:w="3969" w:type="dxa"/>
            <w:hideMark/>
          </w:tcPr>
          <w:p w14:paraId="1F8A1F4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Główny Instytut Górnictwa</w:t>
            </w:r>
          </w:p>
        </w:tc>
      </w:tr>
      <w:tr w:rsidR="00880305" w:rsidRPr="00880305" w14:paraId="4DADBFBC" w14:textId="77777777" w:rsidTr="008456DC">
        <w:tc>
          <w:tcPr>
            <w:tcW w:w="596" w:type="dxa"/>
          </w:tcPr>
          <w:p w14:paraId="41AC95F8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5022C21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ERA-NET-ERA-MIN/01/2014</w:t>
            </w:r>
          </w:p>
        </w:tc>
        <w:tc>
          <w:tcPr>
            <w:tcW w:w="6663" w:type="dxa"/>
            <w:hideMark/>
          </w:tcPr>
          <w:p w14:paraId="0F63AA1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Utylizowanie odpadów kopalnianych zawierających siarczki w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geopolimerach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- GEOSULF</w:t>
            </w:r>
          </w:p>
        </w:tc>
        <w:tc>
          <w:tcPr>
            <w:tcW w:w="3969" w:type="dxa"/>
            <w:hideMark/>
          </w:tcPr>
          <w:p w14:paraId="7D80B50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Akademia Górniczo-Hutnicza im. Stanisława Staszica</w:t>
            </w:r>
          </w:p>
        </w:tc>
      </w:tr>
      <w:tr w:rsidR="00880305" w:rsidRPr="00880305" w14:paraId="5E7AD353" w14:textId="77777777" w:rsidTr="008456DC">
        <w:tc>
          <w:tcPr>
            <w:tcW w:w="596" w:type="dxa"/>
          </w:tcPr>
          <w:p w14:paraId="1DA1623F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5342C14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GEKON1/O3/213552/28/2015</w:t>
            </w:r>
          </w:p>
        </w:tc>
        <w:tc>
          <w:tcPr>
            <w:tcW w:w="6663" w:type="dxa"/>
            <w:hideMark/>
          </w:tcPr>
          <w:p w14:paraId="42FDE26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Biokowersja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odpadów pofermentacyjnych z biogazowni: ochrona wód i paliwo III generacji -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BiOdPal</w:t>
            </w:r>
            <w:proofErr w:type="spellEnd"/>
          </w:p>
        </w:tc>
        <w:tc>
          <w:tcPr>
            <w:tcW w:w="3969" w:type="dxa"/>
            <w:hideMark/>
          </w:tcPr>
          <w:p w14:paraId="20E3CEA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EKOSPOT Sp. z o.o.</w:t>
            </w:r>
          </w:p>
        </w:tc>
      </w:tr>
      <w:tr w:rsidR="00880305" w:rsidRPr="00880305" w14:paraId="431EF707" w14:textId="77777777" w:rsidTr="008456DC">
        <w:tc>
          <w:tcPr>
            <w:tcW w:w="596" w:type="dxa"/>
          </w:tcPr>
          <w:p w14:paraId="2909F304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7DBCAE7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GEKON1/O3/213667/3/2014</w:t>
            </w:r>
          </w:p>
        </w:tc>
        <w:tc>
          <w:tcPr>
            <w:tcW w:w="6663" w:type="dxa"/>
            <w:hideMark/>
          </w:tcPr>
          <w:p w14:paraId="4A7D755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i wdrożenie innowacyjnej technologii oczyszczania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zachrmowanych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ścieków odpadem z odsiarczania spalin metodą półmokrą</w:t>
            </w:r>
          </w:p>
        </w:tc>
        <w:tc>
          <w:tcPr>
            <w:tcW w:w="3969" w:type="dxa"/>
            <w:hideMark/>
          </w:tcPr>
          <w:p w14:paraId="4A0BD60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ALWERNIA S.A.</w:t>
            </w:r>
          </w:p>
        </w:tc>
      </w:tr>
      <w:tr w:rsidR="00880305" w:rsidRPr="00880305" w14:paraId="0EA8618A" w14:textId="77777777" w:rsidTr="008456DC">
        <w:tc>
          <w:tcPr>
            <w:tcW w:w="596" w:type="dxa"/>
          </w:tcPr>
          <w:p w14:paraId="15F7A6A1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58C0353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GEKON1/O5/213093/15/2014</w:t>
            </w:r>
          </w:p>
        </w:tc>
        <w:tc>
          <w:tcPr>
            <w:tcW w:w="6663" w:type="dxa"/>
            <w:hideMark/>
          </w:tcPr>
          <w:p w14:paraId="60C6912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i wdrożenie technologii rozdrabniania i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dewulkanizacji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zużytych opon samochodowych dla ich recyklingu materiałowego i surowcowego - RECYKLING</w:t>
            </w:r>
          </w:p>
        </w:tc>
        <w:tc>
          <w:tcPr>
            <w:tcW w:w="3969" w:type="dxa"/>
            <w:hideMark/>
          </w:tcPr>
          <w:p w14:paraId="3CBBE0B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INOGUMA Sp. z o.o.</w:t>
            </w:r>
          </w:p>
        </w:tc>
      </w:tr>
      <w:tr w:rsidR="00880305" w:rsidRPr="00880305" w14:paraId="76F0A4D8" w14:textId="77777777" w:rsidTr="008456DC">
        <w:tc>
          <w:tcPr>
            <w:tcW w:w="596" w:type="dxa"/>
          </w:tcPr>
          <w:p w14:paraId="6CB2A02E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BB7F5A1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GEKON1/O5/213122/26/2015</w:t>
            </w:r>
          </w:p>
        </w:tc>
        <w:tc>
          <w:tcPr>
            <w:tcW w:w="6663" w:type="dxa"/>
            <w:hideMark/>
          </w:tcPr>
          <w:p w14:paraId="7B56F12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i przygotowanie do wdrożenia technologii wytwarzania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siarkobetonów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w oparciu o produkty odpadowe z energetyki i przemysłu petrochemicznego - SIARKOBET</w:t>
            </w:r>
          </w:p>
        </w:tc>
        <w:tc>
          <w:tcPr>
            <w:tcW w:w="3969" w:type="dxa"/>
            <w:hideMark/>
          </w:tcPr>
          <w:p w14:paraId="516DA8C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Centrum Wdrożeniowo Innowacyjne Sp. z o.o.</w:t>
            </w:r>
          </w:p>
        </w:tc>
      </w:tr>
      <w:tr w:rsidR="00880305" w:rsidRPr="00880305" w14:paraId="24B2FFFA" w14:textId="77777777" w:rsidTr="008456DC">
        <w:tc>
          <w:tcPr>
            <w:tcW w:w="596" w:type="dxa"/>
          </w:tcPr>
          <w:p w14:paraId="08F0E869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D10B40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GEKON1/O5/213240/35/2015</w:t>
            </w:r>
          </w:p>
        </w:tc>
        <w:tc>
          <w:tcPr>
            <w:tcW w:w="6663" w:type="dxa"/>
            <w:hideMark/>
          </w:tcPr>
          <w:p w14:paraId="24D726A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Innowacyjne i bezpieczne ekologiczne metody unieszkodliwiania pyłów, żużli i popiołów ze spalarni odpadów komunalnych i innych procesów termicznych</w:t>
            </w:r>
          </w:p>
        </w:tc>
        <w:tc>
          <w:tcPr>
            <w:tcW w:w="3969" w:type="dxa"/>
            <w:hideMark/>
          </w:tcPr>
          <w:p w14:paraId="6CF240F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Mo-BRUK S.A.</w:t>
            </w:r>
          </w:p>
        </w:tc>
      </w:tr>
      <w:tr w:rsidR="00880305" w:rsidRPr="00880305" w14:paraId="59CAC96C" w14:textId="77777777" w:rsidTr="008456DC">
        <w:tc>
          <w:tcPr>
            <w:tcW w:w="596" w:type="dxa"/>
          </w:tcPr>
          <w:p w14:paraId="0212CECC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6942BB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GEKON1/O5/213972/12/2014</w:t>
            </w:r>
          </w:p>
        </w:tc>
        <w:tc>
          <w:tcPr>
            <w:tcW w:w="6663" w:type="dxa"/>
            <w:hideMark/>
          </w:tcPr>
          <w:p w14:paraId="1D5D1F5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PowerCanâ„˘200:  Kontenerowa, przenośna, modułowa jednostka kogeneracyjna do rozproszonej, niemal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bezemisyjnej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produkcji prądu i ciepła z odpadów i biomasy w miejscu ich wytwarzania - POWERCAN</w:t>
            </w:r>
          </w:p>
        </w:tc>
        <w:tc>
          <w:tcPr>
            <w:tcW w:w="3969" w:type="dxa"/>
            <w:hideMark/>
          </w:tcPr>
          <w:p w14:paraId="1888F92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SOLIDEA Sp. z o.o.</w:t>
            </w:r>
          </w:p>
        </w:tc>
      </w:tr>
      <w:tr w:rsidR="00880305" w:rsidRPr="00880305" w14:paraId="7986FBA7" w14:textId="77777777" w:rsidTr="008456DC">
        <w:tc>
          <w:tcPr>
            <w:tcW w:w="596" w:type="dxa"/>
          </w:tcPr>
          <w:p w14:paraId="539E0AED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71160601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GEKON1/O5/213992/11/2014</w:t>
            </w:r>
          </w:p>
        </w:tc>
        <w:tc>
          <w:tcPr>
            <w:tcW w:w="6663" w:type="dxa"/>
            <w:hideMark/>
          </w:tcPr>
          <w:p w14:paraId="74F1416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Opracowanie i wdrożenie technologii recyklingu poprodukcyjnych odpadów taśmy stalowej - EKOSTAL</w:t>
            </w:r>
          </w:p>
        </w:tc>
        <w:tc>
          <w:tcPr>
            <w:tcW w:w="3969" w:type="dxa"/>
            <w:hideMark/>
          </w:tcPr>
          <w:p w14:paraId="6666318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NOVA STAL Sp. z o.o.</w:t>
            </w:r>
          </w:p>
        </w:tc>
      </w:tr>
      <w:tr w:rsidR="00880305" w:rsidRPr="00880305" w14:paraId="26C15332" w14:textId="77777777" w:rsidTr="008456DC">
        <w:tc>
          <w:tcPr>
            <w:tcW w:w="596" w:type="dxa"/>
          </w:tcPr>
          <w:p w14:paraId="4A714049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75BC0BD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GEKON1/O5/214543/38/2015</w:t>
            </w:r>
          </w:p>
        </w:tc>
        <w:tc>
          <w:tcPr>
            <w:tcW w:w="6663" w:type="dxa"/>
            <w:hideMark/>
          </w:tcPr>
          <w:p w14:paraId="4A1FBA8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Proekologiczne wytwarzanie nawozów organiczno-mineralnych na bazie odpadów: ubocznych produktów spalania i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biogazyfikacji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biomasy</w:t>
            </w:r>
          </w:p>
        </w:tc>
        <w:tc>
          <w:tcPr>
            <w:tcW w:w="3969" w:type="dxa"/>
            <w:hideMark/>
          </w:tcPr>
          <w:p w14:paraId="3E42E11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ELPOLOGISTYKA Sp. z o.o.</w:t>
            </w:r>
          </w:p>
        </w:tc>
      </w:tr>
      <w:tr w:rsidR="00880305" w:rsidRPr="00880305" w14:paraId="3D725C8D" w14:textId="77777777" w:rsidTr="008456DC">
        <w:tc>
          <w:tcPr>
            <w:tcW w:w="596" w:type="dxa"/>
          </w:tcPr>
          <w:p w14:paraId="61A16EF7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092AF6B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GEKON2/O2/266586/2/2015</w:t>
            </w:r>
          </w:p>
        </w:tc>
        <w:tc>
          <w:tcPr>
            <w:tcW w:w="6663" w:type="dxa"/>
            <w:hideMark/>
          </w:tcPr>
          <w:p w14:paraId="50477D0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Badania nad opracowaniem innowacyjnej,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prośrodowiskowej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technologii wytwarzania miedzianych wyrobów przewodowych z wykorzystaniem odpadów poprodukcyjnych</w:t>
            </w:r>
          </w:p>
        </w:tc>
        <w:tc>
          <w:tcPr>
            <w:tcW w:w="3969" w:type="dxa"/>
            <w:hideMark/>
          </w:tcPr>
          <w:p w14:paraId="6195733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Fabryka Przewodów Energetycznych S.A.</w:t>
            </w:r>
          </w:p>
        </w:tc>
      </w:tr>
      <w:tr w:rsidR="00880305" w:rsidRPr="00880305" w14:paraId="3270026D" w14:textId="77777777" w:rsidTr="008456DC">
        <w:tc>
          <w:tcPr>
            <w:tcW w:w="596" w:type="dxa"/>
          </w:tcPr>
          <w:p w14:paraId="675556F3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FF59E4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GEKON2/O5/266425/18/2015</w:t>
            </w:r>
          </w:p>
        </w:tc>
        <w:tc>
          <w:tcPr>
            <w:tcW w:w="6663" w:type="dxa"/>
            <w:hideMark/>
          </w:tcPr>
          <w:p w14:paraId="1CC659F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Odzysk metali szlachetnych w procesie recyklingu złomu elektronicznego</w:t>
            </w:r>
          </w:p>
        </w:tc>
        <w:tc>
          <w:tcPr>
            <w:tcW w:w="3969" w:type="dxa"/>
            <w:hideMark/>
          </w:tcPr>
          <w:p w14:paraId="0075635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TDM ELECTRONICS S.A.</w:t>
            </w:r>
          </w:p>
        </w:tc>
      </w:tr>
      <w:tr w:rsidR="00880305" w:rsidRPr="00880305" w14:paraId="3E5C845D" w14:textId="77777777" w:rsidTr="008456DC">
        <w:tc>
          <w:tcPr>
            <w:tcW w:w="596" w:type="dxa"/>
          </w:tcPr>
          <w:p w14:paraId="0E19EDF0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3C9C31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GEKON2/O5/266929/16/2015</w:t>
            </w:r>
          </w:p>
        </w:tc>
        <w:tc>
          <w:tcPr>
            <w:tcW w:w="6663" w:type="dxa"/>
            <w:hideMark/>
          </w:tcPr>
          <w:p w14:paraId="3E4E936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Nowatorska Technologia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maksymalizujaca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wykorzystanie ciepła z odpadów w procesie produkcji klinkieru</w:t>
            </w:r>
          </w:p>
        </w:tc>
        <w:tc>
          <w:tcPr>
            <w:tcW w:w="3969" w:type="dxa"/>
            <w:hideMark/>
          </w:tcPr>
          <w:p w14:paraId="6779952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CEMEX Polska Sp. z o.o.</w:t>
            </w:r>
          </w:p>
        </w:tc>
      </w:tr>
      <w:tr w:rsidR="00880305" w:rsidRPr="00880305" w14:paraId="5E346566" w14:textId="77777777" w:rsidTr="008456DC">
        <w:tc>
          <w:tcPr>
            <w:tcW w:w="596" w:type="dxa"/>
          </w:tcPr>
          <w:p w14:paraId="7E4EB348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C40C6A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GEKON2/O5/267917/14/2015</w:t>
            </w:r>
          </w:p>
        </w:tc>
        <w:tc>
          <w:tcPr>
            <w:tcW w:w="6663" w:type="dxa"/>
            <w:hideMark/>
          </w:tcPr>
          <w:p w14:paraId="4C117A9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Produkcja lekkich ceramicznych agregatów z materiałów odpadowych - EKOKERMAZYT</w:t>
            </w:r>
          </w:p>
        </w:tc>
        <w:tc>
          <w:tcPr>
            <w:tcW w:w="3969" w:type="dxa"/>
            <w:hideMark/>
          </w:tcPr>
          <w:p w14:paraId="5598B3B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Kapadora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Sp. z o.o.</w:t>
            </w:r>
          </w:p>
        </w:tc>
      </w:tr>
      <w:tr w:rsidR="00880305" w:rsidRPr="00880305" w14:paraId="448BB245" w14:textId="77777777" w:rsidTr="008456DC">
        <w:tc>
          <w:tcPr>
            <w:tcW w:w="596" w:type="dxa"/>
          </w:tcPr>
          <w:p w14:paraId="1B22F10B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685F78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GEKON2/O5/268002/17/2015</w:t>
            </w:r>
          </w:p>
        </w:tc>
        <w:tc>
          <w:tcPr>
            <w:tcW w:w="6663" w:type="dxa"/>
            <w:hideMark/>
          </w:tcPr>
          <w:p w14:paraId="7C76E42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EkoRDF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- innowacyjna technologia wytwarzania paliwa alternatywnego z odpadów komunalnych dla elektrowni i elektrociepłowni - kluczowym elementem systemu gospodarki odpadami w Polsce</w:t>
            </w:r>
          </w:p>
        </w:tc>
        <w:tc>
          <w:tcPr>
            <w:tcW w:w="3969" w:type="dxa"/>
            <w:hideMark/>
          </w:tcPr>
          <w:p w14:paraId="781B25F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EKO-BIOMASA Sp. z o.o.</w:t>
            </w:r>
          </w:p>
        </w:tc>
      </w:tr>
      <w:tr w:rsidR="00880305" w:rsidRPr="00880305" w14:paraId="6B8B92DA" w14:textId="77777777" w:rsidTr="008456DC">
        <w:tc>
          <w:tcPr>
            <w:tcW w:w="596" w:type="dxa"/>
          </w:tcPr>
          <w:p w14:paraId="3E42D68F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52E0F7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GEKON2/O5/268278/22/2016</w:t>
            </w:r>
          </w:p>
        </w:tc>
        <w:tc>
          <w:tcPr>
            <w:tcW w:w="6663" w:type="dxa"/>
            <w:hideMark/>
          </w:tcPr>
          <w:p w14:paraId="7313B75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Zwiększenie recyklingu makulatury oraz zmniejszenie energochłonności i poprawa efektywności procesu suszenia w maszynie papierniczej poprzez zastosowanie układów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mikrodyszowych</w:t>
            </w:r>
            <w:proofErr w:type="spellEnd"/>
          </w:p>
        </w:tc>
        <w:tc>
          <w:tcPr>
            <w:tcW w:w="3969" w:type="dxa"/>
            <w:hideMark/>
          </w:tcPr>
          <w:p w14:paraId="566E965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Prywatne Przedsiębiorstwo Produkcyjno-Handlowe LAMIX Mirosław Laszko</w:t>
            </w:r>
          </w:p>
        </w:tc>
      </w:tr>
      <w:tr w:rsidR="00880305" w:rsidRPr="00880305" w14:paraId="7C4DCA99" w14:textId="77777777" w:rsidTr="008456DC">
        <w:tc>
          <w:tcPr>
            <w:tcW w:w="596" w:type="dxa"/>
          </w:tcPr>
          <w:p w14:paraId="648D94F4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69833E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GEKON2/O5/268313/8/2015</w:t>
            </w:r>
          </w:p>
        </w:tc>
        <w:tc>
          <w:tcPr>
            <w:tcW w:w="6663" w:type="dxa"/>
            <w:hideMark/>
          </w:tcPr>
          <w:p w14:paraId="380AED0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Odzysk Energii z Odpadów Komunalnych i Biomasy</w:t>
            </w:r>
          </w:p>
        </w:tc>
        <w:tc>
          <w:tcPr>
            <w:tcW w:w="3969" w:type="dxa"/>
            <w:hideMark/>
          </w:tcPr>
          <w:p w14:paraId="1634A29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Fabryka Kotłów FAKO S.A.</w:t>
            </w:r>
          </w:p>
        </w:tc>
      </w:tr>
      <w:tr w:rsidR="00880305" w:rsidRPr="00880305" w14:paraId="0627B96E" w14:textId="77777777" w:rsidTr="008456DC">
        <w:tc>
          <w:tcPr>
            <w:tcW w:w="596" w:type="dxa"/>
          </w:tcPr>
          <w:p w14:paraId="4F6250AF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09BE223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INNOTECH-K3/IN3/11/226247/NCBR/14</w:t>
            </w:r>
          </w:p>
        </w:tc>
        <w:tc>
          <w:tcPr>
            <w:tcW w:w="6663" w:type="dxa"/>
            <w:hideMark/>
          </w:tcPr>
          <w:p w14:paraId="5E336D3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Model systemu wsparcia logistycznego procesu zagospodarowania odpadów komunalnych w przedsiębiorstwie WPO ALBA S.A.</w:t>
            </w:r>
          </w:p>
        </w:tc>
        <w:tc>
          <w:tcPr>
            <w:tcW w:w="3969" w:type="dxa"/>
            <w:hideMark/>
          </w:tcPr>
          <w:p w14:paraId="75F2FED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Politechnika Wrocławska</w:t>
            </w:r>
          </w:p>
        </w:tc>
      </w:tr>
      <w:tr w:rsidR="00880305" w:rsidRPr="00880305" w14:paraId="1C8EFD32" w14:textId="77777777" w:rsidTr="008456DC">
        <w:tc>
          <w:tcPr>
            <w:tcW w:w="596" w:type="dxa"/>
          </w:tcPr>
          <w:p w14:paraId="3D016855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7A0C67A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INNOTECH-K3/IN3/3/225765/NCBR/15</w:t>
            </w:r>
          </w:p>
        </w:tc>
        <w:tc>
          <w:tcPr>
            <w:tcW w:w="6663" w:type="dxa"/>
            <w:hideMark/>
          </w:tcPr>
          <w:p w14:paraId="48F09B2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Destrukt: Innowacyjna technologia mieszanek mineralno-asfaltowych z zastosowaniem materiału z recyklingu nawierzchni asfaltowej</w:t>
            </w:r>
          </w:p>
        </w:tc>
        <w:tc>
          <w:tcPr>
            <w:tcW w:w="3969" w:type="dxa"/>
            <w:hideMark/>
          </w:tcPr>
          <w:p w14:paraId="517BFC6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Badawczy Dróg i Mostów</w:t>
            </w:r>
          </w:p>
        </w:tc>
      </w:tr>
      <w:tr w:rsidR="00880305" w:rsidRPr="00880305" w14:paraId="23F9283E" w14:textId="77777777" w:rsidTr="008456DC">
        <w:tc>
          <w:tcPr>
            <w:tcW w:w="596" w:type="dxa"/>
          </w:tcPr>
          <w:p w14:paraId="349431B8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34442F6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INNOTECH-K3/IN3/38/228116/NCBR/15</w:t>
            </w:r>
          </w:p>
        </w:tc>
        <w:tc>
          <w:tcPr>
            <w:tcW w:w="6663" w:type="dxa"/>
            <w:hideMark/>
          </w:tcPr>
          <w:p w14:paraId="36DBF1F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Innowacyjne materiały z recyklingu zwiększające trwałość obiektów mostowych</w:t>
            </w:r>
          </w:p>
        </w:tc>
        <w:tc>
          <w:tcPr>
            <w:tcW w:w="3969" w:type="dxa"/>
            <w:hideMark/>
          </w:tcPr>
          <w:p w14:paraId="2EDE5F42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Promost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Consulting T.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Siwowski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Spółka Jawna</w:t>
            </w:r>
          </w:p>
        </w:tc>
      </w:tr>
      <w:tr w:rsidR="00880305" w:rsidRPr="00880305" w14:paraId="12BEB92F" w14:textId="77777777" w:rsidTr="008456DC">
        <w:tc>
          <w:tcPr>
            <w:tcW w:w="596" w:type="dxa"/>
          </w:tcPr>
          <w:p w14:paraId="28898E05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01A11D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LIDER/010/207/L-5/13/NCBR/2014</w:t>
            </w:r>
          </w:p>
        </w:tc>
        <w:tc>
          <w:tcPr>
            <w:tcW w:w="6663" w:type="dxa"/>
            <w:hideMark/>
          </w:tcPr>
          <w:p w14:paraId="432B052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Doskonalenie procesu biosyntezy naturalnych substancji słodzących z surowców odpadowych przez drożdże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Yarrowia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lipolytica</w:t>
            </w:r>
            <w:proofErr w:type="spellEnd"/>
          </w:p>
        </w:tc>
        <w:tc>
          <w:tcPr>
            <w:tcW w:w="3969" w:type="dxa"/>
            <w:hideMark/>
          </w:tcPr>
          <w:p w14:paraId="64725F4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Uniwersytet Przyrodniczy we Wrocławiu</w:t>
            </w:r>
          </w:p>
        </w:tc>
      </w:tr>
      <w:tr w:rsidR="00880305" w:rsidRPr="00880305" w14:paraId="5FB6197D" w14:textId="77777777" w:rsidTr="008456DC">
        <w:tc>
          <w:tcPr>
            <w:tcW w:w="596" w:type="dxa"/>
          </w:tcPr>
          <w:p w14:paraId="39D2F9FF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6DCD6EC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LIDER/300/L-6/14/NCBR/2015</w:t>
            </w:r>
          </w:p>
        </w:tc>
        <w:tc>
          <w:tcPr>
            <w:tcW w:w="6663" w:type="dxa"/>
            <w:hideMark/>
          </w:tcPr>
          <w:p w14:paraId="7D1F722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metody wytwarzania biodegradowalnego nanokompozytu na bazie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nanocelulozy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uzyskanej z odpadu owocowo-warzywnego</w:t>
            </w:r>
          </w:p>
        </w:tc>
        <w:tc>
          <w:tcPr>
            <w:tcW w:w="3969" w:type="dxa"/>
            <w:hideMark/>
          </w:tcPr>
          <w:p w14:paraId="3A6C16D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Agrofizyki im. Bohdana Dobrzańskiego PAN</w:t>
            </w:r>
          </w:p>
        </w:tc>
      </w:tr>
      <w:tr w:rsidR="00880305" w:rsidRPr="00880305" w14:paraId="7FDBAC77" w14:textId="77777777" w:rsidTr="008456DC">
        <w:tc>
          <w:tcPr>
            <w:tcW w:w="596" w:type="dxa"/>
          </w:tcPr>
          <w:p w14:paraId="67FCBE41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661BA86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LIDER/384/L-6/14/NCBR/2015</w:t>
            </w:r>
          </w:p>
        </w:tc>
        <w:tc>
          <w:tcPr>
            <w:tcW w:w="6663" w:type="dxa"/>
            <w:hideMark/>
          </w:tcPr>
          <w:p w14:paraId="4E17E9E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Zastosowanie energetycznych surowców odpadowych do wychwytywania gazowych form rtęci ze spalin</w:t>
            </w:r>
          </w:p>
        </w:tc>
        <w:tc>
          <w:tcPr>
            <w:tcW w:w="3969" w:type="dxa"/>
            <w:hideMark/>
          </w:tcPr>
          <w:p w14:paraId="067634F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Politechnika Lubelska</w:t>
            </w:r>
          </w:p>
        </w:tc>
      </w:tr>
      <w:tr w:rsidR="00880305" w:rsidRPr="00880305" w14:paraId="23DE0911" w14:textId="77777777" w:rsidTr="008456DC">
        <w:tc>
          <w:tcPr>
            <w:tcW w:w="596" w:type="dxa"/>
          </w:tcPr>
          <w:p w14:paraId="29745A47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6FB811C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PBS3/A2/21/2015</w:t>
            </w:r>
          </w:p>
        </w:tc>
        <w:tc>
          <w:tcPr>
            <w:tcW w:w="6663" w:type="dxa"/>
            <w:hideMark/>
          </w:tcPr>
          <w:p w14:paraId="03901F0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Opracowanie innowacyjnych technologii wykorzystania ubocznych produktów spalania biomasy w przemyśle materiałów budowlanych i rekultywacji składowisk odpadów wydobywczo-przetwórczych</w:t>
            </w:r>
          </w:p>
        </w:tc>
        <w:tc>
          <w:tcPr>
            <w:tcW w:w="3969" w:type="dxa"/>
            <w:hideMark/>
          </w:tcPr>
          <w:p w14:paraId="4B01EC9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Akademia Górniczo-Hutnicza im. Stanisława Staszica</w:t>
            </w:r>
          </w:p>
        </w:tc>
      </w:tr>
      <w:tr w:rsidR="00880305" w:rsidRPr="00880305" w14:paraId="65F6313C" w14:textId="77777777" w:rsidTr="008456DC">
        <w:tc>
          <w:tcPr>
            <w:tcW w:w="596" w:type="dxa"/>
          </w:tcPr>
          <w:p w14:paraId="180E8B19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00FB013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PBS3/B5/41/2015</w:t>
            </w:r>
          </w:p>
        </w:tc>
        <w:tc>
          <w:tcPr>
            <w:tcW w:w="6663" w:type="dxa"/>
            <w:hideMark/>
          </w:tcPr>
          <w:p w14:paraId="386A9198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Badania i opracowanie proekologicznej technologii otrzymywania żelaza z </w:t>
            </w:r>
            <w:r w:rsidRPr="008803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wykorzystaniem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żelazonośnych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materiałów odpadowych  i odpadowych tworzyw sztucznych</w:t>
            </w:r>
          </w:p>
        </w:tc>
        <w:tc>
          <w:tcPr>
            <w:tcW w:w="3969" w:type="dxa"/>
            <w:hideMark/>
          </w:tcPr>
          <w:p w14:paraId="6B603C4C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Politechnika Częstochowska</w:t>
            </w:r>
          </w:p>
        </w:tc>
      </w:tr>
      <w:tr w:rsidR="00880305" w:rsidRPr="00880305" w14:paraId="499B9E87" w14:textId="77777777" w:rsidTr="008456DC">
        <w:tc>
          <w:tcPr>
            <w:tcW w:w="596" w:type="dxa"/>
          </w:tcPr>
          <w:p w14:paraId="30CBADEE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0DC42D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STAIR/1/2016</w:t>
            </w:r>
          </w:p>
        </w:tc>
        <w:tc>
          <w:tcPr>
            <w:tcW w:w="6663" w:type="dxa"/>
            <w:hideMark/>
          </w:tcPr>
          <w:p w14:paraId="6CFD724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Nowatorska hybrydowa metoda odzysku miedzi z odpadów flotacyjnych</w:t>
            </w:r>
          </w:p>
        </w:tc>
        <w:tc>
          <w:tcPr>
            <w:tcW w:w="3969" w:type="dxa"/>
            <w:hideMark/>
          </w:tcPr>
          <w:p w14:paraId="5216A3E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Metali Nieżelaznych</w:t>
            </w:r>
          </w:p>
        </w:tc>
      </w:tr>
      <w:tr w:rsidR="00880305" w:rsidRPr="00880305" w14:paraId="104FD50E" w14:textId="77777777" w:rsidTr="008456DC">
        <w:tc>
          <w:tcPr>
            <w:tcW w:w="596" w:type="dxa"/>
          </w:tcPr>
          <w:p w14:paraId="721D7C4E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70369F5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TANGO1/268600/NCBR/2015</w:t>
            </w:r>
          </w:p>
        </w:tc>
        <w:tc>
          <w:tcPr>
            <w:tcW w:w="6663" w:type="dxa"/>
            <w:hideMark/>
          </w:tcPr>
          <w:p w14:paraId="7A8ABE5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System wspomagania rewitalizacji zwałowisk odpadów górniczych przy użyciu narzędzi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geoinformatycznych</w:t>
            </w:r>
            <w:proofErr w:type="spellEnd"/>
          </w:p>
        </w:tc>
        <w:tc>
          <w:tcPr>
            <w:tcW w:w="3969" w:type="dxa"/>
            <w:hideMark/>
          </w:tcPr>
          <w:p w14:paraId="37B405D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Uniwersytet Śląski</w:t>
            </w:r>
          </w:p>
        </w:tc>
      </w:tr>
      <w:tr w:rsidR="00880305" w:rsidRPr="00880305" w14:paraId="628A620B" w14:textId="77777777" w:rsidTr="008456DC">
        <w:tc>
          <w:tcPr>
            <w:tcW w:w="596" w:type="dxa"/>
          </w:tcPr>
          <w:p w14:paraId="61AD416A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EB37CB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UOD-DEM-1-217/001</w:t>
            </w:r>
          </w:p>
        </w:tc>
        <w:tc>
          <w:tcPr>
            <w:tcW w:w="6663" w:type="dxa"/>
            <w:hideMark/>
          </w:tcPr>
          <w:p w14:paraId="56C43FF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Pilotażowy, zintegrowany, aparaturowo-technologiczny system do produkcji metodą ciągłej pirolizy sadzy technicznej i oleju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popirolitycznego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z odpadów gumowych, w szczególności zużytych opon samochodowych</w:t>
            </w:r>
          </w:p>
        </w:tc>
        <w:tc>
          <w:tcPr>
            <w:tcW w:w="3969" w:type="dxa"/>
            <w:hideMark/>
          </w:tcPr>
          <w:p w14:paraId="41D6A52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CONTEC Sp. z  o.o.</w:t>
            </w:r>
          </w:p>
        </w:tc>
      </w:tr>
      <w:tr w:rsidR="00880305" w:rsidRPr="00880305" w14:paraId="5EFE91C0" w14:textId="77777777" w:rsidTr="008456DC">
        <w:tc>
          <w:tcPr>
            <w:tcW w:w="596" w:type="dxa"/>
          </w:tcPr>
          <w:p w14:paraId="71E02585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3F0C643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UOD-DEM-1-287/00</w:t>
            </w:r>
          </w:p>
        </w:tc>
        <w:tc>
          <w:tcPr>
            <w:tcW w:w="6663" w:type="dxa"/>
            <w:hideMark/>
          </w:tcPr>
          <w:p w14:paraId="596E5AFD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Weryfikacja w skali demonstracyjnej technologii  spiekania granulatu z drobnoziarnistych odpadów hutniczych na wsad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żelaznośny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w piecu szybowym z równoczesną separacją cynku</w:t>
            </w:r>
          </w:p>
        </w:tc>
        <w:tc>
          <w:tcPr>
            <w:tcW w:w="3969" w:type="dxa"/>
            <w:hideMark/>
          </w:tcPr>
          <w:p w14:paraId="79A58C2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BC - LDS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Bobkiewicz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, Cholewiński Spółka Jawna</w:t>
            </w:r>
          </w:p>
        </w:tc>
      </w:tr>
      <w:tr w:rsidR="00880305" w:rsidRPr="00880305" w14:paraId="61CB14D9" w14:textId="77777777" w:rsidTr="008456DC">
        <w:tc>
          <w:tcPr>
            <w:tcW w:w="14063" w:type="dxa"/>
            <w:gridSpan w:val="4"/>
          </w:tcPr>
          <w:p w14:paraId="672A6E01" w14:textId="77777777" w:rsidR="00880305" w:rsidRPr="00880305" w:rsidRDefault="00880305" w:rsidP="0088030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Przedsięwzięcia realizowane przez Narodowe Centrum Badań i Rozwoju w ramach Kpgo 2022</w:t>
            </w:r>
          </w:p>
        </w:tc>
      </w:tr>
      <w:tr w:rsidR="00880305" w:rsidRPr="00880305" w14:paraId="29C8F7E2" w14:textId="77777777" w:rsidTr="008456DC">
        <w:tc>
          <w:tcPr>
            <w:tcW w:w="596" w:type="dxa"/>
          </w:tcPr>
          <w:p w14:paraId="46EBA5AB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593F6CF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POIR.01.01.01-00-0032/16</w:t>
            </w:r>
          </w:p>
        </w:tc>
        <w:tc>
          <w:tcPr>
            <w:tcW w:w="6663" w:type="dxa"/>
            <w:shd w:val="clear" w:color="auto" w:fill="auto"/>
            <w:hideMark/>
          </w:tcPr>
          <w:p w14:paraId="7144CD8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Opracowanie technologii kompleksowego zagospodarowania odpadów z ocynkowni ogniowych</w:t>
            </w:r>
          </w:p>
        </w:tc>
        <w:tc>
          <w:tcPr>
            <w:tcW w:w="3969" w:type="dxa"/>
            <w:shd w:val="clear" w:color="auto" w:fill="auto"/>
            <w:hideMark/>
          </w:tcPr>
          <w:p w14:paraId="778E5111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OKSYMET Sp. z o.o. Spółka Jawna</w:t>
            </w:r>
          </w:p>
        </w:tc>
      </w:tr>
      <w:tr w:rsidR="00880305" w:rsidRPr="00880305" w14:paraId="231FAD0C" w14:textId="77777777" w:rsidTr="008456DC">
        <w:tc>
          <w:tcPr>
            <w:tcW w:w="596" w:type="dxa"/>
          </w:tcPr>
          <w:p w14:paraId="1DDA5293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5B9E911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POIR.01.01.02-00-0012/16</w:t>
            </w:r>
          </w:p>
        </w:tc>
        <w:tc>
          <w:tcPr>
            <w:tcW w:w="6663" w:type="dxa"/>
            <w:shd w:val="clear" w:color="auto" w:fill="auto"/>
            <w:hideMark/>
          </w:tcPr>
          <w:p w14:paraId="6D31085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Opracowanie technologii uzyskania napełniacza sadzowego z produktu otrzymanego w wyniku recyklingu wtórnych surowców materiałowych wraz z budową pilotażowej linii technologicznej.</w:t>
            </w:r>
          </w:p>
        </w:tc>
        <w:tc>
          <w:tcPr>
            <w:tcW w:w="3969" w:type="dxa"/>
            <w:shd w:val="clear" w:color="auto" w:fill="auto"/>
            <w:hideMark/>
          </w:tcPr>
          <w:p w14:paraId="0D196AB7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ECO TRUST Sp. z o.o.</w:t>
            </w:r>
          </w:p>
        </w:tc>
      </w:tr>
      <w:tr w:rsidR="00880305" w:rsidRPr="00880305" w14:paraId="41397EF9" w14:textId="77777777" w:rsidTr="008456DC">
        <w:tc>
          <w:tcPr>
            <w:tcW w:w="596" w:type="dxa"/>
          </w:tcPr>
          <w:p w14:paraId="113E728A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3BCCF0F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POIR.01.01.02-00-0033/16</w:t>
            </w:r>
          </w:p>
        </w:tc>
        <w:tc>
          <w:tcPr>
            <w:tcW w:w="6663" w:type="dxa"/>
            <w:hideMark/>
          </w:tcPr>
          <w:p w14:paraId="1D602B6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Uruchomienie linii pilotażowej wytwarzania ekologicznych układów katalitycznych z uwzględnieniem zrównoważonego recyklingu materiałów krytycznych</w:t>
            </w:r>
          </w:p>
        </w:tc>
        <w:tc>
          <w:tcPr>
            <w:tcW w:w="3969" w:type="dxa"/>
            <w:hideMark/>
          </w:tcPr>
          <w:p w14:paraId="0D6D9D5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AWG POLONEZ TOMASZ DĘBOWSKI</w:t>
            </w:r>
          </w:p>
        </w:tc>
      </w:tr>
      <w:tr w:rsidR="00880305" w:rsidRPr="00880305" w14:paraId="417FBC3C" w14:textId="77777777" w:rsidTr="008456DC">
        <w:tc>
          <w:tcPr>
            <w:tcW w:w="596" w:type="dxa"/>
          </w:tcPr>
          <w:p w14:paraId="55C90008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1B130A2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2/KONNECT/2016</w:t>
            </w:r>
          </w:p>
        </w:tc>
        <w:tc>
          <w:tcPr>
            <w:tcW w:w="6663" w:type="dxa"/>
            <w:hideMark/>
          </w:tcPr>
          <w:p w14:paraId="4478319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Rozwój zrównoważonych, przyjaznych dla środowiska betonów izolacyjnych z zastosowaniem kruszyw z recyklingu i materiałów organicznych (SEFICROAM)</w:t>
            </w:r>
          </w:p>
        </w:tc>
        <w:tc>
          <w:tcPr>
            <w:tcW w:w="3969" w:type="dxa"/>
            <w:hideMark/>
          </w:tcPr>
          <w:p w14:paraId="521317AA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Zachodniopomorski Uniwersytet Technologiczny</w:t>
            </w:r>
          </w:p>
        </w:tc>
      </w:tr>
      <w:tr w:rsidR="00880305" w:rsidRPr="00880305" w14:paraId="427A859F" w14:textId="77777777" w:rsidTr="008456DC">
        <w:tc>
          <w:tcPr>
            <w:tcW w:w="596" w:type="dxa"/>
          </w:tcPr>
          <w:p w14:paraId="5C651DB7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E31E01B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BIOENERGY/ICOCAD/06/2016</w:t>
            </w:r>
          </w:p>
        </w:tc>
        <w:tc>
          <w:tcPr>
            <w:tcW w:w="6663" w:type="dxa"/>
            <w:hideMark/>
          </w:tcPr>
          <w:p w14:paraId="4A6F317E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Opracowanie innowacyjnej koncepcji wykorzystania strumienia odpadowego dwutlenku węgla w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biorafineriach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(ICOCAD)</w:t>
            </w:r>
          </w:p>
        </w:tc>
        <w:tc>
          <w:tcPr>
            <w:tcW w:w="3969" w:type="dxa"/>
            <w:hideMark/>
          </w:tcPr>
          <w:p w14:paraId="26CA85C4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KONSUN Sp. z o.o.</w:t>
            </w:r>
          </w:p>
        </w:tc>
      </w:tr>
      <w:tr w:rsidR="00880305" w:rsidRPr="00880305" w14:paraId="31A33D7E" w14:textId="77777777" w:rsidTr="008456DC">
        <w:tc>
          <w:tcPr>
            <w:tcW w:w="596" w:type="dxa"/>
          </w:tcPr>
          <w:p w14:paraId="7165014C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AEFA6F6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BIOENERGY/REFAWOOD/07/2016</w:t>
            </w:r>
          </w:p>
        </w:tc>
        <w:tc>
          <w:tcPr>
            <w:tcW w:w="6663" w:type="dxa"/>
            <w:hideMark/>
          </w:tcPr>
          <w:p w14:paraId="66E50A00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Zastosowanie </w:t>
            </w:r>
            <w:proofErr w:type="spellStart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zasobooszczędnych</w:t>
            </w:r>
            <w:proofErr w:type="spellEnd"/>
            <w:r w:rsidRPr="00880305">
              <w:rPr>
                <w:rFonts w:ascii="Times New Roman" w:hAnsi="Times New Roman" w:cs="Times New Roman"/>
                <w:sz w:val="20"/>
                <w:szCs w:val="20"/>
              </w:rPr>
              <w:t xml:space="preserve"> dodatków do paliw w celu ograniczenia problemów eksploatacyjnych związanych z powstawaniem popiołu podczas spalania odpadów drzewnych (REFAWOOD)</w:t>
            </w:r>
          </w:p>
        </w:tc>
        <w:tc>
          <w:tcPr>
            <w:tcW w:w="3969" w:type="dxa"/>
            <w:hideMark/>
          </w:tcPr>
          <w:p w14:paraId="7BBD8BA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Technologii Drewna</w:t>
            </w:r>
          </w:p>
        </w:tc>
      </w:tr>
      <w:tr w:rsidR="00880305" w:rsidRPr="00880305" w14:paraId="59610833" w14:textId="77777777" w:rsidTr="008456DC">
        <w:tc>
          <w:tcPr>
            <w:tcW w:w="596" w:type="dxa"/>
          </w:tcPr>
          <w:p w14:paraId="5E7ACAB0" w14:textId="77777777" w:rsidR="00880305" w:rsidRPr="00880305" w:rsidRDefault="00880305" w:rsidP="00880305">
            <w:pPr>
              <w:numPr>
                <w:ilvl w:val="0"/>
                <w:numId w:val="26"/>
              </w:numPr>
              <w:ind w:left="284" w:righ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27BE9975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STAIR/1/2016</w:t>
            </w:r>
          </w:p>
        </w:tc>
        <w:tc>
          <w:tcPr>
            <w:tcW w:w="6663" w:type="dxa"/>
            <w:hideMark/>
          </w:tcPr>
          <w:p w14:paraId="5611D6F9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Nowatorska hybrydowa metoda odzysku miedzi z odpadów flotacyjnych</w:t>
            </w:r>
          </w:p>
        </w:tc>
        <w:tc>
          <w:tcPr>
            <w:tcW w:w="3969" w:type="dxa"/>
            <w:hideMark/>
          </w:tcPr>
          <w:p w14:paraId="0570F483" w14:textId="77777777" w:rsidR="00880305" w:rsidRPr="00880305" w:rsidRDefault="00880305" w:rsidP="0088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305">
              <w:rPr>
                <w:rFonts w:ascii="Times New Roman" w:hAnsi="Times New Roman" w:cs="Times New Roman"/>
                <w:sz w:val="20"/>
                <w:szCs w:val="20"/>
              </w:rPr>
              <w:t>Instytut Metali Nieżelaznych</w:t>
            </w:r>
          </w:p>
        </w:tc>
      </w:tr>
    </w:tbl>
    <w:p w14:paraId="30F3EA8F" w14:textId="77777777" w:rsidR="009D3D78" w:rsidRDefault="009D3D78" w:rsidP="00880305"/>
    <w:sectPr w:rsidR="009D3D78" w:rsidSect="005102E3">
      <w:pgSz w:w="16838" w:h="11906" w:orient="landscape"/>
      <w:pgMar w:top="1417" w:right="1417" w:bottom="1417" w:left="1417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72E3B" w14:textId="77777777" w:rsidR="007D20D7" w:rsidRDefault="007D20D7" w:rsidP="00CC20C7">
      <w:pPr>
        <w:spacing w:after="0" w:line="240" w:lineRule="auto"/>
      </w:pPr>
      <w:r>
        <w:separator/>
      </w:r>
    </w:p>
  </w:endnote>
  <w:endnote w:type="continuationSeparator" w:id="0">
    <w:p w14:paraId="581939A4" w14:textId="77777777" w:rsidR="007D20D7" w:rsidRDefault="007D20D7" w:rsidP="00CC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866758"/>
      <w:docPartObj>
        <w:docPartGallery w:val="Page Numbers (Bottom of Page)"/>
        <w:docPartUnique/>
      </w:docPartObj>
    </w:sdtPr>
    <w:sdtEndPr/>
    <w:sdtContent>
      <w:p w14:paraId="4CC62BC6" w14:textId="4831F954" w:rsidR="00622A2B" w:rsidRDefault="00622A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C3D">
          <w:rPr>
            <w:noProof/>
          </w:rPr>
          <w:t>2</w:t>
        </w:r>
        <w:r>
          <w:fldChar w:fldCharType="end"/>
        </w:r>
      </w:p>
    </w:sdtContent>
  </w:sdt>
  <w:p w14:paraId="21E14BFD" w14:textId="3BC97505" w:rsidR="00622A2B" w:rsidRPr="005102E3" w:rsidRDefault="00622A2B">
    <w:pPr>
      <w:pStyle w:val="Stopka"/>
      <w:rPr>
        <w:rFonts w:ascii="Times New Roman" w:hAnsi="Times New Roman" w:cs="Times New Roman"/>
        <w:sz w:val="18"/>
        <w:szCs w:val="18"/>
      </w:rPr>
    </w:pPr>
    <w:r w:rsidRPr="005102E3">
      <w:rPr>
        <w:rFonts w:ascii="Times New Roman" w:hAnsi="Times New Roman" w:cs="Times New Roman"/>
        <w:sz w:val="18"/>
        <w:szCs w:val="18"/>
      </w:rPr>
      <w:t>Sprawozdanie z realizacji Kpgo (2014-2016) – Załącznik nr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BA42C" w14:textId="77777777" w:rsidR="007D20D7" w:rsidRDefault="007D20D7" w:rsidP="00CC20C7">
      <w:pPr>
        <w:spacing w:after="0" w:line="240" w:lineRule="auto"/>
      </w:pPr>
      <w:r>
        <w:separator/>
      </w:r>
    </w:p>
  </w:footnote>
  <w:footnote w:type="continuationSeparator" w:id="0">
    <w:p w14:paraId="183E8187" w14:textId="77777777" w:rsidR="007D20D7" w:rsidRDefault="007D20D7" w:rsidP="00CC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C0B"/>
    <w:multiLevelType w:val="hybridMultilevel"/>
    <w:tmpl w:val="BD4A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FCC"/>
    <w:multiLevelType w:val="hybridMultilevel"/>
    <w:tmpl w:val="769A6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D1159"/>
    <w:multiLevelType w:val="hybridMultilevel"/>
    <w:tmpl w:val="9110A3E0"/>
    <w:lvl w:ilvl="0" w:tplc="4498E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9456CA"/>
    <w:multiLevelType w:val="hybridMultilevel"/>
    <w:tmpl w:val="B43268A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05695D"/>
    <w:multiLevelType w:val="hybridMultilevel"/>
    <w:tmpl w:val="E2346A3C"/>
    <w:lvl w:ilvl="0" w:tplc="4498E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CA2AB2"/>
    <w:multiLevelType w:val="hybridMultilevel"/>
    <w:tmpl w:val="6DE41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D11"/>
    <w:multiLevelType w:val="hybridMultilevel"/>
    <w:tmpl w:val="EF82F02C"/>
    <w:lvl w:ilvl="0" w:tplc="4498E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F34127"/>
    <w:multiLevelType w:val="hybridMultilevel"/>
    <w:tmpl w:val="5C908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C6605"/>
    <w:multiLevelType w:val="hybridMultilevel"/>
    <w:tmpl w:val="5A6E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1AD5"/>
    <w:multiLevelType w:val="hybridMultilevel"/>
    <w:tmpl w:val="AC5CB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532F0"/>
    <w:multiLevelType w:val="hybridMultilevel"/>
    <w:tmpl w:val="C804D196"/>
    <w:lvl w:ilvl="0" w:tplc="4498E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720C04"/>
    <w:multiLevelType w:val="hybridMultilevel"/>
    <w:tmpl w:val="0E4A7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254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902697E"/>
    <w:multiLevelType w:val="hybridMultilevel"/>
    <w:tmpl w:val="F594E726"/>
    <w:lvl w:ilvl="0" w:tplc="4498E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E93A4B"/>
    <w:multiLevelType w:val="hybridMultilevel"/>
    <w:tmpl w:val="CA442756"/>
    <w:lvl w:ilvl="0" w:tplc="78B8A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16451"/>
    <w:multiLevelType w:val="hybridMultilevel"/>
    <w:tmpl w:val="10D876EA"/>
    <w:lvl w:ilvl="0" w:tplc="6E2E4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22278E"/>
    <w:multiLevelType w:val="hybridMultilevel"/>
    <w:tmpl w:val="519059A6"/>
    <w:lvl w:ilvl="0" w:tplc="46C46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4774D"/>
    <w:multiLevelType w:val="hybridMultilevel"/>
    <w:tmpl w:val="49A239FA"/>
    <w:lvl w:ilvl="0" w:tplc="36F25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70C8E"/>
    <w:multiLevelType w:val="hybridMultilevel"/>
    <w:tmpl w:val="1BFE3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A5942"/>
    <w:multiLevelType w:val="hybridMultilevel"/>
    <w:tmpl w:val="054C8BE2"/>
    <w:lvl w:ilvl="0" w:tplc="4498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F33A8"/>
    <w:multiLevelType w:val="hybridMultilevel"/>
    <w:tmpl w:val="607AADDA"/>
    <w:lvl w:ilvl="0" w:tplc="279C01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F4ABD"/>
    <w:multiLevelType w:val="hybridMultilevel"/>
    <w:tmpl w:val="F6C47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57F1F"/>
    <w:multiLevelType w:val="hybridMultilevel"/>
    <w:tmpl w:val="3CF4F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63765"/>
    <w:multiLevelType w:val="hybridMultilevel"/>
    <w:tmpl w:val="CBC6D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60E1D"/>
    <w:multiLevelType w:val="hybridMultilevel"/>
    <w:tmpl w:val="4886A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B0948"/>
    <w:multiLevelType w:val="hybridMultilevel"/>
    <w:tmpl w:val="2C6A5652"/>
    <w:lvl w:ilvl="0" w:tplc="0415000F">
      <w:start w:val="1"/>
      <w:numFmt w:val="decimal"/>
      <w:lvlText w:val="%1."/>
      <w:lvlJc w:val="left"/>
      <w:pPr>
        <w:tabs>
          <w:tab w:val="num" w:pos="-481"/>
        </w:tabs>
        <w:ind w:left="-48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39"/>
        </w:tabs>
        <w:ind w:left="23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59"/>
        </w:tabs>
        <w:ind w:left="95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79"/>
        </w:tabs>
        <w:ind w:left="167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99"/>
        </w:tabs>
        <w:ind w:left="239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19"/>
        </w:tabs>
        <w:ind w:left="311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39"/>
        </w:tabs>
        <w:ind w:left="383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559"/>
        </w:tabs>
        <w:ind w:left="455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79"/>
        </w:tabs>
        <w:ind w:left="5279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2"/>
  </w:num>
  <w:num w:numId="5">
    <w:abstractNumId w:val="11"/>
  </w:num>
  <w:num w:numId="6">
    <w:abstractNumId w:val="20"/>
  </w:num>
  <w:num w:numId="7">
    <w:abstractNumId w:val="9"/>
  </w:num>
  <w:num w:numId="8">
    <w:abstractNumId w:val="2"/>
  </w:num>
  <w:num w:numId="9">
    <w:abstractNumId w:val="13"/>
  </w:num>
  <w:num w:numId="10">
    <w:abstractNumId w:val="4"/>
  </w:num>
  <w:num w:numId="11">
    <w:abstractNumId w:val="10"/>
  </w:num>
  <w:num w:numId="12">
    <w:abstractNumId w:val="6"/>
  </w:num>
  <w:num w:numId="13">
    <w:abstractNumId w:val="19"/>
  </w:num>
  <w:num w:numId="14">
    <w:abstractNumId w:val="0"/>
  </w:num>
  <w:num w:numId="15">
    <w:abstractNumId w:val="25"/>
  </w:num>
  <w:num w:numId="16">
    <w:abstractNumId w:val="7"/>
  </w:num>
  <w:num w:numId="17">
    <w:abstractNumId w:val="23"/>
  </w:num>
  <w:num w:numId="18">
    <w:abstractNumId w:val="5"/>
  </w:num>
  <w:num w:numId="19">
    <w:abstractNumId w:val="1"/>
  </w:num>
  <w:num w:numId="20">
    <w:abstractNumId w:val="16"/>
  </w:num>
  <w:num w:numId="21">
    <w:abstractNumId w:val="18"/>
  </w:num>
  <w:num w:numId="22">
    <w:abstractNumId w:val="17"/>
  </w:num>
  <w:num w:numId="23">
    <w:abstractNumId w:val="21"/>
  </w:num>
  <w:num w:numId="24">
    <w:abstractNumId w:val="8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C7"/>
    <w:rsid w:val="000054EE"/>
    <w:rsid w:val="00007ABF"/>
    <w:rsid w:val="00010D92"/>
    <w:rsid w:val="00017762"/>
    <w:rsid w:val="000202BF"/>
    <w:rsid w:val="000208E1"/>
    <w:rsid w:val="00020B40"/>
    <w:rsid w:val="000231D3"/>
    <w:rsid w:val="000242E4"/>
    <w:rsid w:val="00036213"/>
    <w:rsid w:val="00062285"/>
    <w:rsid w:val="00062CF0"/>
    <w:rsid w:val="0006467A"/>
    <w:rsid w:val="00066490"/>
    <w:rsid w:val="00066AB4"/>
    <w:rsid w:val="00072A7F"/>
    <w:rsid w:val="00082418"/>
    <w:rsid w:val="00082FFD"/>
    <w:rsid w:val="000A2F38"/>
    <w:rsid w:val="000A4DD2"/>
    <w:rsid w:val="000A72E3"/>
    <w:rsid w:val="000B0445"/>
    <w:rsid w:val="000B5D07"/>
    <w:rsid w:val="000B60FD"/>
    <w:rsid w:val="000D24D6"/>
    <w:rsid w:val="000D3D6F"/>
    <w:rsid w:val="000D6077"/>
    <w:rsid w:val="000E1C90"/>
    <w:rsid w:val="000F7C39"/>
    <w:rsid w:val="00110C31"/>
    <w:rsid w:val="00113913"/>
    <w:rsid w:val="001206D2"/>
    <w:rsid w:val="00123D0E"/>
    <w:rsid w:val="00126E93"/>
    <w:rsid w:val="00135943"/>
    <w:rsid w:val="00151161"/>
    <w:rsid w:val="00153636"/>
    <w:rsid w:val="0015618C"/>
    <w:rsid w:val="001627EC"/>
    <w:rsid w:val="0016608E"/>
    <w:rsid w:val="001774EC"/>
    <w:rsid w:val="001819CA"/>
    <w:rsid w:val="00191763"/>
    <w:rsid w:val="00196FFC"/>
    <w:rsid w:val="001A0DFB"/>
    <w:rsid w:val="001A2529"/>
    <w:rsid w:val="001B0685"/>
    <w:rsid w:val="001C729B"/>
    <w:rsid w:val="001D61F3"/>
    <w:rsid w:val="001D639F"/>
    <w:rsid w:val="001E6E11"/>
    <w:rsid w:val="001F3CB9"/>
    <w:rsid w:val="00201B50"/>
    <w:rsid w:val="002027D1"/>
    <w:rsid w:val="002031C2"/>
    <w:rsid w:val="002253D7"/>
    <w:rsid w:val="00232452"/>
    <w:rsid w:val="00235019"/>
    <w:rsid w:val="00237809"/>
    <w:rsid w:val="00244190"/>
    <w:rsid w:val="002455B5"/>
    <w:rsid w:val="00246BD9"/>
    <w:rsid w:val="00250A02"/>
    <w:rsid w:val="00251F00"/>
    <w:rsid w:val="00276F1C"/>
    <w:rsid w:val="00281399"/>
    <w:rsid w:val="002815B1"/>
    <w:rsid w:val="00283CA2"/>
    <w:rsid w:val="00284DAB"/>
    <w:rsid w:val="002856B4"/>
    <w:rsid w:val="002873E5"/>
    <w:rsid w:val="00290D83"/>
    <w:rsid w:val="0029159A"/>
    <w:rsid w:val="00291EC1"/>
    <w:rsid w:val="00297837"/>
    <w:rsid w:val="002A0516"/>
    <w:rsid w:val="002A20E5"/>
    <w:rsid w:val="002A3855"/>
    <w:rsid w:val="002B59CE"/>
    <w:rsid w:val="002B7FEA"/>
    <w:rsid w:val="002D063C"/>
    <w:rsid w:val="002D5539"/>
    <w:rsid w:val="002D5E91"/>
    <w:rsid w:val="002F6FFE"/>
    <w:rsid w:val="00301492"/>
    <w:rsid w:val="003322C1"/>
    <w:rsid w:val="00335A2D"/>
    <w:rsid w:val="00337B3A"/>
    <w:rsid w:val="00337D2D"/>
    <w:rsid w:val="00341DB6"/>
    <w:rsid w:val="0034359E"/>
    <w:rsid w:val="00343872"/>
    <w:rsid w:val="00343E81"/>
    <w:rsid w:val="00344722"/>
    <w:rsid w:val="00350E82"/>
    <w:rsid w:val="003610B9"/>
    <w:rsid w:val="00362201"/>
    <w:rsid w:val="00364269"/>
    <w:rsid w:val="00383CE3"/>
    <w:rsid w:val="003940BB"/>
    <w:rsid w:val="003A3A5A"/>
    <w:rsid w:val="003B0C82"/>
    <w:rsid w:val="003B2538"/>
    <w:rsid w:val="003B5DDB"/>
    <w:rsid w:val="003C3CDA"/>
    <w:rsid w:val="003D5815"/>
    <w:rsid w:val="003E3471"/>
    <w:rsid w:val="003F1541"/>
    <w:rsid w:val="00402346"/>
    <w:rsid w:val="004161DC"/>
    <w:rsid w:val="0041735F"/>
    <w:rsid w:val="0042346D"/>
    <w:rsid w:val="00425A64"/>
    <w:rsid w:val="00433A53"/>
    <w:rsid w:val="00441919"/>
    <w:rsid w:val="0044296C"/>
    <w:rsid w:val="0045127E"/>
    <w:rsid w:val="0045522A"/>
    <w:rsid w:val="00463239"/>
    <w:rsid w:val="004649F9"/>
    <w:rsid w:val="00465076"/>
    <w:rsid w:val="00465FC6"/>
    <w:rsid w:val="004750D9"/>
    <w:rsid w:val="00477696"/>
    <w:rsid w:val="00483E45"/>
    <w:rsid w:val="004878E1"/>
    <w:rsid w:val="00491C03"/>
    <w:rsid w:val="004935BE"/>
    <w:rsid w:val="004A3C95"/>
    <w:rsid w:val="004A5610"/>
    <w:rsid w:val="004A7DFD"/>
    <w:rsid w:val="004B06FE"/>
    <w:rsid w:val="004B3FC6"/>
    <w:rsid w:val="004C24EB"/>
    <w:rsid w:val="004C75AC"/>
    <w:rsid w:val="004F19D1"/>
    <w:rsid w:val="004F703D"/>
    <w:rsid w:val="0050008B"/>
    <w:rsid w:val="005102E3"/>
    <w:rsid w:val="005355F2"/>
    <w:rsid w:val="00542480"/>
    <w:rsid w:val="005438BA"/>
    <w:rsid w:val="00552FC2"/>
    <w:rsid w:val="005531E3"/>
    <w:rsid w:val="00553DF5"/>
    <w:rsid w:val="005579AA"/>
    <w:rsid w:val="00566EBC"/>
    <w:rsid w:val="005736A4"/>
    <w:rsid w:val="005A2428"/>
    <w:rsid w:val="005A7739"/>
    <w:rsid w:val="005B5733"/>
    <w:rsid w:val="005C0C0B"/>
    <w:rsid w:val="005C1E28"/>
    <w:rsid w:val="005D0098"/>
    <w:rsid w:val="005D08FA"/>
    <w:rsid w:val="005E1C42"/>
    <w:rsid w:val="005E491E"/>
    <w:rsid w:val="005E7E3B"/>
    <w:rsid w:val="005F09F0"/>
    <w:rsid w:val="005F2E4C"/>
    <w:rsid w:val="00600FEC"/>
    <w:rsid w:val="006050FF"/>
    <w:rsid w:val="00614D7D"/>
    <w:rsid w:val="00622A2B"/>
    <w:rsid w:val="00625379"/>
    <w:rsid w:val="00626803"/>
    <w:rsid w:val="006323CE"/>
    <w:rsid w:val="006339F2"/>
    <w:rsid w:val="0063453B"/>
    <w:rsid w:val="00636186"/>
    <w:rsid w:val="006414DE"/>
    <w:rsid w:val="006614EA"/>
    <w:rsid w:val="00667AFA"/>
    <w:rsid w:val="006744CA"/>
    <w:rsid w:val="006805CD"/>
    <w:rsid w:val="006813DB"/>
    <w:rsid w:val="0069135B"/>
    <w:rsid w:val="00696512"/>
    <w:rsid w:val="006A6D76"/>
    <w:rsid w:val="006B34E3"/>
    <w:rsid w:val="006B3D11"/>
    <w:rsid w:val="006B614E"/>
    <w:rsid w:val="006C2B81"/>
    <w:rsid w:val="006C5D97"/>
    <w:rsid w:val="006C64CB"/>
    <w:rsid w:val="006D12BD"/>
    <w:rsid w:val="006D2771"/>
    <w:rsid w:val="006D3F57"/>
    <w:rsid w:val="006D5289"/>
    <w:rsid w:val="006D6B63"/>
    <w:rsid w:val="006D759F"/>
    <w:rsid w:val="006E739A"/>
    <w:rsid w:val="006F1D2C"/>
    <w:rsid w:val="007002A3"/>
    <w:rsid w:val="0070506E"/>
    <w:rsid w:val="00705814"/>
    <w:rsid w:val="00707B76"/>
    <w:rsid w:val="00710C8A"/>
    <w:rsid w:val="007112F1"/>
    <w:rsid w:val="007255BF"/>
    <w:rsid w:val="0073388C"/>
    <w:rsid w:val="00734C8E"/>
    <w:rsid w:val="00741991"/>
    <w:rsid w:val="00743FDF"/>
    <w:rsid w:val="00750CC2"/>
    <w:rsid w:val="007548B1"/>
    <w:rsid w:val="00761A2B"/>
    <w:rsid w:val="007717BE"/>
    <w:rsid w:val="00786887"/>
    <w:rsid w:val="00787313"/>
    <w:rsid w:val="00792F25"/>
    <w:rsid w:val="00794FB2"/>
    <w:rsid w:val="00796566"/>
    <w:rsid w:val="007A0B61"/>
    <w:rsid w:val="007A22BE"/>
    <w:rsid w:val="007B16C5"/>
    <w:rsid w:val="007B489C"/>
    <w:rsid w:val="007B5071"/>
    <w:rsid w:val="007B57F8"/>
    <w:rsid w:val="007B623A"/>
    <w:rsid w:val="007B627E"/>
    <w:rsid w:val="007B76DC"/>
    <w:rsid w:val="007D0C3D"/>
    <w:rsid w:val="007D20D7"/>
    <w:rsid w:val="007D328D"/>
    <w:rsid w:val="007D3735"/>
    <w:rsid w:val="007D6840"/>
    <w:rsid w:val="007D7E9E"/>
    <w:rsid w:val="007E03AD"/>
    <w:rsid w:val="007F0EA2"/>
    <w:rsid w:val="007F3232"/>
    <w:rsid w:val="007F4542"/>
    <w:rsid w:val="0080018D"/>
    <w:rsid w:val="00813022"/>
    <w:rsid w:val="008176D3"/>
    <w:rsid w:val="0082078A"/>
    <w:rsid w:val="00832E0C"/>
    <w:rsid w:val="008401D0"/>
    <w:rsid w:val="0084418C"/>
    <w:rsid w:val="0084420A"/>
    <w:rsid w:val="008456DC"/>
    <w:rsid w:val="0085623A"/>
    <w:rsid w:val="0087369E"/>
    <w:rsid w:val="00880106"/>
    <w:rsid w:val="00880305"/>
    <w:rsid w:val="00881798"/>
    <w:rsid w:val="00883627"/>
    <w:rsid w:val="008843A1"/>
    <w:rsid w:val="00890CCD"/>
    <w:rsid w:val="008916A2"/>
    <w:rsid w:val="00894F04"/>
    <w:rsid w:val="008972DF"/>
    <w:rsid w:val="008A0126"/>
    <w:rsid w:val="008A1CFC"/>
    <w:rsid w:val="008A4F4A"/>
    <w:rsid w:val="008B1827"/>
    <w:rsid w:val="008B2765"/>
    <w:rsid w:val="008B4956"/>
    <w:rsid w:val="008C069D"/>
    <w:rsid w:val="008C210A"/>
    <w:rsid w:val="008C4E03"/>
    <w:rsid w:val="008D19BD"/>
    <w:rsid w:val="008D237D"/>
    <w:rsid w:val="008F6A7D"/>
    <w:rsid w:val="00910063"/>
    <w:rsid w:val="00915BAC"/>
    <w:rsid w:val="009172B1"/>
    <w:rsid w:val="00922195"/>
    <w:rsid w:val="00931D71"/>
    <w:rsid w:val="00936BFE"/>
    <w:rsid w:val="0094536D"/>
    <w:rsid w:val="009466E6"/>
    <w:rsid w:val="00947A67"/>
    <w:rsid w:val="00950F1C"/>
    <w:rsid w:val="0095670E"/>
    <w:rsid w:val="00956AF6"/>
    <w:rsid w:val="00963819"/>
    <w:rsid w:val="00971BC1"/>
    <w:rsid w:val="009722C3"/>
    <w:rsid w:val="009932DD"/>
    <w:rsid w:val="009A7D38"/>
    <w:rsid w:val="009B06CD"/>
    <w:rsid w:val="009B29C9"/>
    <w:rsid w:val="009D176B"/>
    <w:rsid w:val="009D3D78"/>
    <w:rsid w:val="009D6DBB"/>
    <w:rsid w:val="009E3F8A"/>
    <w:rsid w:val="009F56FD"/>
    <w:rsid w:val="00A15C60"/>
    <w:rsid w:val="00A17016"/>
    <w:rsid w:val="00A235FD"/>
    <w:rsid w:val="00A24306"/>
    <w:rsid w:val="00A47689"/>
    <w:rsid w:val="00A47949"/>
    <w:rsid w:val="00A561A1"/>
    <w:rsid w:val="00A60713"/>
    <w:rsid w:val="00A72837"/>
    <w:rsid w:val="00A72977"/>
    <w:rsid w:val="00A73D6E"/>
    <w:rsid w:val="00A84744"/>
    <w:rsid w:val="00A8565B"/>
    <w:rsid w:val="00A950F4"/>
    <w:rsid w:val="00AA4EB5"/>
    <w:rsid w:val="00AA59AE"/>
    <w:rsid w:val="00AB061A"/>
    <w:rsid w:val="00AC6E14"/>
    <w:rsid w:val="00AD04F6"/>
    <w:rsid w:val="00AD534D"/>
    <w:rsid w:val="00AD5D9F"/>
    <w:rsid w:val="00AE2A3F"/>
    <w:rsid w:val="00AF749D"/>
    <w:rsid w:val="00B02220"/>
    <w:rsid w:val="00B21DF4"/>
    <w:rsid w:val="00B30A50"/>
    <w:rsid w:val="00B30C15"/>
    <w:rsid w:val="00B30F49"/>
    <w:rsid w:val="00B31849"/>
    <w:rsid w:val="00B32CFE"/>
    <w:rsid w:val="00B35600"/>
    <w:rsid w:val="00B3755C"/>
    <w:rsid w:val="00B43EEA"/>
    <w:rsid w:val="00B4578C"/>
    <w:rsid w:val="00B54937"/>
    <w:rsid w:val="00B64CAC"/>
    <w:rsid w:val="00B731C3"/>
    <w:rsid w:val="00B77155"/>
    <w:rsid w:val="00B81C1A"/>
    <w:rsid w:val="00B84097"/>
    <w:rsid w:val="00B966B9"/>
    <w:rsid w:val="00BA7C10"/>
    <w:rsid w:val="00BB238D"/>
    <w:rsid w:val="00BC0F5D"/>
    <w:rsid w:val="00BC44DA"/>
    <w:rsid w:val="00BC5754"/>
    <w:rsid w:val="00BC736C"/>
    <w:rsid w:val="00BC7CE9"/>
    <w:rsid w:val="00BD2585"/>
    <w:rsid w:val="00BD2DAF"/>
    <w:rsid w:val="00BE2686"/>
    <w:rsid w:val="00BE51A5"/>
    <w:rsid w:val="00C02409"/>
    <w:rsid w:val="00C049BB"/>
    <w:rsid w:val="00C04C41"/>
    <w:rsid w:val="00C06D29"/>
    <w:rsid w:val="00C2232D"/>
    <w:rsid w:val="00C23C3B"/>
    <w:rsid w:val="00C24F0F"/>
    <w:rsid w:val="00C25D15"/>
    <w:rsid w:val="00C30118"/>
    <w:rsid w:val="00C34779"/>
    <w:rsid w:val="00C3531B"/>
    <w:rsid w:val="00C35AB3"/>
    <w:rsid w:val="00C4085E"/>
    <w:rsid w:val="00C416DE"/>
    <w:rsid w:val="00C43491"/>
    <w:rsid w:val="00C50D19"/>
    <w:rsid w:val="00C62314"/>
    <w:rsid w:val="00C83A29"/>
    <w:rsid w:val="00C908BA"/>
    <w:rsid w:val="00C93BCB"/>
    <w:rsid w:val="00C95B60"/>
    <w:rsid w:val="00CA2EE5"/>
    <w:rsid w:val="00CB1334"/>
    <w:rsid w:val="00CC0BEB"/>
    <w:rsid w:val="00CC20C7"/>
    <w:rsid w:val="00CC7B76"/>
    <w:rsid w:val="00CD3798"/>
    <w:rsid w:val="00CE0FC8"/>
    <w:rsid w:val="00CE4059"/>
    <w:rsid w:val="00CF65B4"/>
    <w:rsid w:val="00D07F8C"/>
    <w:rsid w:val="00D12773"/>
    <w:rsid w:val="00D275C1"/>
    <w:rsid w:val="00D30EB7"/>
    <w:rsid w:val="00D34D51"/>
    <w:rsid w:val="00D43BC4"/>
    <w:rsid w:val="00D45383"/>
    <w:rsid w:val="00D4550B"/>
    <w:rsid w:val="00D54F42"/>
    <w:rsid w:val="00D6317F"/>
    <w:rsid w:val="00D63B91"/>
    <w:rsid w:val="00D65B0D"/>
    <w:rsid w:val="00D73890"/>
    <w:rsid w:val="00D84D00"/>
    <w:rsid w:val="00D85037"/>
    <w:rsid w:val="00D90E59"/>
    <w:rsid w:val="00D942C4"/>
    <w:rsid w:val="00D97DD4"/>
    <w:rsid w:val="00D97FFA"/>
    <w:rsid w:val="00DA0955"/>
    <w:rsid w:val="00DA23C8"/>
    <w:rsid w:val="00DA23E3"/>
    <w:rsid w:val="00DA417A"/>
    <w:rsid w:val="00DA59E7"/>
    <w:rsid w:val="00DC08B0"/>
    <w:rsid w:val="00DC4826"/>
    <w:rsid w:val="00DC7AF7"/>
    <w:rsid w:val="00DD0842"/>
    <w:rsid w:val="00DD213E"/>
    <w:rsid w:val="00DD797B"/>
    <w:rsid w:val="00DE3569"/>
    <w:rsid w:val="00DE6C6E"/>
    <w:rsid w:val="00DE7712"/>
    <w:rsid w:val="00DF432D"/>
    <w:rsid w:val="00E02672"/>
    <w:rsid w:val="00E073A7"/>
    <w:rsid w:val="00E153F3"/>
    <w:rsid w:val="00E242CA"/>
    <w:rsid w:val="00E3048F"/>
    <w:rsid w:val="00E314F1"/>
    <w:rsid w:val="00E32374"/>
    <w:rsid w:val="00E3368B"/>
    <w:rsid w:val="00E4481B"/>
    <w:rsid w:val="00E45E5C"/>
    <w:rsid w:val="00E524B8"/>
    <w:rsid w:val="00E54640"/>
    <w:rsid w:val="00E56160"/>
    <w:rsid w:val="00E726EB"/>
    <w:rsid w:val="00E7276E"/>
    <w:rsid w:val="00E74B27"/>
    <w:rsid w:val="00E769C4"/>
    <w:rsid w:val="00E77B7F"/>
    <w:rsid w:val="00E851C3"/>
    <w:rsid w:val="00E91CC5"/>
    <w:rsid w:val="00EB18F9"/>
    <w:rsid w:val="00EB52DA"/>
    <w:rsid w:val="00EB6383"/>
    <w:rsid w:val="00EB6F01"/>
    <w:rsid w:val="00EC3D1A"/>
    <w:rsid w:val="00EC5624"/>
    <w:rsid w:val="00EC6896"/>
    <w:rsid w:val="00EC741B"/>
    <w:rsid w:val="00ED2C2E"/>
    <w:rsid w:val="00EF02A5"/>
    <w:rsid w:val="00EF3527"/>
    <w:rsid w:val="00EF380D"/>
    <w:rsid w:val="00EF3A0C"/>
    <w:rsid w:val="00EF58C3"/>
    <w:rsid w:val="00EF5B1B"/>
    <w:rsid w:val="00F0688B"/>
    <w:rsid w:val="00F107F3"/>
    <w:rsid w:val="00F15B5B"/>
    <w:rsid w:val="00F162EB"/>
    <w:rsid w:val="00F16717"/>
    <w:rsid w:val="00F2183B"/>
    <w:rsid w:val="00F25634"/>
    <w:rsid w:val="00F30546"/>
    <w:rsid w:val="00F3258D"/>
    <w:rsid w:val="00F51872"/>
    <w:rsid w:val="00F51B6D"/>
    <w:rsid w:val="00F565E9"/>
    <w:rsid w:val="00F664B4"/>
    <w:rsid w:val="00F66DB4"/>
    <w:rsid w:val="00F701E5"/>
    <w:rsid w:val="00F737C6"/>
    <w:rsid w:val="00F8142B"/>
    <w:rsid w:val="00F83FE2"/>
    <w:rsid w:val="00F844BF"/>
    <w:rsid w:val="00F9167A"/>
    <w:rsid w:val="00F94105"/>
    <w:rsid w:val="00F97223"/>
    <w:rsid w:val="00FA2CAA"/>
    <w:rsid w:val="00FA36F1"/>
    <w:rsid w:val="00FB00C6"/>
    <w:rsid w:val="00FB02B2"/>
    <w:rsid w:val="00FB214B"/>
    <w:rsid w:val="00FB44FC"/>
    <w:rsid w:val="00FB5BD6"/>
    <w:rsid w:val="00FC09C6"/>
    <w:rsid w:val="00FC12DE"/>
    <w:rsid w:val="00FC6FBA"/>
    <w:rsid w:val="00FD0E52"/>
    <w:rsid w:val="00FD3009"/>
    <w:rsid w:val="00FD524D"/>
    <w:rsid w:val="00FD5805"/>
    <w:rsid w:val="00FD76EC"/>
    <w:rsid w:val="00FE0900"/>
    <w:rsid w:val="00FE604B"/>
    <w:rsid w:val="00FF2DFC"/>
    <w:rsid w:val="00FF4E67"/>
    <w:rsid w:val="00FF656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7A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6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0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0C7"/>
    <w:rPr>
      <w:sz w:val="20"/>
      <w:szCs w:val="20"/>
    </w:rPr>
  </w:style>
  <w:style w:type="character" w:styleId="Odwoanieprzypisudolnego">
    <w:name w:val="footnote reference"/>
    <w:aliases w:val="EN Footnote Reference,Times 10 Point,Exposant 3 Point,Footnote symbol,Footnote reference number,note TESI,stylish,Footnote Reference Number,Odwołanie przypisu,Überschrift 4 Zchn1,Título 4 Car Zchn,Heading 4 Char1 Car Zchn,SUPE"/>
    <w:uiPriority w:val="99"/>
    <w:rsid w:val="00CC20C7"/>
    <w:rPr>
      <w:vertAlign w:val="superscript"/>
    </w:rPr>
  </w:style>
  <w:style w:type="table" w:styleId="Tabela-Siatka">
    <w:name w:val="Table Grid"/>
    <w:basedOn w:val="Standardowy"/>
    <w:uiPriority w:val="59"/>
    <w:rsid w:val="00CC2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74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44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6744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5A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2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051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6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C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58D"/>
  </w:style>
  <w:style w:type="paragraph" w:styleId="Stopka">
    <w:name w:val="footer"/>
    <w:basedOn w:val="Normalny"/>
    <w:link w:val="StopkaZnak"/>
    <w:uiPriority w:val="99"/>
    <w:unhideWhenUsed/>
    <w:rsid w:val="00F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58D"/>
  </w:style>
  <w:style w:type="table" w:customStyle="1" w:styleId="Tabela-Siatka1">
    <w:name w:val="Tabela - Siatka1"/>
    <w:basedOn w:val="Standardowy"/>
    <w:next w:val="Tabela-Siatka"/>
    <w:uiPriority w:val="59"/>
    <w:rsid w:val="0088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6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0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0C7"/>
    <w:rPr>
      <w:sz w:val="20"/>
      <w:szCs w:val="20"/>
    </w:rPr>
  </w:style>
  <w:style w:type="character" w:styleId="Odwoanieprzypisudolnego">
    <w:name w:val="footnote reference"/>
    <w:aliases w:val="EN Footnote Reference,Times 10 Point,Exposant 3 Point,Footnote symbol,Footnote reference number,note TESI,stylish,Footnote Reference Number,Odwołanie przypisu,Überschrift 4 Zchn1,Título 4 Car Zchn,Heading 4 Char1 Car Zchn,SUPE"/>
    <w:uiPriority w:val="99"/>
    <w:rsid w:val="00CC20C7"/>
    <w:rPr>
      <w:vertAlign w:val="superscript"/>
    </w:rPr>
  </w:style>
  <w:style w:type="table" w:styleId="Tabela-Siatka">
    <w:name w:val="Table Grid"/>
    <w:basedOn w:val="Standardowy"/>
    <w:uiPriority w:val="59"/>
    <w:rsid w:val="00CC2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74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44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6744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5A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2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051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6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C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58D"/>
  </w:style>
  <w:style w:type="paragraph" w:styleId="Stopka">
    <w:name w:val="footer"/>
    <w:basedOn w:val="Normalny"/>
    <w:link w:val="StopkaZnak"/>
    <w:uiPriority w:val="99"/>
    <w:unhideWhenUsed/>
    <w:rsid w:val="00F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58D"/>
  </w:style>
  <w:style w:type="table" w:customStyle="1" w:styleId="Tabela-Siatka1">
    <w:name w:val="Tabela - Siatka1"/>
    <w:basedOn w:val="Standardowy"/>
    <w:next w:val="Tabela-Siatka"/>
    <w:uiPriority w:val="59"/>
    <w:rsid w:val="0088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.org.pl/cel12" TargetMode="External"/><Relationship Id="rId18" Type="http://schemas.openxmlformats.org/officeDocument/2006/relationships/hyperlink" Target="http://www.epodreczniki.pl/reader/c/169412/v/30/t/student-canon/m/iMCKQxBL4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dukacjaglobalna.ore.edu.pl/pl/e-learning" TargetMode="External"/><Relationship Id="rId17" Type="http://schemas.openxmlformats.org/officeDocument/2006/relationships/hyperlink" Target="http://www.epodreczniki.pl/reader/c/140129/v/39/t/student-canon/m/izjcUfGc6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podreczniki.pl/reader/c/130637/v/78/t/student-canon/m/iBKegXuoH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fpz.pl/nowosci/?id_news=5044&amp;lang_id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podreczniki.pl/reader/c/237696/v/3/t/student-canon/m/KL1_ORE_V9_WIOSNA_1_3_25_126_p3" TargetMode="External"/><Relationship Id="rId10" Type="http://schemas.openxmlformats.org/officeDocument/2006/relationships/hyperlink" Target="http://www.naszesmieci.pl" TargetMode="External"/><Relationship Id="rId19" Type="http://schemas.openxmlformats.org/officeDocument/2006/relationships/hyperlink" Target="https://www.mos.gov.pl/komunikaty/szczegoly/news/jak-budowac-pszok-i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epodreczn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67CE-CC0B-4E24-9165-04434DEA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11408</Words>
  <Characters>68453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Dec</dc:creator>
  <cp:lastModifiedBy>Łucja Dec</cp:lastModifiedBy>
  <cp:revision>3</cp:revision>
  <dcterms:created xsi:type="dcterms:W3CDTF">2018-06-28T07:15:00Z</dcterms:created>
  <dcterms:modified xsi:type="dcterms:W3CDTF">2018-06-28T08:05:00Z</dcterms:modified>
</cp:coreProperties>
</file>