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97" w:rsidRDefault="008B1697" w:rsidP="008B1697">
      <w:pPr>
        <w:pStyle w:val="Nagwek1"/>
        <w:spacing w:line="240" w:lineRule="auto"/>
        <w:jc w:val="center"/>
        <w:rPr>
          <w:rFonts w:ascii="Arial" w:hAnsi="Arial" w:cs="Arial"/>
          <w:color w:val="auto"/>
        </w:rPr>
      </w:pPr>
      <w:bookmarkStart w:id="0" w:name="_Toc427747801"/>
      <w:bookmarkStart w:id="1" w:name="_GoBack"/>
      <w:bookmarkEnd w:id="1"/>
      <w:r>
        <w:rPr>
          <w:rFonts w:ascii="Arial" w:hAnsi="Arial" w:cs="Arial"/>
          <w:color w:val="auto"/>
        </w:rPr>
        <w:t>„</w:t>
      </w:r>
      <w:r w:rsidRPr="008B1697">
        <w:rPr>
          <w:rFonts w:ascii="Arial" w:hAnsi="Arial" w:cs="Arial"/>
          <w:color w:val="auto"/>
        </w:rPr>
        <w:t>Wytyczne do opracowania</w:t>
      </w:r>
      <w:r>
        <w:rPr>
          <w:rFonts w:ascii="Arial" w:hAnsi="Arial" w:cs="Arial"/>
          <w:color w:val="auto"/>
        </w:rPr>
        <w:t xml:space="preserve"> </w:t>
      </w:r>
      <w:r w:rsidRPr="008B1697">
        <w:rPr>
          <w:rFonts w:ascii="Arial" w:hAnsi="Arial" w:cs="Arial"/>
          <w:color w:val="auto"/>
        </w:rPr>
        <w:t>wojewódzkich, powiatowych</w:t>
      </w:r>
      <w:r>
        <w:rPr>
          <w:rFonts w:ascii="Arial" w:hAnsi="Arial" w:cs="Arial"/>
          <w:color w:val="auto"/>
        </w:rPr>
        <w:t xml:space="preserve"> </w:t>
      </w:r>
      <w:r w:rsidRPr="008B1697">
        <w:rPr>
          <w:rFonts w:ascii="Arial" w:hAnsi="Arial" w:cs="Arial"/>
          <w:color w:val="auto"/>
        </w:rPr>
        <w:t>i gminnych programów</w:t>
      </w:r>
      <w:r>
        <w:rPr>
          <w:rFonts w:ascii="Arial" w:hAnsi="Arial" w:cs="Arial"/>
          <w:color w:val="auto"/>
        </w:rPr>
        <w:t xml:space="preserve"> </w:t>
      </w:r>
      <w:r w:rsidRPr="008B1697">
        <w:rPr>
          <w:rFonts w:ascii="Arial" w:hAnsi="Arial" w:cs="Arial"/>
          <w:color w:val="auto"/>
        </w:rPr>
        <w:t>ochrony środowiska</w:t>
      </w:r>
      <w:r>
        <w:rPr>
          <w:rFonts w:ascii="Arial" w:hAnsi="Arial" w:cs="Arial"/>
          <w:color w:val="auto"/>
        </w:rPr>
        <w:t>”</w:t>
      </w:r>
    </w:p>
    <w:p w:rsidR="008B1697" w:rsidRDefault="008B1697" w:rsidP="008B1697">
      <w:pPr>
        <w:pStyle w:val="Nagwek1"/>
        <w:spacing w:before="0" w:line="240" w:lineRule="auto"/>
        <w:jc w:val="center"/>
        <w:rPr>
          <w:rFonts w:ascii="Arial" w:hAnsi="Arial" w:cs="Arial"/>
          <w:color w:val="auto"/>
        </w:rPr>
      </w:pPr>
    </w:p>
    <w:p w:rsidR="008B1697" w:rsidRDefault="008B1697" w:rsidP="008B1697">
      <w:pPr>
        <w:pStyle w:val="Nagwek1"/>
        <w:spacing w:before="0"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Pr="001F1B70">
        <w:rPr>
          <w:rFonts w:ascii="Arial" w:hAnsi="Arial" w:cs="Arial"/>
          <w:color w:val="auto"/>
        </w:rPr>
        <w:t>ktualizacja Załącznik</w:t>
      </w:r>
      <w:r>
        <w:rPr>
          <w:rFonts w:ascii="Arial" w:hAnsi="Arial" w:cs="Arial"/>
          <w:color w:val="auto"/>
        </w:rPr>
        <w:t>a</w:t>
      </w:r>
      <w:r w:rsidRPr="001F1B70">
        <w:rPr>
          <w:rFonts w:ascii="Arial" w:hAnsi="Arial" w:cs="Arial"/>
          <w:color w:val="auto"/>
        </w:rPr>
        <w:t xml:space="preserve"> nr 4.</w:t>
      </w:r>
      <w:r>
        <w:rPr>
          <w:rFonts w:ascii="Arial" w:hAnsi="Arial" w:cs="Arial"/>
          <w:color w:val="auto"/>
        </w:rPr>
        <w:t xml:space="preserve"> </w:t>
      </w:r>
    </w:p>
    <w:p w:rsidR="008B1697" w:rsidRPr="001F1B70" w:rsidRDefault="008B1697" w:rsidP="008B1697">
      <w:pPr>
        <w:pStyle w:val="Nagwek1"/>
        <w:spacing w:before="0" w:line="240" w:lineRule="auto"/>
        <w:jc w:val="center"/>
        <w:rPr>
          <w:rFonts w:ascii="Arial" w:hAnsi="Arial" w:cs="Arial"/>
          <w:color w:val="auto"/>
        </w:rPr>
      </w:pPr>
      <w:r w:rsidRPr="008B1697">
        <w:rPr>
          <w:rFonts w:ascii="Arial" w:hAnsi="Arial" w:cs="Arial"/>
          <w:color w:val="auto"/>
        </w:rPr>
        <w:t>Cele środowiskowe wybranych dokumentów strategicznych</w:t>
      </w:r>
      <w:bookmarkEnd w:id="0"/>
    </w:p>
    <w:p w:rsidR="00B13D11" w:rsidRDefault="00B13D11" w:rsidP="00FA40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1E3C" w:rsidRPr="003A4B4B" w:rsidRDefault="008B1697" w:rsidP="008B1697">
      <w:pPr>
        <w:jc w:val="both"/>
      </w:pPr>
      <w:r w:rsidRPr="003A4B4B">
        <w:t>W związku z wejściem w życie uchwały Rady Ministrów w sprawie przyjęcia „Strategii na rzecz Odpowiedzialnego Rozwoju do roku 2020 (z perspektywą do 2030 r.)”</w:t>
      </w:r>
      <w:r w:rsidRPr="003A4B4B">
        <w:rPr>
          <w:rStyle w:val="Odwoanieprzypisudolnego"/>
        </w:rPr>
        <w:footnoteReference w:id="1"/>
      </w:r>
      <w:r w:rsidRPr="003A4B4B">
        <w:t xml:space="preserve">, uchylona została „Strategia Rozwoju Kraju 2020”. Tym samym, w załączniku nr 4 zastępuje się </w:t>
      </w:r>
      <w:r w:rsidR="00BB3828" w:rsidRPr="003A4B4B">
        <w:t>pkt. II „Strategia</w:t>
      </w:r>
      <w:r w:rsidRPr="003A4B4B">
        <w:t xml:space="preserve"> Rozwoju Kraju 2020”</w:t>
      </w:r>
      <w:r w:rsidR="00BB3828" w:rsidRPr="003A4B4B">
        <w:t xml:space="preserve"> punktem:</w:t>
      </w:r>
    </w:p>
    <w:p w:rsidR="00BB3828" w:rsidRPr="003A4B4B" w:rsidRDefault="00BB3828" w:rsidP="00505E63">
      <w:pPr>
        <w:pStyle w:val="Akapitzlist"/>
        <w:numPr>
          <w:ilvl w:val="0"/>
          <w:numId w:val="15"/>
        </w:numPr>
        <w:ind w:left="426" w:hanging="284"/>
        <w:jc w:val="both"/>
      </w:pPr>
      <w:r w:rsidRPr="003A4B4B">
        <w:t>„Strategia na rzecz Odpowiedzialnego Rozwoju do roku 2020 (z perspektywą do 2030 r.)”</w:t>
      </w:r>
      <w:r w:rsidR="00912A26" w:rsidRPr="003A4B4B">
        <w:t>:</w:t>
      </w:r>
    </w:p>
    <w:p w:rsidR="00072A96" w:rsidRPr="003A4B4B" w:rsidRDefault="00072A96" w:rsidP="00072A96">
      <w:pPr>
        <w:pStyle w:val="Akapitzlist"/>
        <w:ind w:left="993"/>
        <w:jc w:val="both"/>
      </w:pPr>
    </w:p>
    <w:p w:rsidR="00BB3828" w:rsidRDefault="00BB3828" w:rsidP="00505E63">
      <w:pPr>
        <w:pStyle w:val="Akapitzlist"/>
        <w:numPr>
          <w:ilvl w:val="1"/>
          <w:numId w:val="15"/>
        </w:numPr>
        <w:ind w:left="851" w:hanging="425"/>
        <w:jc w:val="both"/>
      </w:pPr>
      <w:r w:rsidRPr="003A4B4B">
        <w:t>Cel szczegółowy I – Trwały wzrost gospodarczy oparty coraz silniej o wiedzę, dane i doskonałość organizacyjną</w:t>
      </w:r>
    </w:p>
    <w:p w:rsidR="00E9041B" w:rsidRPr="003A4B4B" w:rsidRDefault="00E9041B" w:rsidP="00FA40FE">
      <w:pPr>
        <w:pStyle w:val="Akapitzlist"/>
        <w:ind w:left="1134"/>
        <w:jc w:val="both"/>
      </w:pPr>
    </w:p>
    <w:p w:rsidR="00BB3828" w:rsidRPr="003A4B4B" w:rsidRDefault="00BB3828" w:rsidP="006F1F97">
      <w:pPr>
        <w:pStyle w:val="Akapitzlist"/>
        <w:numPr>
          <w:ilvl w:val="2"/>
          <w:numId w:val="15"/>
        </w:numPr>
        <w:tabs>
          <w:tab w:val="left" w:pos="1134"/>
          <w:tab w:val="left" w:pos="1701"/>
        </w:tabs>
        <w:ind w:left="1985" w:hanging="283"/>
        <w:jc w:val="both"/>
      </w:pPr>
      <w:r w:rsidRPr="003A4B4B">
        <w:t>Kierunek interwencji – Rozwój nowoczesnego przemysłu</w:t>
      </w:r>
    </w:p>
    <w:p w:rsidR="00BB3828" w:rsidRPr="003A4B4B" w:rsidRDefault="00BB3828" w:rsidP="007910C7">
      <w:pPr>
        <w:pStyle w:val="Akapitzlist"/>
        <w:numPr>
          <w:ilvl w:val="3"/>
          <w:numId w:val="15"/>
        </w:numPr>
        <w:jc w:val="both"/>
      </w:pPr>
      <w:r w:rsidRPr="003A4B4B">
        <w:t>Działanie – Wsparcie inwestycji zm</w:t>
      </w:r>
      <w:r w:rsidR="007D2F67" w:rsidRPr="003A4B4B">
        <w:t>niejszających energochłonność i </w:t>
      </w:r>
      <w:r w:rsidRPr="003A4B4B">
        <w:t>poprawiających efektywność energetyczną przemysłu</w:t>
      </w:r>
    </w:p>
    <w:p w:rsidR="007D2F67" w:rsidRPr="003A4B4B" w:rsidRDefault="007D2F67" w:rsidP="007910C7">
      <w:pPr>
        <w:pStyle w:val="Akapitzlist"/>
        <w:numPr>
          <w:ilvl w:val="3"/>
          <w:numId w:val="15"/>
        </w:numPr>
        <w:jc w:val="both"/>
      </w:pPr>
      <w:r w:rsidRPr="003A4B4B">
        <w:t>Działanie – Zmniejszenie zasobo- i materiałochłonności procesów przemysłowych,</w:t>
      </w:r>
    </w:p>
    <w:p w:rsidR="007D2F67" w:rsidRPr="003A4B4B" w:rsidRDefault="007D2F67" w:rsidP="007910C7">
      <w:pPr>
        <w:pStyle w:val="Akapitzlist"/>
        <w:numPr>
          <w:ilvl w:val="3"/>
          <w:numId w:val="15"/>
        </w:numPr>
        <w:jc w:val="both"/>
      </w:pPr>
      <w:r w:rsidRPr="003A4B4B">
        <w:t>Działanie – Wsparcie inwestycji obniżających emisyjność przemysłu,</w:t>
      </w:r>
    </w:p>
    <w:p w:rsidR="007D2F67" w:rsidRPr="003A4B4B" w:rsidRDefault="007D2F67" w:rsidP="007910C7">
      <w:pPr>
        <w:pStyle w:val="Akapitzlist"/>
        <w:numPr>
          <w:ilvl w:val="3"/>
          <w:numId w:val="15"/>
        </w:numPr>
        <w:jc w:val="both"/>
      </w:pPr>
      <w:r w:rsidRPr="003A4B4B">
        <w:t xml:space="preserve">Projekt strategiczny – Nowa polityka przemysłowa </w:t>
      </w:r>
      <w:r w:rsidR="0097736B">
        <w:t xml:space="preserve">                          </w:t>
      </w:r>
      <w:r w:rsidRPr="003A4B4B">
        <w:t>– przygotowanie dokumentu określającego potencjał przemysłowy, identyfikującego potrzeby i bariery przemysłu, kierunki interwencji państwa oraz instrumenty wsparcia niezbędne dla jego rozwoju, w tym kontrakt branżowy,</w:t>
      </w:r>
    </w:p>
    <w:p w:rsidR="007D2F67" w:rsidRPr="003A4B4B" w:rsidRDefault="007D2F67" w:rsidP="007910C7">
      <w:pPr>
        <w:pStyle w:val="Akapitzlist"/>
        <w:numPr>
          <w:ilvl w:val="3"/>
          <w:numId w:val="15"/>
        </w:numPr>
        <w:jc w:val="both"/>
      </w:pPr>
      <w:r w:rsidRPr="003A4B4B">
        <w:t>Projekt strategiczny – Strategia transformacji do gospodarki niskoemisyjnej – przygotowanie dokumentu o charakterze wykonawczym, identyfikującego działania przyczyniające się do</w:t>
      </w:r>
      <w:r w:rsidR="0097736B">
        <w:t> </w:t>
      </w:r>
      <w:r w:rsidRPr="003A4B4B">
        <w:t>zmniejszenia emisyjności i energochłonności gospodarki, przy jednoczesnym zapewnieniu ochrony konkurencyjności sektorów strukturalnie energochłonnych,</w:t>
      </w:r>
    </w:p>
    <w:p w:rsidR="007D2F67" w:rsidRPr="003A4B4B" w:rsidRDefault="007D2F67" w:rsidP="007910C7">
      <w:pPr>
        <w:pStyle w:val="Akapitzlist"/>
        <w:numPr>
          <w:ilvl w:val="3"/>
          <w:numId w:val="15"/>
        </w:numPr>
        <w:jc w:val="both"/>
      </w:pPr>
      <w:r w:rsidRPr="003A4B4B">
        <w:t>Projekt strategiczny – Mapa drogowa w zakresie transformacji w kierunku gospodarki o zamkniętym obiegu – opracowanie dokumentu o charakterze wykonawczym, identyfikującego działania na rzecz zwiększenia wydajności wykorzystania zasobów i ograniczenia powstawania odpadów,</w:t>
      </w:r>
    </w:p>
    <w:p w:rsidR="007D2F67" w:rsidRDefault="007D2F67" w:rsidP="007910C7">
      <w:pPr>
        <w:pStyle w:val="Akapitzlist"/>
        <w:numPr>
          <w:ilvl w:val="3"/>
          <w:numId w:val="15"/>
        </w:numPr>
        <w:jc w:val="both"/>
      </w:pPr>
      <w:r w:rsidRPr="003A4B4B">
        <w:t xml:space="preserve">Projekt flagowy – Program </w:t>
      </w:r>
      <w:r w:rsidRPr="003A4B4B">
        <w:rPr>
          <w:i/>
        </w:rPr>
        <w:t>Ekobudownictwo</w:t>
      </w:r>
      <w:r w:rsidRPr="003A4B4B">
        <w:t xml:space="preserve"> – stymulowanie przygotowania i wdrażania wybranych produktów budownictwa ekologicznego (w tym z surowców naturalnych, m.in. z drewna), z</w:t>
      </w:r>
      <w:r w:rsidR="0097736B">
        <w:t> </w:t>
      </w:r>
      <w:r w:rsidRPr="003A4B4B">
        <w:t>uwzględnieniem wymogów efektywności energetycznej nowoczesnych materiałów budowlanych</w:t>
      </w:r>
      <w:r w:rsidR="00E9041B">
        <w:t>.</w:t>
      </w:r>
    </w:p>
    <w:p w:rsidR="00E9041B" w:rsidRPr="003A4B4B" w:rsidRDefault="00E9041B" w:rsidP="00FA40FE">
      <w:pPr>
        <w:pStyle w:val="Akapitzlist"/>
        <w:ind w:left="3196"/>
        <w:jc w:val="both"/>
      </w:pPr>
    </w:p>
    <w:p w:rsidR="007D2F67" w:rsidRPr="003A4B4B" w:rsidRDefault="007D2F67" w:rsidP="00043B72">
      <w:pPr>
        <w:pStyle w:val="Akapitzlist"/>
        <w:numPr>
          <w:ilvl w:val="2"/>
          <w:numId w:val="15"/>
        </w:numPr>
        <w:ind w:left="1985" w:hanging="284"/>
        <w:jc w:val="both"/>
      </w:pPr>
      <w:r w:rsidRPr="003A4B4B">
        <w:t>Kierunek interwencji – System zarządzania jakością w przemyśle</w:t>
      </w:r>
    </w:p>
    <w:p w:rsidR="00E9041B" w:rsidRDefault="007D2F67" w:rsidP="007910C7">
      <w:pPr>
        <w:pStyle w:val="Akapitzlist"/>
        <w:numPr>
          <w:ilvl w:val="3"/>
          <w:numId w:val="15"/>
        </w:numPr>
        <w:jc w:val="both"/>
      </w:pPr>
      <w:r w:rsidRPr="003A4B4B">
        <w:t xml:space="preserve">Projekt strategiczny – Polityka zakupowa państwa </w:t>
      </w:r>
      <w:r w:rsidR="00E9041B">
        <w:t xml:space="preserve">                            </w:t>
      </w:r>
      <w:r w:rsidRPr="003A4B4B">
        <w:t>– ukierunkowanie zakupów na innowacyjne i zrównoważone produkty i usługi dostarczane instytucjom publicznym</w:t>
      </w:r>
      <w:r w:rsidR="00E9041B">
        <w:t>.</w:t>
      </w:r>
    </w:p>
    <w:p w:rsidR="007D2F67" w:rsidRPr="003A4B4B" w:rsidRDefault="007D2F67" w:rsidP="00FA40FE">
      <w:pPr>
        <w:pStyle w:val="Akapitzlist"/>
        <w:ind w:left="3196"/>
        <w:jc w:val="both"/>
      </w:pPr>
    </w:p>
    <w:p w:rsidR="007D29C6" w:rsidRPr="003A4B4B" w:rsidRDefault="007D29C6" w:rsidP="00043B72">
      <w:pPr>
        <w:pStyle w:val="Akapitzlist"/>
        <w:numPr>
          <w:ilvl w:val="2"/>
          <w:numId w:val="15"/>
        </w:numPr>
        <w:ind w:left="1985" w:hanging="284"/>
        <w:jc w:val="both"/>
      </w:pPr>
      <w:r w:rsidRPr="003A4B4B">
        <w:t>Kierunek interwencji – Surowce dla przemysłu</w:t>
      </w:r>
    </w:p>
    <w:p w:rsidR="007D29C6" w:rsidRPr="003A4B4B" w:rsidRDefault="007D29C6" w:rsidP="007910C7">
      <w:pPr>
        <w:pStyle w:val="Akapitzlist"/>
        <w:numPr>
          <w:ilvl w:val="3"/>
          <w:numId w:val="15"/>
        </w:numPr>
        <w:jc w:val="both"/>
      </w:pPr>
      <w:r w:rsidRPr="003A4B4B">
        <w:t>Działanie – Opracowanie katalogu działań na rzecz zabezpieczenia dostępu przemysłu do nieenergetycznych surowców mineralnych i kopalin (przy szczególnym uwzględnieniu koncepcji gospodarki o obiegu zamkniętym i</w:t>
      </w:r>
      <w:r w:rsidR="00204D39">
        <w:t> </w:t>
      </w:r>
      <w:r w:rsidRPr="003A4B4B">
        <w:t>dyplomacji surowcowej), który będzie stanowił istotny wkład w</w:t>
      </w:r>
      <w:r w:rsidR="00204D39">
        <w:t> </w:t>
      </w:r>
      <w:r w:rsidRPr="003A4B4B">
        <w:t>politykę surowcową państwa,</w:t>
      </w:r>
    </w:p>
    <w:p w:rsidR="007D29C6" w:rsidRPr="003A4B4B" w:rsidRDefault="007D29C6" w:rsidP="007910C7">
      <w:pPr>
        <w:pStyle w:val="Akapitzlist"/>
        <w:numPr>
          <w:ilvl w:val="3"/>
          <w:numId w:val="15"/>
        </w:numPr>
        <w:jc w:val="both"/>
      </w:pPr>
      <w:r w:rsidRPr="003A4B4B">
        <w:t>Działanie – Zapewnienie synergii działań w obszarze polityki surowcowej będących w kompetencji poszczególnych instytucji,</w:t>
      </w:r>
    </w:p>
    <w:p w:rsidR="007D29C6" w:rsidRDefault="007D29C6" w:rsidP="007910C7">
      <w:pPr>
        <w:pStyle w:val="Akapitzlist"/>
        <w:numPr>
          <w:ilvl w:val="3"/>
          <w:numId w:val="15"/>
        </w:numPr>
        <w:jc w:val="both"/>
      </w:pPr>
      <w:r w:rsidRPr="003A4B4B">
        <w:t>Projekt strategiczny –</w:t>
      </w:r>
      <w:r w:rsidR="00AB6B5B" w:rsidRPr="003A4B4B">
        <w:t xml:space="preserve"> </w:t>
      </w:r>
      <w:r w:rsidRPr="003A4B4B">
        <w:t>Surowce dla przemysłu – przygotowanie, w</w:t>
      </w:r>
      <w:r w:rsidR="00204D39">
        <w:t> </w:t>
      </w:r>
      <w:r w:rsidRPr="003A4B4B">
        <w:t>oparciu o koncepcję gospodarki o obiegu zamkniętym</w:t>
      </w:r>
      <w:r w:rsidR="00AB6B5B" w:rsidRPr="003A4B4B">
        <w:t xml:space="preserve"> </w:t>
      </w:r>
      <w:r w:rsidRPr="003A4B4B">
        <w:t>(circular economy), Planu działań na rzecz zabezpieczenia podaży nieenergetycznych surowców</w:t>
      </w:r>
      <w:r w:rsidR="00AB6B5B" w:rsidRPr="003A4B4B">
        <w:t xml:space="preserve"> </w:t>
      </w:r>
      <w:r w:rsidRPr="003A4B4B">
        <w:t>miner</w:t>
      </w:r>
      <w:r w:rsidR="00AB6B5B" w:rsidRPr="003A4B4B">
        <w:t>alnych i kopalin</w:t>
      </w:r>
      <w:r w:rsidR="00204D39">
        <w:t>.</w:t>
      </w:r>
    </w:p>
    <w:p w:rsidR="00204D39" w:rsidRPr="003A4B4B" w:rsidRDefault="00204D39" w:rsidP="00FA40FE">
      <w:pPr>
        <w:pStyle w:val="Akapitzlist"/>
        <w:ind w:left="3196"/>
        <w:jc w:val="both"/>
      </w:pPr>
    </w:p>
    <w:p w:rsidR="00655039" w:rsidRPr="003A4B4B" w:rsidRDefault="00655039" w:rsidP="00043B72">
      <w:pPr>
        <w:pStyle w:val="Akapitzlist"/>
        <w:numPr>
          <w:ilvl w:val="2"/>
          <w:numId w:val="15"/>
        </w:numPr>
        <w:ind w:left="1985" w:hanging="284"/>
        <w:jc w:val="both"/>
      </w:pPr>
      <w:r w:rsidRPr="003A4B4B">
        <w:t>Kierunek interwencji – Stymulowanie popytu na innowacje przez sektor publiczny</w:t>
      </w:r>
    </w:p>
    <w:p w:rsidR="00655039" w:rsidRPr="003A4B4B" w:rsidRDefault="00655039" w:rsidP="007910C7">
      <w:pPr>
        <w:pStyle w:val="Akapitzlist"/>
        <w:numPr>
          <w:ilvl w:val="3"/>
          <w:numId w:val="15"/>
        </w:numPr>
        <w:jc w:val="both"/>
      </w:pPr>
      <w:r w:rsidRPr="003A4B4B">
        <w:t>Działanie – Aktywna rola instytucji sektora publicznego w</w:t>
      </w:r>
      <w:r w:rsidR="00204D39">
        <w:t> </w:t>
      </w:r>
      <w:r w:rsidRPr="003A4B4B">
        <w:t>rozwoju innowacyjnych sposobów adresowania wyzwań społecznych, w tym wprowadzanie regulacji stymulujących wdrażanie innowacji w takich dziedzinach jak np. ochrona środowiska i ochrona zdrowia (tzw. innowacje wymuszone),</w:t>
      </w:r>
    </w:p>
    <w:p w:rsidR="00655039" w:rsidRPr="003A4B4B" w:rsidRDefault="00655039" w:rsidP="007910C7">
      <w:pPr>
        <w:pStyle w:val="Akapitzlist"/>
        <w:numPr>
          <w:ilvl w:val="3"/>
          <w:numId w:val="15"/>
        </w:numPr>
        <w:jc w:val="both"/>
      </w:pPr>
      <w:r w:rsidRPr="003A4B4B">
        <w:t>Działanie – Stymulowanie powstawania i rozwoju ekoinnowacji, w tym zapewnienie warunków do weryfikacji technologii środowiskowych,</w:t>
      </w:r>
    </w:p>
    <w:p w:rsidR="00655039" w:rsidRDefault="00655039" w:rsidP="007910C7">
      <w:pPr>
        <w:pStyle w:val="Akapitzlist"/>
        <w:numPr>
          <w:ilvl w:val="3"/>
          <w:numId w:val="15"/>
        </w:numPr>
        <w:jc w:val="both"/>
      </w:pPr>
      <w:r w:rsidRPr="003A4B4B">
        <w:t>Projekt strategiczny – System Weryfikacji Technologii Środowiskowych (ETV) – ukierunkowany na dostarczenie niezależnych i wiarygodnych informacji o innowacyjnych technologiach środowiskowych przez zweryfikowanie, czy</w:t>
      </w:r>
      <w:r w:rsidR="00676AE3">
        <w:t> </w:t>
      </w:r>
      <w:r w:rsidRPr="003A4B4B">
        <w:t>deklaracje sprawności przedstawiane przez twórców i</w:t>
      </w:r>
      <w:r w:rsidR="00204D39">
        <w:t> </w:t>
      </w:r>
      <w:r w:rsidRPr="003A4B4B">
        <w:t>producentów technologii są kompletne, rzetelne i oparte</w:t>
      </w:r>
      <w:r w:rsidR="006D2BDF" w:rsidRPr="003A4B4B">
        <w:t xml:space="preserve"> na</w:t>
      </w:r>
      <w:r w:rsidR="00676AE3">
        <w:t> </w:t>
      </w:r>
      <w:r w:rsidR="006D2BDF" w:rsidRPr="003A4B4B">
        <w:t>wiarygodnych wynikach badań</w:t>
      </w:r>
      <w:r w:rsidR="00204D39">
        <w:t>.</w:t>
      </w:r>
    </w:p>
    <w:p w:rsidR="00204D39" w:rsidRPr="003A4B4B" w:rsidRDefault="00204D39" w:rsidP="00FA40FE">
      <w:pPr>
        <w:pStyle w:val="Akapitzlist"/>
        <w:ind w:left="3196"/>
        <w:jc w:val="both"/>
      </w:pPr>
    </w:p>
    <w:p w:rsidR="006D2BDF" w:rsidRPr="003A4B4B" w:rsidRDefault="006D2BDF" w:rsidP="00DA5EB0">
      <w:pPr>
        <w:pStyle w:val="Akapitzlist"/>
        <w:numPr>
          <w:ilvl w:val="2"/>
          <w:numId w:val="15"/>
        </w:numPr>
        <w:ind w:left="1985" w:hanging="283"/>
        <w:jc w:val="both"/>
      </w:pPr>
      <w:r w:rsidRPr="003A4B4B">
        <w:t>Kierunek interwencji – Stymulowanie popytu zewnętrznego na innowacje poprzez zwiększenie zdolności i skłonności firm do eksportu oraz lokowania bezpośrednich inwestycji za granicą</w:t>
      </w:r>
    </w:p>
    <w:p w:rsidR="006D2BDF" w:rsidRDefault="006D2BDF" w:rsidP="007910C7">
      <w:pPr>
        <w:pStyle w:val="Akapitzlist"/>
        <w:numPr>
          <w:ilvl w:val="3"/>
          <w:numId w:val="15"/>
        </w:numPr>
        <w:jc w:val="both"/>
      </w:pPr>
      <w:r w:rsidRPr="003A4B4B">
        <w:t xml:space="preserve">Działanie – </w:t>
      </w:r>
      <w:proofErr w:type="spellStart"/>
      <w:r w:rsidRPr="003A4B4B">
        <w:rPr>
          <w:i/>
        </w:rPr>
        <w:t>GreenInn</w:t>
      </w:r>
      <w:proofErr w:type="spellEnd"/>
      <w:r w:rsidRPr="003A4B4B">
        <w:t xml:space="preserve"> – stworzenie preferencji dla zielonych technologii w aplikowaniu w programach, w tym tworzenie akceleratorów branżowych, które wypromują rozwiązania na</w:t>
      </w:r>
      <w:r w:rsidR="00134CCC">
        <w:t> </w:t>
      </w:r>
      <w:r w:rsidR="00550BB3">
        <w:t>rynku globalnym.</w:t>
      </w:r>
    </w:p>
    <w:p w:rsidR="00550BB3" w:rsidRPr="003A4B4B" w:rsidRDefault="00550BB3" w:rsidP="00550BB3">
      <w:pPr>
        <w:pStyle w:val="Akapitzlist"/>
        <w:ind w:left="3196"/>
        <w:jc w:val="both"/>
      </w:pPr>
    </w:p>
    <w:p w:rsidR="006D2BDF" w:rsidRPr="003A4B4B" w:rsidRDefault="006D2BDF" w:rsidP="00DA5EB0">
      <w:pPr>
        <w:pStyle w:val="Akapitzlist"/>
        <w:numPr>
          <w:ilvl w:val="2"/>
          <w:numId w:val="15"/>
        </w:numPr>
        <w:ind w:left="1985" w:hanging="288"/>
        <w:jc w:val="both"/>
      </w:pPr>
      <w:r w:rsidRPr="003A4B4B">
        <w:t>Kierunek interwencji – Konkurencyjne gospodarstwa rolne i producenci rolno-spożywczy</w:t>
      </w:r>
    </w:p>
    <w:p w:rsidR="006D2BDF" w:rsidRPr="003A4B4B" w:rsidRDefault="006D2BDF" w:rsidP="007910C7">
      <w:pPr>
        <w:pStyle w:val="Akapitzlist"/>
        <w:numPr>
          <w:ilvl w:val="3"/>
          <w:numId w:val="15"/>
        </w:numPr>
        <w:jc w:val="both"/>
      </w:pPr>
      <w:r w:rsidRPr="003A4B4B">
        <w:lastRenderedPageBreak/>
        <w:t>Działanie – Wspieranie wytwarzania i dystrybucji produktów o wysokiej jakości i poziomie innowacyjności, w tym m.in. tradycyjnych, regionalnych i ekologicznych – wdrażane również poprzez projekty rozwoju branż,</w:t>
      </w:r>
    </w:p>
    <w:p w:rsidR="006D2BDF" w:rsidRPr="003A4B4B" w:rsidRDefault="006D2BDF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Projekt strategiczny – Ramowy Plan Działań dla Żywności i</w:t>
      </w:r>
      <w:r w:rsidR="00C5246E">
        <w:t> </w:t>
      </w:r>
      <w:r w:rsidRPr="003A4B4B">
        <w:t>Rolnictwa Ekologicznego na lata 2014–2020 – rozwój rolnictwa ekologicznego oraz rynku żywności ekologicznej,</w:t>
      </w:r>
    </w:p>
    <w:p w:rsidR="006D2BDF" w:rsidRPr="003A4B4B" w:rsidRDefault="006D2BDF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Projekt strategiczny – Gospodarowanie gruntami rolnymi na rzecz zrównoważonego rozwoju – nowy system regulacji prawnych służących poprawie struktury obszarowej gospodarstw rolnych,</w:t>
      </w:r>
    </w:p>
    <w:p w:rsidR="006D2BDF" w:rsidRDefault="006D2BDF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 xml:space="preserve">Projekt strategiczny – Program wsparcia hodowli roślin w Polsce </w:t>
      </w:r>
      <w:r w:rsidR="00C5246E">
        <w:t xml:space="preserve">    </w:t>
      </w:r>
      <w:r w:rsidRPr="003A4B4B">
        <w:t>– w programie zostaną ujęte strategiczne z punktu widzenia polskiego rolnictwa kierunki hodowli roślin z uwzględnieniem zmian klimatu, odporności na organizmy szkodliwe czy</w:t>
      </w:r>
      <w:r w:rsidR="00506279">
        <w:t> </w:t>
      </w:r>
      <w:r w:rsidRPr="003A4B4B">
        <w:t>też</w:t>
      </w:r>
      <w:r w:rsidR="00506279">
        <w:t> </w:t>
      </w:r>
      <w:r w:rsidRPr="003A4B4B">
        <w:t>wymagań rynkowych</w:t>
      </w:r>
      <w:r w:rsidR="00204D39">
        <w:t>.</w:t>
      </w:r>
    </w:p>
    <w:p w:rsidR="00204D39" w:rsidRPr="003A4B4B" w:rsidRDefault="00204D39" w:rsidP="00FA40FE">
      <w:pPr>
        <w:pStyle w:val="Akapitzlist"/>
        <w:ind w:left="3119"/>
        <w:jc w:val="both"/>
      </w:pPr>
    </w:p>
    <w:p w:rsidR="006D2BDF" w:rsidRPr="003A4B4B" w:rsidRDefault="006D2BDF" w:rsidP="00F77E3A">
      <w:pPr>
        <w:pStyle w:val="Akapitzlist"/>
        <w:numPr>
          <w:ilvl w:val="2"/>
          <w:numId w:val="15"/>
        </w:numPr>
        <w:ind w:left="1985" w:hanging="283"/>
        <w:jc w:val="both"/>
      </w:pPr>
      <w:r w:rsidRPr="003A4B4B">
        <w:t>Kierunek interwencji – Wzmocnienie rozpoznawalności polskich produktów, marki „Polska” oraz Marki Polskiej Gospodarki</w:t>
      </w:r>
    </w:p>
    <w:p w:rsidR="00B107AD" w:rsidRPr="003A4B4B" w:rsidRDefault="00B107AD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Działanie – Uspójnienie działań w obszarze promocji gospodarki z działaniami nakierowanymi na budowę wizerunku Polski jako</w:t>
      </w:r>
      <w:r w:rsidR="00692CBC">
        <w:t> </w:t>
      </w:r>
      <w:r w:rsidRPr="003A4B4B">
        <w:t>atrakcyjnej, bezpiecznej i otwartej destynacji turystycznej opartej o bogate zasoby kulturowe i przyrodnicze,</w:t>
      </w:r>
    </w:p>
    <w:p w:rsidR="00B107AD" w:rsidRPr="003A4B4B" w:rsidRDefault="00B107AD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Działanie – Działania na rzecz promocji polskiego sektora zielonych technologii oraz wsparcia ekspansji zagranicznej polskich przedsiębiorców tego sektora przy wykorzystaniu nowych form finansowania klimatycznego (Zielony Fundusz Klimatyczny oraz</w:t>
      </w:r>
      <w:r w:rsidR="00676AE3">
        <w:t> </w:t>
      </w:r>
      <w:r w:rsidRPr="003A4B4B">
        <w:t>Fundusz Adaptacyjny),</w:t>
      </w:r>
    </w:p>
    <w:p w:rsidR="00B107AD" w:rsidRPr="003A4B4B" w:rsidRDefault="00B107AD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Projekt strategiczny – Budowa Domu Polskich Turystycznych Marek Terytorialnych wraz z systemem koordynacji polityki turystycznej – stworzenie systemowych i kompleksowych rozwiązań prawnych, organizacyjnych, finansowych i</w:t>
      </w:r>
      <w:r w:rsidR="000075FE">
        <w:t> </w:t>
      </w:r>
      <w:r w:rsidRPr="003A4B4B">
        <w:t>narzędziowych w zakresie integracji, koordynacji, komercjalizacji i internacjonalizacji polskich, markowych produktów turystycznych opartych na potencjale kulturowym i przyrodniczym kraju</w:t>
      </w:r>
      <w:r w:rsidR="00550BB3">
        <w:t>.</w:t>
      </w:r>
    </w:p>
    <w:p w:rsidR="00A119DD" w:rsidRPr="003A4B4B" w:rsidRDefault="00A119DD" w:rsidP="00A119DD">
      <w:pPr>
        <w:pStyle w:val="Akapitzlist"/>
        <w:ind w:left="3119"/>
        <w:jc w:val="both"/>
      </w:pPr>
    </w:p>
    <w:p w:rsidR="00B107AD" w:rsidRDefault="00B107AD" w:rsidP="0072786A">
      <w:pPr>
        <w:pStyle w:val="Akapitzlist"/>
        <w:numPr>
          <w:ilvl w:val="1"/>
          <w:numId w:val="15"/>
        </w:numPr>
        <w:ind w:left="1134" w:hanging="306"/>
        <w:jc w:val="both"/>
      </w:pPr>
      <w:r w:rsidRPr="003A4B4B">
        <w:t>Cel szczegółowy II – Rozwój społecznie wrażliwy i terytorialnie zrównoważony</w:t>
      </w:r>
    </w:p>
    <w:p w:rsidR="00386162" w:rsidRPr="003A4B4B" w:rsidRDefault="00386162" w:rsidP="00FA40FE">
      <w:pPr>
        <w:pStyle w:val="Akapitzlist"/>
        <w:ind w:left="1134"/>
        <w:jc w:val="both"/>
      </w:pPr>
    </w:p>
    <w:p w:rsidR="00C309FD" w:rsidRPr="003A4B4B" w:rsidRDefault="00C309FD" w:rsidP="007826BE">
      <w:pPr>
        <w:pStyle w:val="Akapitzlist"/>
        <w:numPr>
          <w:ilvl w:val="2"/>
          <w:numId w:val="15"/>
        </w:numPr>
        <w:ind w:left="1985" w:hanging="284"/>
        <w:jc w:val="both"/>
      </w:pPr>
      <w:r w:rsidRPr="003A4B4B">
        <w:t>Kierunek interwencji – Poprawa dostępności do usług, w tym społecznych i zdrowotnych</w:t>
      </w:r>
    </w:p>
    <w:p w:rsidR="00C309FD" w:rsidRDefault="00C309FD" w:rsidP="007910C7">
      <w:pPr>
        <w:pStyle w:val="Akapitzlist"/>
        <w:numPr>
          <w:ilvl w:val="3"/>
          <w:numId w:val="15"/>
        </w:numPr>
        <w:tabs>
          <w:tab w:val="left" w:pos="1134"/>
        </w:tabs>
        <w:ind w:left="3119" w:hanging="284"/>
        <w:jc w:val="both"/>
      </w:pPr>
      <w:r w:rsidRPr="003A4B4B">
        <w:t>Działanie – Optymalizacja mobilności przestrzennej w dojazdach do pracy oraz racjonalizacja przestrzennej lokalizacji obiektów świadczących usługi społeczne (w tym edukacyjne i zdrowotne)</w:t>
      </w:r>
      <w:r w:rsidR="00386162">
        <w:t>.</w:t>
      </w:r>
    </w:p>
    <w:p w:rsidR="00386162" w:rsidRPr="003A4B4B" w:rsidRDefault="00386162" w:rsidP="00FA40FE">
      <w:pPr>
        <w:pStyle w:val="Akapitzlist"/>
        <w:tabs>
          <w:tab w:val="left" w:pos="1134"/>
        </w:tabs>
        <w:ind w:left="3119"/>
        <w:jc w:val="both"/>
      </w:pPr>
    </w:p>
    <w:p w:rsidR="00C309FD" w:rsidRPr="003A4B4B" w:rsidRDefault="00C309FD" w:rsidP="007826BE">
      <w:pPr>
        <w:pStyle w:val="Akapitzlist"/>
        <w:numPr>
          <w:ilvl w:val="2"/>
          <w:numId w:val="15"/>
        </w:numPr>
        <w:ind w:left="1985" w:hanging="284"/>
        <w:jc w:val="both"/>
      </w:pPr>
      <w:r w:rsidRPr="003A4B4B">
        <w:t>Kierunek interwencji – Tworzenie warunków do dalszego rozwoju konkurencyjnej gospodarki w Polsce Wschodniej i w innych obszarach słabszych gospodarczo</w:t>
      </w:r>
    </w:p>
    <w:p w:rsidR="00DE3EB4" w:rsidRPr="003A4B4B" w:rsidRDefault="00DE3EB4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lastRenderedPageBreak/>
        <w:t>Działanie – Zapewnienie skutecznej i efektywnej realizacji Programu Operacyjnego Polska Wschodnia 2014–2020, w</w:t>
      </w:r>
      <w:r w:rsidR="006E1C36">
        <w:t> </w:t>
      </w:r>
      <w:r w:rsidRPr="003A4B4B">
        <w:t>tym</w:t>
      </w:r>
      <w:r w:rsidR="006E1C36">
        <w:t> </w:t>
      </w:r>
      <w:r w:rsidRPr="003A4B4B">
        <w:t>pakietu inwestycji obejmujących: zapewnienie spójności i</w:t>
      </w:r>
      <w:r w:rsidR="000075FE">
        <w:t> </w:t>
      </w:r>
      <w:r w:rsidRPr="003A4B4B">
        <w:t>dostępności terytorialnej makroregionu poprzez inwestycje w</w:t>
      </w:r>
      <w:r w:rsidR="000075FE">
        <w:t> </w:t>
      </w:r>
      <w:r w:rsidRPr="003A4B4B">
        <w:t>drogi i kolej,  rozwój komunikacji miejskiej w stolicach województw Polski Wschodniej,</w:t>
      </w:r>
    </w:p>
    <w:p w:rsidR="002903D7" w:rsidRPr="003A4B4B" w:rsidRDefault="006A3643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 xml:space="preserve">Działanie – </w:t>
      </w:r>
      <w:r w:rsidR="002903D7" w:rsidRPr="003A4B4B">
        <w:t>Przygotowanie i realizacja programu krajowego, złożonego z różnych instrumentów krajowych i unijnych, publicznych i prywatnych, adresowanego przede wszystkim do obszarów o najniższym poziomie PKB i borykających się z</w:t>
      </w:r>
      <w:r w:rsidR="000075FE">
        <w:t> </w:t>
      </w:r>
      <w:r w:rsidR="002903D7" w:rsidRPr="003A4B4B">
        <w:t xml:space="preserve">problemami rozwojowym, obejmujących m.in. obszary zagrożone </w:t>
      </w:r>
      <w:r w:rsidR="00092E24" w:rsidRPr="003A4B4B">
        <w:t>marginalizacją i </w:t>
      </w:r>
      <w:r w:rsidR="002903D7" w:rsidRPr="003A4B4B">
        <w:t>średnie miasta tracąc</w:t>
      </w:r>
      <w:r w:rsidR="00F70FC1" w:rsidRPr="003A4B4B">
        <w:t>e funkcje społeczno-gospodarcze</w:t>
      </w:r>
      <w:r w:rsidR="002903D7" w:rsidRPr="003A4B4B">
        <w:t xml:space="preserve">, </w:t>
      </w:r>
    </w:p>
    <w:p w:rsidR="00F53FAD" w:rsidRDefault="00F53FAD" w:rsidP="007910C7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Projekt strategiczny – Progra</w:t>
      </w:r>
      <w:r w:rsidR="00E414BD" w:rsidRPr="003A4B4B">
        <w:t>m ponadregionalny skierowany do </w:t>
      </w:r>
      <w:r w:rsidRPr="003A4B4B">
        <w:t xml:space="preserve">najsłabszych gospodarczo obszarów 2020+ – ma </w:t>
      </w:r>
      <w:r w:rsidR="00E414BD" w:rsidRPr="003A4B4B">
        <w:t>służyć aktywizacji i </w:t>
      </w:r>
      <w:r w:rsidRPr="003A4B4B">
        <w:t>restrukturyzacji obszarów funkcjo</w:t>
      </w:r>
      <w:r w:rsidR="00E414BD" w:rsidRPr="003A4B4B">
        <w:t>nalnych</w:t>
      </w:r>
      <w:r w:rsidR="00AB45C9">
        <w:t>.</w:t>
      </w:r>
    </w:p>
    <w:p w:rsidR="00AB45C9" w:rsidRPr="003A4B4B" w:rsidRDefault="00AB45C9" w:rsidP="00FA40FE">
      <w:pPr>
        <w:pStyle w:val="Akapitzlist"/>
        <w:ind w:left="3119"/>
        <w:jc w:val="both"/>
      </w:pPr>
    </w:p>
    <w:p w:rsidR="00A217B4" w:rsidRPr="003A4B4B" w:rsidRDefault="00D2462A" w:rsidP="00F77E3A">
      <w:pPr>
        <w:pStyle w:val="Akapitzlist"/>
        <w:numPr>
          <w:ilvl w:val="2"/>
          <w:numId w:val="15"/>
        </w:numPr>
        <w:ind w:left="1985" w:hanging="283"/>
        <w:jc w:val="both"/>
      </w:pPr>
      <w:r w:rsidRPr="003A4B4B">
        <w:t xml:space="preserve">Kierunek interwencji – </w:t>
      </w:r>
      <w:r w:rsidR="00D40D54" w:rsidRPr="003A4B4B">
        <w:t>Wsparcie dla podwyższania atrakcyjności inwestycyjnej Śląska oraz promocji zmian strukturalnych</w:t>
      </w:r>
    </w:p>
    <w:p w:rsidR="00F70FC1" w:rsidRPr="003A4B4B" w:rsidRDefault="005E1C1F" w:rsidP="00F70FC1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Działanie – Wdrożenie aktywnej polityki przyciągania nowych inwestycji związanych z budową nowej gospodarki i</w:t>
      </w:r>
      <w:r w:rsidR="007A02BF">
        <w:t> </w:t>
      </w:r>
      <w:r w:rsidRPr="003A4B4B">
        <w:t>podniesieniem innowacyjności województwa,</w:t>
      </w:r>
    </w:p>
    <w:p w:rsidR="00F70FC1" w:rsidRPr="003A4B4B" w:rsidRDefault="00D169DD" w:rsidP="00F70FC1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Działanie –</w:t>
      </w:r>
      <w:r w:rsidR="005E1C1F" w:rsidRPr="003A4B4B">
        <w:t xml:space="preserve"> Opracowanie i wdrożenie programów rzą</w:t>
      </w:r>
      <w:r w:rsidRPr="003A4B4B">
        <w:t>dowych w </w:t>
      </w:r>
      <w:r w:rsidR="005E1C1F" w:rsidRPr="003A4B4B">
        <w:t>obszarze m.in. węgla kamiennego i energetyki,</w:t>
      </w:r>
    </w:p>
    <w:p w:rsidR="0089577A" w:rsidRPr="003A4B4B" w:rsidRDefault="006A3643" w:rsidP="0089577A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Działanie – Kompleksowe działania służące ograniczeniu niskiej emisji, związane m.in. z promowaniem publicznego transportu niskoemisyjnego, termomodernizacją, rozwojem sieci ciepłowniczych i wymianą lub modernizacją urządzeń grzewczych,</w:t>
      </w:r>
    </w:p>
    <w:p w:rsidR="0089577A" w:rsidRPr="003A4B4B" w:rsidRDefault="006A3643" w:rsidP="0089577A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Działanie – Rekultywacja terenów pokopalnianych i poprzemysłowych oraz ich ponowne wykorzystanie na cele gospodarcze i społeczne,</w:t>
      </w:r>
    </w:p>
    <w:p w:rsidR="0089577A" w:rsidRPr="003A4B4B" w:rsidRDefault="006A3643" w:rsidP="0089577A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Działanie – Kontynuowanie zintegrowanych działań rewitalizacyjnych miast śląskich, w tym modelowej rewitalizacji i</w:t>
      </w:r>
      <w:r w:rsidR="004932D5">
        <w:t> </w:t>
      </w:r>
      <w:r w:rsidRPr="003A4B4B">
        <w:t>projektu pilotażowego Bytomia,</w:t>
      </w:r>
    </w:p>
    <w:p w:rsidR="00CD4F1F" w:rsidRDefault="00CD4F1F" w:rsidP="0089577A">
      <w:pPr>
        <w:pStyle w:val="Akapitzlist"/>
        <w:numPr>
          <w:ilvl w:val="3"/>
          <w:numId w:val="15"/>
        </w:numPr>
        <w:ind w:left="3119" w:hanging="284"/>
        <w:jc w:val="both"/>
      </w:pPr>
      <w:r w:rsidRPr="003A4B4B">
        <w:t>Projekt strategiczny –</w:t>
      </w:r>
      <w:r w:rsidR="00F92ECF" w:rsidRPr="003A4B4B">
        <w:t xml:space="preserve"> Program dla Śląska –</w:t>
      </w:r>
      <w:r w:rsidR="0089577A" w:rsidRPr="003A4B4B">
        <w:t xml:space="preserve"> </w:t>
      </w:r>
      <w:r w:rsidR="009E62A2" w:rsidRPr="003A4B4B">
        <w:t>zmiana profilu gospodarczego regionu, stopniowe zastępowanie tradycyjnych sektorów gospodarki, takich jak górnictwo i hutnictwo, nowymi przedsięwzięciami w sektorach bardziej produktywnych, innowacyjnych i</w:t>
      </w:r>
      <w:r w:rsidR="0089577A" w:rsidRPr="003A4B4B">
        <w:t xml:space="preserve"> zaawansowanych technologicznie</w:t>
      </w:r>
      <w:r w:rsidR="00AB45C9">
        <w:t>.</w:t>
      </w:r>
    </w:p>
    <w:p w:rsidR="00AB45C9" w:rsidRPr="003A4B4B" w:rsidRDefault="00AB45C9" w:rsidP="00FA40FE">
      <w:pPr>
        <w:pStyle w:val="Akapitzlist"/>
        <w:ind w:left="3119"/>
        <w:jc w:val="both"/>
      </w:pPr>
    </w:p>
    <w:p w:rsidR="006B4618" w:rsidRDefault="00D90883" w:rsidP="006B4618">
      <w:pPr>
        <w:pStyle w:val="Akapitzlist"/>
        <w:numPr>
          <w:ilvl w:val="2"/>
          <w:numId w:val="15"/>
        </w:numPr>
        <w:spacing w:after="0"/>
        <w:ind w:left="1985" w:hanging="284"/>
        <w:jc w:val="both"/>
      </w:pPr>
      <w:r w:rsidRPr="003A4B4B">
        <w:t>Kierunek interwencji – Aktywne gospodarczo i przyjazne mieszkańcom miasta</w:t>
      </w:r>
    </w:p>
    <w:p w:rsidR="00F97387" w:rsidRPr="003A4B4B" w:rsidRDefault="008B2E59" w:rsidP="006B4618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– </w:t>
      </w:r>
      <w:r w:rsidR="003255CA" w:rsidRPr="003A4B4B">
        <w:t>Wspieranie realizacji zintegrowanych działań rewitalizacyjnych na podstawie programów rewitalizacji ukierunkowanych na przekształcenie obszarów zdegradowanych (w wymiarze społecznym, gospodarczym, środowiskowym, przestrzenno-funkcjonalnym, technicznym</w:t>
      </w:r>
      <w:r w:rsidR="00F97387" w:rsidRPr="003A4B4B">
        <w:t>)</w:t>
      </w:r>
      <w:r w:rsidR="003255CA" w:rsidRPr="003A4B4B">
        <w:t>,</w:t>
      </w:r>
    </w:p>
    <w:p w:rsidR="00F97387" w:rsidRPr="003A4B4B" w:rsidRDefault="008B2E59" w:rsidP="00F97387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– </w:t>
      </w:r>
      <w:r w:rsidR="00F437C1" w:rsidRPr="003A4B4B">
        <w:t>Realizacja niskoemisyjnych strategii miejskich i</w:t>
      </w:r>
      <w:r w:rsidR="004932D5">
        <w:t> </w:t>
      </w:r>
      <w:r w:rsidR="00F437C1" w:rsidRPr="003A4B4B">
        <w:t xml:space="preserve">związanych z poprawą jakości powietrza oraz przystosowanie </w:t>
      </w:r>
      <w:r w:rsidR="00F437C1" w:rsidRPr="003A4B4B">
        <w:lastRenderedPageBreak/>
        <w:t>do</w:t>
      </w:r>
      <w:r w:rsidR="00814084">
        <w:t> </w:t>
      </w:r>
      <w:r w:rsidR="00F437C1" w:rsidRPr="003A4B4B">
        <w:t>zmian klimatycznych obszarów miejskich, w powiązaniu z</w:t>
      </w:r>
      <w:r w:rsidR="004932D5">
        <w:t> </w:t>
      </w:r>
      <w:r w:rsidR="00F437C1" w:rsidRPr="003A4B4B">
        <w:t>działaniami wskazanymi w obszarach SOR dotyczących energetyki i środowiska naturalnego</w:t>
      </w:r>
      <w:r w:rsidR="006A2577" w:rsidRPr="003A4B4B">
        <w:t>,</w:t>
      </w:r>
    </w:p>
    <w:p w:rsidR="00F97387" w:rsidRPr="003A4B4B" w:rsidRDefault="008B2E59" w:rsidP="00F97387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– </w:t>
      </w:r>
      <w:r w:rsidR="002A1D94" w:rsidRPr="003A4B4B">
        <w:t>Realizacja strategii zrówn</w:t>
      </w:r>
      <w:r w:rsidR="005A304F" w:rsidRPr="003A4B4B">
        <w:t xml:space="preserve">oważonej mobilności miejskiej w </w:t>
      </w:r>
      <w:r w:rsidR="002A1D94" w:rsidRPr="003A4B4B">
        <w:t>powiązaniu z działaniami dotyczący</w:t>
      </w:r>
      <w:r w:rsidR="00F97387" w:rsidRPr="003A4B4B">
        <w:t>mi</w:t>
      </w:r>
      <w:r w:rsidR="002A1D94" w:rsidRPr="003A4B4B">
        <w:t xml:space="preserve"> kompleksowych programów rozbudowy infrastruktury systemów transportu publicznego, rekomendacji dla poli</w:t>
      </w:r>
      <w:r w:rsidR="005A304F" w:rsidRPr="003A4B4B">
        <w:t>tyki transportowej wskazanymi w </w:t>
      </w:r>
      <w:r w:rsidR="002A1D94" w:rsidRPr="003A4B4B">
        <w:t>obszarze Transport</w:t>
      </w:r>
      <w:r w:rsidR="006A2577" w:rsidRPr="003A4B4B">
        <w:t>,</w:t>
      </w:r>
    </w:p>
    <w:p w:rsidR="003A4B4B" w:rsidRPr="003A4B4B" w:rsidRDefault="008B2E59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– </w:t>
      </w:r>
      <w:r w:rsidR="000D483D" w:rsidRPr="003A4B4B">
        <w:t>Tworzenie krajowej sieci współpracy miast umożliwiającej wymianę wiedzy i najlepszych praktyk nt.</w:t>
      </w:r>
      <w:r w:rsidR="00F97387" w:rsidRPr="003A4B4B">
        <w:t> </w:t>
      </w:r>
      <w:r w:rsidR="000D483D" w:rsidRPr="003A4B4B">
        <w:t>zrównoważonego rozwoju miast, usprawnień w zarządzaniu, koordynacji i realizacji innowacyjnych projektów</w:t>
      </w:r>
      <w:r w:rsidR="00055DDD" w:rsidRPr="003A4B4B">
        <w:t>,</w:t>
      </w:r>
    </w:p>
    <w:p w:rsidR="003A4B4B" w:rsidRPr="003A4B4B" w:rsidRDefault="00011AC8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– </w:t>
      </w:r>
      <w:r w:rsidR="005E5A70" w:rsidRPr="003A4B4B">
        <w:t>Promowanie podejścia partycypacyjnego w podejmowaniu decyzji oraz w zakresie zarządzania miastami i realizacji działań rewitalizacyjnych, w tym nacisk na realizację niskoemisyjnych strategii miejskich oraz strategii zrównoważonej mobilności miejskiej na funkcjonalnych obszarach zurbanizowanych,</w:t>
      </w:r>
    </w:p>
    <w:p w:rsidR="003A4B4B" w:rsidRPr="003A4B4B" w:rsidRDefault="002244E2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Projekt strategiczny – </w:t>
      </w:r>
      <w:r w:rsidR="00DA606D" w:rsidRPr="003A4B4B">
        <w:t xml:space="preserve">Pakiet działań na rzecz wsparcia samorządów w programowaniu i realizacji rewitalizacji </w:t>
      </w:r>
      <w:r w:rsidR="00F334BC">
        <w:t xml:space="preserve">                   </w:t>
      </w:r>
      <w:r w:rsidR="00DA606D" w:rsidRPr="003A4B4B">
        <w:t xml:space="preserve">– upowszechnianie rewitalizacji jako </w:t>
      </w:r>
      <w:r w:rsidR="003A4B4B" w:rsidRPr="003A4B4B">
        <w:t>ważnego elementu rozwoju miast,</w:t>
      </w:r>
    </w:p>
    <w:p w:rsidR="003A4B4B" w:rsidRPr="003A4B4B" w:rsidRDefault="00F22532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</w:t>
      </w:r>
      <w:r w:rsidR="006B4618">
        <w:t>–</w:t>
      </w:r>
      <w:r w:rsidRPr="003A4B4B">
        <w:t xml:space="preserve"> </w:t>
      </w:r>
      <w:r w:rsidR="00B67DE1" w:rsidRPr="003A4B4B">
        <w:t>Wprowadzenie preferencji i zachęt przyczyniających się do zmian dotychczasowych zachowań mobilnych obywateli na</w:t>
      </w:r>
      <w:r w:rsidR="00971994">
        <w:t> </w:t>
      </w:r>
      <w:r w:rsidR="00B67DE1" w:rsidRPr="003A4B4B">
        <w:t>rzecz użytkowania transportu zbiorowego, jako</w:t>
      </w:r>
      <w:r w:rsidR="00971994">
        <w:t> </w:t>
      </w:r>
      <w:r w:rsidR="003A4B4B" w:rsidRPr="003A4B4B">
        <w:t>p</w:t>
      </w:r>
      <w:r w:rsidR="00B67DE1" w:rsidRPr="003A4B4B">
        <w:t>odstawowego środka komunikacji w obszarach miejskich i</w:t>
      </w:r>
      <w:r w:rsidR="00971994">
        <w:t> </w:t>
      </w:r>
      <w:r w:rsidR="00B67DE1" w:rsidRPr="003A4B4B">
        <w:t>ich strefach podmiejskich,</w:t>
      </w:r>
    </w:p>
    <w:p w:rsidR="003A4B4B" w:rsidRPr="003A4B4B" w:rsidRDefault="00246B83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</w:t>
      </w:r>
      <w:r w:rsidR="006B4618">
        <w:t>–</w:t>
      </w:r>
      <w:r w:rsidRPr="003A4B4B">
        <w:t xml:space="preserve"> </w:t>
      </w:r>
      <w:r w:rsidR="00F214D0" w:rsidRPr="003A4B4B">
        <w:rPr>
          <w:rFonts w:cs="DINPro"/>
        </w:rPr>
        <w:t>Tworzenie warunków do rozwoju elektromobilności m.in. poprzez ułatwienia w lokalizowaniu stacji do ładowania pojazdów elektrycznych, zakup elektrycznych autobusów itp.</w:t>
      </w:r>
      <w:r w:rsidR="00C7100E">
        <w:rPr>
          <w:rFonts w:cs="DINPro"/>
        </w:rPr>
        <w:t> </w:t>
      </w:r>
      <w:r w:rsidR="00CD5E4E">
        <w:rPr>
          <w:rFonts w:cs="DINPro"/>
        </w:rPr>
        <w:t>o</w:t>
      </w:r>
      <w:r w:rsidR="00F214D0" w:rsidRPr="003A4B4B">
        <w:rPr>
          <w:rFonts w:cs="DINPro"/>
        </w:rPr>
        <w:t>raz</w:t>
      </w:r>
      <w:r w:rsidR="00CD5E4E">
        <w:rPr>
          <w:rFonts w:cs="DINPro"/>
        </w:rPr>
        <w:t> </w:t>
      </w:r>
      <w:r w:rsidR="00F214D0" w:rsidRPr="003A4B4B">
        <w:rPr>
          <w:rFonts w:cs="DINPro"/>
        </w:rPr>
        <w:t>wspieranie miast w rozwoju niskoemisyjnego transportu zbiorowego</w:t>
      </w:r>
      <w:r w:rsidR="003849FD" w:rsidRPr="003A4B4B">
        <w:rPr>
          <w:rFonts w:cs="DINPro"/>
        </w:rPr>
        <w:t>,</w:t>
      </w:r>
    </w:p>
    <w:p w:rsidR="003A4B4B" w:rsidRPr="003A4B4B" w:rsidRDefault="00B24926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</w:t>
      </w:r>
      <w:r w:rsidR="006B4618">
        <w:t>–</w:t>
      </w:r>
      <w:r w:rsidRPr="003A4B4B">
        <w:t xml:space="preserve"> </w:t>
      </w:r>
      <w:r w:rsidR="00D60977" w:rsidRPr="003A4B4B">
        <w:rPr>
          <w:rFonts w:cs="DINPro"/>
        </w:rPr>
        <w:t>Wspieranie miast w wymianie taboru transportu miejskiego na ekologiczny i niskoemisyjny (np. autobusy elektryczne we wszystkich miastach wojewódzkich),</w:t>
      </w:r>
    </w:p>
    <w:p w:rsidR="003A4B4B" w:rsidRPr="003A4B4B" w:rsidRDefault="0087540F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</w:t>
      </w:r>
      <w:r w:rsidR="006B4618">
        <w:t>–</w:t>
      </w:r>
      <w:r w:rsidRPr="003A4B4B">
        <w:t xml:space="preserve"> </w:t>
      </w:r>
      <w:r w:rsidR="0037191F" w:rsidRPr="003A4B4B">
        <w:rPr>
          <w:rFonts w:cs="DINPro"/>
        </w:rPr>
        <w:t>Rozwiązanie kwestii środowiskowych, w</w:t>
      </w:r>
      <w:r w:rsidR="00990C31">
        <w:rPr>
          <w:rFonts w:cs="DINPro"/>
        </w:rPr>
        <w:t> </w:t>
      </w:r>
      <w:r w:rsidR="0037191F" w:rsidRPr="003A4B4B">
        <w:rPr>
          <w:rFonts w:cs="DINPro"/>
        </w:rPr>
        <w:t>tym</w:t>
      </w:r>
      <w:r w:rsidR="00990C31">
        <w:rPr>
          <w:rFonts w:cs="DINPro"/>
        </w:rPr>
        <w:t> </w:t>
      </w:r>
      <w:r w:rsidR="0037191F" w:rsidRPr="003A4B4B">
        <w:rPr>
          <w:rFonts w:cs="DINPro"/>
        </w:rPr>
        <w:t>zmniejszenie problemu zanieczyszczeń powietrza i emisji gazów cieplarnianych oraz dostosowanie/adaptacja obszarów zu</w:t>
      </w:r>
      <w:r w:rsidR="003A4B4B" w:rsidRPr="003A4B4B">
        <w:rPr>
          <w:rFonts w:cs="DINPro"/>
        </w:rPr>
        <w:t>rbanizowanych do zmian klimatu,</w:t>
      </w:r>
    </w:p>
    <w:p w:rsidR="003A4B4B" w:rsidRPr="003A4B4B" w:rsidRDefault="007467F7" w:rsidP="003A4B4B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</w:t>
      </w:r>
      <w:r w:rsidR="006B4618">
        <w:t>–</w:t>
      </w:r>
      <w:r w:rsidRPr="003A4B4B">
        <w:t xml:space="preserve"> </w:t>
      </w:r>
      <w:r w:rsidR="0037191F" w:rsidRPr="003A4B4B">
        <w:rPr>
          <w:rFonts w:cs="DINPro"/>
        </w:rPr>
        <w:t>Poprawa dostępu do usług publicznych i</w:t>
      </w:r>
      <w:r w:rsidR="00584F76">
        <w:rPr>
          <w:rFonts w:cs="DINPro"/>
        </w:rPr>
        <w:t> </w:t>
      </w:r>
      <w:r w:rsidR="0037191F" w:rsidRPr="003A4B4B">
        <w:rPr>
          <w:rFonts w:cs="DINPro"/>
        </w:rPr>
        <w:t>optymalizacja zagospodarowania przestrzennego w skali miast i</w:t>
      </w:r>
      <w:r w:rsidR="00584F76">
        <w:rPr>
          <w:rFonts w:cs="DINPro"/>
        </w:rPr>
        <w:t> </w:t>
      </w:r>
      <w:r w:rsidR="0037191F" w:rsidRPr="003A4B4B">
        <w:rPr>
          <w:rFonts w:cs="DINPro"/>
        </w:rPr>
        <w:t>ich otoczenia, wzmocnienie roli ośrodków w świadczeniu ponadlokalnych usług publicznych i reorganizacja sieci usług na</w:t>
      </w:r>
      <w:r w:rsidR="00584F76">
        <w:rPr>
          <w:rFonts w:cs="DINPro"/>
        </w:rPr>
        <w:t> </w:t>
      </w:r>
      <w:r w:rsidR="0037191F" w:rsidRPr="003A4B4B">
        <w:rPr>
          <w:rFonts w:cs="DINPro"/>
        </w:rPr>
        <w:t>skutek spodziewanych zmian demograficznych,</w:t>
      </w:r>
    </w:p>
    <w:p w:rsidR="00612D3D" w:rsidRPr="00FA40FE" w:rsidRDefault="007467F7" w:rsidP="006B4618">
      <w:pPr>
        <w:pStyle w:val="Akapitzlist"/>
        <w:numPr>
          <w:ilvl w:val="3"/>
          <w:numId w:val="15"/>
        </w:numPr>
        <w:spacing w:after="0"/>
        <w:jc w:val="both"/>
      </w:pPr>
      <w:r w:rsidRPr="003A4B4B">
        <w:t xml:space="preserve">Działanie </w:t>
      </w:r>
      <w:r w:rsidR="006B4618">
        <w:t>–</w:t>
      </w:r>
      <w:r w:rsidRPr="003A4B4B">
        <w:t xml:space="preserve"> </w:t>
      </w:r>
      <w:r w:rsidRPr="003A4B4B">
        <w:rPr>
          <w:rFonts w:cs="DINPro"/>
        </w:rPr>
        <w:t>Rozwijanie i integrowanie systemów transportu zbiorowego usprawniających jakość połączeń w miastach, między nimi a ich wiejskim otoczeniem i ważnymi sąsiadującymi ośrodkami</w:t>
      </w:r>
      <w:r w:rsidR="00612D3D">
        <w:rPr>
          <w:rFonts w:cs="DINPro"/>
        </w:rPr>
        <w:t>.</w:t>
      </w:r>
    </w:p>
    <w:p w:rsidR="006B4618" w:rsidRPr="006B4618" w:rsidRDefault="007467F7" w:rsidP="00FA40FE">
      <w:pPr>
        <w:pStyle w:val="Akapitzlist"/>
        <w:spacing w:after="0"/>
        <w:ind w:left="3196"/>
        <w:jc w:val="both"/>
      </w:pPr>
      <w:r w:rsidRPr="003A4B4B">
        <w:rPr>
          <w:rFonts w:cs="DINPro"/>
        </w:rPr>
        <w:lastRenderedPageBreak/>
        <w:t xml:space="preserve"> </w:t>
      </w:r>
    </w:p>
    <w:p w:rsidR="003F39BE" w:rsidRDefault="0050058C" w:rsidP="006B4618">
      <w:pPr>
        <w:pStyle w:val="Akapitzlist"/>
        <w:numPr>
          <w:ilvl w:val="2"/>
          <w:numId w:val="15"/>
        </w:numPr>
        <w:spacing w:after="0"/>
        <w:jc w:val="both"/>
      </w:pPr>
      <w:r w:rsidRPr="003A4B4B">
        <w:t>Kierunek interwencji – Rozwój obszarów wiejskich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Działanie – Wsparcie usług sprzyjających rozwojowi pozarolniczych funkcji gospodarstw rolnych (turystycznych, edukacyjnych, zdrowotnych, opiekuńczych i in.),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Działanie – Dywersyfikacja źródeł wytwarzania energii i</w:t>
      </w:r>
      <w:r w:rsidR="000C4ECB">
        <w:t> </w:t>
      </w:r>
      <w:r>
        <w:t>dystrybucji energii na poziomie lokalnym,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Działanie – Rozwój lub modernizacja infrastruktury niezbędnej do prowadzenia działalności gospodarczej (w tym w szczególności: infrastruktury energetycznej, transportowej i infrastruktury w</w:t>
      </w:r>
      <w:r w:rsidR="000C4ECB">
        <w:t> </w:t>
      </w:r>
      <w:r>
        <w:t>zakresie szeroko pojętej gospodarki wodnej),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Działanie – Upowszechnienie gospodarki o obiegu zamkniętym w</w:t>
      </w:r>
      <w:r w:rsidR="000C4ECB">
        <w:t> </w:t>
      </w:r>
      <w:r>
        <w:t>rozwoju obszarów wiejskich,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 xml:space="preserve">Działanie – Promowanie ładu przestrzennego na obszarach wiejskich, w szczególności w zasięgu oddziaływania obszarów silnie zurbanizowanych, m.in. w celu zapobiegania rozpraszaniu istniejącej sieci osadniczej, 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Działanie – Wdrożenie Paktu dla obszarów wiejskich, łączącego ze sobą wszystkie działania o charakterze systemowym (zmiany legislacyjne, instytucjonalne, programowe) oraz inwestycyjnym, związane z procesem zarządzania obszarami wiejskimi,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Działanie – Kontynuacja wsparcia infrastrukturalnego i</w:t>
      </w:r>
      <w:r w:rsidR="00C07494">
        <w:t> </w:t>
      </w:r>
      <w:r>
        <w:t>przedsięwzięć podnoszących jakość oraz dostępność usług publicznych na obszarach wiejskich,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Działanie – Kompleksowe działania obejmujące planowanie, przygotowanie i przeprowadzenie przekształceń przestrzennych i</w:t>
      </w:r>
      <w:r w:rsidR="007B4804">
        <w:t> </w:t>
      </w:r>
      <w:r>
        <w:t>infrastrukturalnych, potrzebnych lokalnie do zachowania i</w:t>
      </w:r>
      <w:r w:rsidR="007B4804">
        <w:t> </w:t>
      </w:r>
      <w:r>
        <w:t>poprawy funkcji gospodarczej (w tym rolnictwa), mieszkaniowej, przyrodniczej i kulturowej obszarów wiejskich na rzecz ładu przestrzennego,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Projekt strategiczny – Pakt dla obszarów wiejskich – wdrażany jako dokument o charakterze porozumienia społecznego i</w:t>
      </w:r>
      <w:r w:rsidR="007B4804">
        <w:t> </w:t>
      </w:r>
      <w:r>
        <w:t>politycznego, integrujący w sposób kompleksowy działania systemowe (zmiany legislacyjne, instytucjonalne, programowe) oraz inwestycyjne, związane z procesem zarządzania obszarami wiejskimi. Efektem tych skoordynowanych działań będzie wzmocnienie wszystkich funkcji wsi: społecznych, gospodarczych i środowiskowych,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 xml:space="preserve">Projekt strategiczny – Infrastruktura dla rozwoju obszarów wiejskich – kompleksowy i zintegrowany pakiet działań określający interwencje z różnych źródeł krajowych i UE, niezbędne dla zwiększenia dostępności mieszkańców obszarów wiejskich do podstawowych usług publicznych i poprawy ich jakości, obejmujący m.in. poprawę dostępności komunikacyjnej obszarów wiejskich, wsparcie inwestycji z zakresu gospodarki wodno-ściekowej na obszarach wiejskich, 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 xml:space="preserve">Działanie - Udoskonalenie realizacji zintegrowanych działań rewitalizacyjnych (realizowanych na podstawie programów </w:t>
      </w:r>
      <w:r>
        <w:lastRenderedPageBreak/>
        <w:t>rewitalizacji) ukierunkowanych na wsparcie obszarów zdegradowanych, w tym po byłych państwowych gospodarstwach rolnych (w wymiarze społecznym, gospodarczym, środowiskowym, przestrzenno-funkcjonalnym, technicznym),</w:t>
      </w:r>
    </w:p>
    <w:p w:rsidR="008F6B36" w:rsidRDefault="008F6B36" w:rsidP="008F6B36">
      <w:pPr>
        <w:pStyle w:val="Akapitzlist"/>
        <w:numPr>
          <w:ilvl w:val="3"/>
          <w:numId w:val="15"/>
        </w:numPr>
        <w:spacing w:after="0"/>
        <w:jc w:val="both"/>
      </w:pPr>
      <w:r>
        <w:t>Projekt strategiczny – Pakiet działań dla obszarów zagrożonych trwałą marginalizacją do roku 2020 – z zakresu m.in.: rozwoju lokalnej przedsiębiorczości, aktywizacji lokalnych zasobów ludzkich, pobudzania lokalnych inicjatyw gospodarczych i</w:t>
      </w:r>
      <w:r w:rsidR="007B4804">
        <w:t> </w:t>
      </w:r>
      <w:r>
        <w:t>społecznych, a także poprawy dostępu mieszkańców do</w:t>
      </w:r>
      <w:r w:rsidR="007B4804">
        <w:t> </w:t>
      </w:r>
      <w:r>
        <w:t xml:space="preserve">podstawowych usług publicznych. Jednym z elementów Programu będzie rewitalizacja obszarów </w:t>
      </w:r>
      <w:proofErr w:type="spellStart"/>
      <w:r>
        <w:t>defaworyzowanych</w:t>
      </w:r>
      <w:proofErr w:type="spellEnd"/>
      <w:r>
        <w:t>, w</w:t>
      </w:r>
      <w:r w:rsidR="00BE7CB9">
        <w:t> </w:t>
      </w:r>
      <w:r>
        <w:t>tym po byłych państwowych gospodarstwach rolnych</w:t>
      </w:r>
      <w:r w:rsidR="00BE7CB9">
        <w:t>.</w:t>
      </w:r>
    </w:p>
    <w:p w:rsidR="00BE7CB9" w:rsidRDefault="00BE7CB9" w:rsidP="00FA40FE">
      <w:pPr>
        <w:pStyle w:val="Akapitzlist"/>
        <w:spacing w:after="0"/>
        <w:ind w:left="3196"/>
        <w:jc w:val="both"/>
      </w:pPr>
    </w:p>
    <w:p w:rsidR="008F6B36" w:rsidRDefault="008F6B36" w:rsidP="00FA40FE">
      <w:pPr>
        <w:pStyle w:val="Akapitzlist"/>
        <w:numPr>
          <w:ilvl w:val="2"/>
          <w:numId w:val="15"/>
        </w:numPr>
        <w:spacing w:after="0"/>
        <w:ind w:left="1985"/>
        <w:jc w:val="both"/>
      </w:pPr>
      <w:r w:rsidRPr="008F6B36">
        <w:t>Kierunek interwencji – Wzmocnienie sprawności administracyjnej samorządów terytorialnych oraz ich zdolności do współpracy z partnerami na rzecz rozwoju</w:t>
      </w:r>
    </w:p>
    <w:p w:rsidR="008F6B36" w:rsidRPr="008F6B36" w:rsidRDefault="00F00890" w:rsidP="008F6B36">
      <w:pPr>
        <w:pStyle w:val="Akapitzlist"/>
        <w:numPr>
          <w:ilvl w:val="3"/>
          <w:numId w:val="15"/>
        </w:numPr>
        <w:spacing w:after="0"/>
        <w:jc w:val="both"/>
      </w:pPr>
      <w:r w:rsidRPr="008F6B36">
        <w:rPr>
          <w:rFonts w:cs="DINPro"/>
        </w:rPr>
        <w:t xml:space="preserve">Działanie </w:t>
      </w:r>
      <w:r w:rsidR="008F6B36">
        <w:rPr>
          <w:rFonts w:cs="DINPro"/>
        </w:rPr>
        <w:t>–</w:t>
      </w:r>
      <w:r w:rsidRPr="008F6B36">
        <w:rPr>
          <w:rFonts w:cs="DINPro"/>
        </w:rPr>
        <w:t xml:space="preserve"> Upowszechnienie dobrych praktyk i wdrożenie projektów pilotażowych dotyczących rozwoju lokalnego, np.</w:t>
      </w:r>
      <w:r w:rsidR="007B4804">
        <w:rPr>
          <w:rFonts w:cs="DINPro"/>
        </w:rPr>
        <w:t> </w:t>
      </w:r>
      <w:r w:rsidRPr="008F6B36">
        <w:rPr>
          <w:rFonts w:cs="DINPro"/>
        </w:rPr>
        <w:t>wykorzystanie dostępnych instrumentów gospodarki nieruchomościami gminnymi i planowania przestrzennego do</w:t>
      </w:r>
      <w:r w:rsidR="00D42A40">
        <w:rPr>
          <w:rFonts w:cs="DINPro"/>
        </w:rPr>
        <w:t> </w:t>
      </w:r>
      <w:r w:rsidRPr="008F6B36">
        <w:rPr>
          <w:rFonts w:cs="DINPro"/>
        </w:rPr>
        <w:t xml:space="preserve">tworzenia </w:t>
      </w:r>
      <w:proofErr w:type="spellStart"/>
      <w:r w:rsidRPr="008F6B36">
        <w:rPr>
          <w:rFonts w:cs="DINPro"/>
        </w:rPr>
        <w:t>mikrostref</w:t>
      </w:r>
      <w:proofErr w:type="spellEnd"/>
      <w:r w:rsidRPr="008F6B36">
        <w:rPr>
          <w:rFonts w:cs="DINPro"/>
        </w:rPr>
        <w:t xml:space="preserve"> aktywności gospodarczej, centrów handlu lokalnego, modelowania efektywnej współpracy samorządów z</w:t>
      </w:r>
      <w:r w:rsidR="007B4804">
        <w:rPr>
          <w:rFonts w:cs="DINPro"/>
        </w:rPr>
        <w:t> </w:t>
      </w:r>
      <w:r w:rsidRPr="008F6B36">
        <w:rPr>
          <w:rFonts w:cs="DINPro"/>
        </w:rPr>
        <w:t>przedsiębiorcami, dostosowania i wykorzystania zasobów pracy do potrzeb rynkowych,</w:t>
      </w:r>
    </w:p>
    <w:p w:rsidR="00802A46" w:rsidRPr="00FA40FE" w:rsidRDefault="00802A46" w:rsidP="008F6B36">
      <w:pPr>
        <w:pStyle w:val="Akapitzlist"/>
        <w:numPr>
          <w:ilvl w:val="3"/>
          <w:numId w:val="15"/>
        </w:numPr>
        <w:spacing w:after="0"/>
        <w:jc w:val="both"/>
      </w:pPr>
      <w:r w:rsidRPr="008F6B36">
        <w:rPr>
          <w:rFonts w:cs="DINPro"/>
        </w:rPr>
        <w:t xml:space="preserve">Projekt strategiczny </w:t>
      </w:r>
      <w:r w:rsidR="008F6B36" w:rsidRPr="008F6B36">
        <w:rPr>
          <w:rFonts w:cs="DINPro"/>
        </w:rPr>
        <w:t>–</w:t>
      </w:r>
      <w:r w:rsidRPr="008F6B36">
        <w:rPr>
          <w:rFonts w:cs="DINPro"/>
        </w:rPr>
        <w:t xml:space="preserve"> </w:t>
      </w:r>
      <w:r w:rsidR="00702022" w:rsidRPr="008F6B36">
        <w:rPr>
          <w:rFonts w:cs="DINPro"/>
        </w:rPr>
        <w:t>Centrum Wsparcia Doradczego (CWD) - powołanie instytucji zarządzanej na poziomie krajowym (z</w:t>
      </w:r>
      <w:r w:rsidR="007B4804">
        <w:rPr>
          <w:rFonts w:cs="DINPro"/>
        </w:rPr>
        <w:t> </w:t>
      </w:r>
      <w:r w:rsidR="00702022" w:rsidRPr="008F6B36">
        <w:rPr>
          <w:rFonts w:cs="DINPro"/>
        </w:rPr>
        <w:t>możliwością rozszerzenia o sieć instytucji regionalnych) oferującej kompleksowe doradztwo dla gmin i powiatów w</w:t>
      </w:r>
      <w:r w:rsidR="00D42A40">
        <w:rPr>
          <w:rFonts w:cs="DINPro"/>
        </w:rPr>
        <w:t> </w:t>
      </w:r>
      <w:r w:rsidR="00702022" w:rsidRPr="008F6B36">
        <w:rPr>
          <w:rFonts w:cs="DINPro"/>
        </w:rPr>
        <w:t>zakresie:</w:t>
      </w:r>
      <w:r w:rsidR="008F6B36" w:rsidRPr="008F6B36">
        <w:rPr>
          <w:rFonts w:cs="DINPro"/>
        </w:rPr>
        <w:t xml:space="preserve"> </w:t>
      </w:r>
      <w:r w:rsidR="00702022" w:rsidRPr="008F6B36">
        <w:rPr>
          <w:rFonts w:cs="DINPro"/>
        </w:rPr>
        <w:t>przygotowania projektów do realizacji (m.in. aspekty prawne, efektywność ekonomiczna,</w:t>
      </w:r>
      <w:r w:rsidR="008043A3" w:rsidRPr="008F6B36">
        <w:rPr>
          <w:rFonts w:cs="DINPro"/>
        </w:rPr>
        <w:t xml:space="preserve"> </w:t>
      </w:r>
      <w:r w:rsidR="00702022" w:rsidRPr="008F6B36">
        <w:rPr>
          <w:rFonts w:cs="DINPro"/>
        </w:rPr>
        <w:t>kwestie środowiskowe, zamówienia publiczne, PPP; wsparcie w zakresie przestrzegania prawa europejskiego; pozyskiwania środkó</w:t>
      </w:r>
      <w:r w:rsidR="008F6B36" w:rsidRPr="008F6B36">
        <w:rPr>
          <w:rFonts w:cs="DINPro"/>
        </w:rPr>
        <w:t>w finansowych z</w:t>
      </w:r>
      <w:r w:rsidR="007B4804">
        <w:rPr>
          <w:rFonts w:cs="DINPro"/>
        </w:rPr>
        <w:t> </w:t>
      </w:r>
      <w:r w:rsidR="008F6B36" w:rsidRPr="008F6B36">
        <w:rPr>
          <w:rFonts w:cs="DINPro"/>
        </w:rPr>
        <w:t xml:space="preserve">różnych źródeł); </w:t>
      </w:r>
      <w:r w:rsidR="00702022" w:rsidRPr="008F6B36">
        <w:rPr>
          <w:rFonts w:cs="DINPro"/>
        </w:rPr>
        <w:t>planowania strategicznego i planowania przestrzennego</w:t>
      </w:r>
      <w:r w:rsidR="00107B9A">
        <w:rPr>
          <w:rFonts w:cs="DINPro"/>
        </w:rPr>
        <w:t>.</w:t>
      </w:r>
    </w:p>
    <w:p w:rsidR="00107B9A" w:rsidRPr="008F6B36" w:rsidRDefault="00107B9A" w:rsidP="00FA40FE">
      <w:pPr>
        <w:pStyle w:val="Akapitzlist"/>
        <w:spacing w:after="0"/>
        <w:ind w:left="3196"/>
        <w:jc w:val="both"/>
      </w:pPr>
    </w:p>
    <w:p w:rsidR="008F6B36" w:rsidRDefault="00096482" w:rsidP="008F6B3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851" w:hanging="284"/>
        <w:jc w:val="both"/>
      </w:pPr>
      <w:r w:rsidRPr="003A4B4B">
        <w:t>Cel szczegółowy III –</w:t>
      </w:r>
      <w:r w:rsidR="00BE7B33" w:rsidRPr="003A4B4B">
        <w:t xml:space="preserve"> </w:t>
      </w:r>
      <w:r w:rsidR="00E02924" w:rsidRPr="003A4B4B">
        <w:t>Skuteczne państwo i instytucje służące wzrostowi oraz włączeniu społecznemu i gospodarczemu</w:t>
      </w:r>
    </w:p>
    <w:p w:rsidR="00273E1B" w:rsidRDefault="00273E1B" w:rsidP="00FA40FE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</w:pPr>
    </w:p>
    <w:p w:rsidR="008F6B36" w:rsidRDefault="00CD56CE" w:rsidP="00FA40F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843" w:hanging="142"/>
        <w:jc w:val="both"/>
      </w:pPr>
      <w:r w:rsidRPr="003A4B4B">
        <w:t xml:space="preserve">Kierunek interwencji </w:t>
      </w:r>
      <w:r w:rsidR="003341EC" w:rsidRPr="003A4B4B">
        <w:t>–</w:t>
      </w:r>
      <w:r w:rsidRPr="003A4B4B">
        <w:t xml:space="preserve"> </w:t>
      </w:r>
      <w:r w:rsidR="004645EA" w:rsidRPr="003A4B4B">
        <w:t>Zwiększenie efektywności programowania rozwoju poprzez zintegrowanie planowania przestrzennego i społeczno-gospodarczego</w:t>
      </w:r>
      <w:r w:rsidR="00C8639A" w:rsidRPr="003A4B4B">
        <w:t xml:space="preserve"> </w:t>
      </w:r>
      <w:r w:rsidR="004645EA" w:rsidRPr="003A4B4B">
        <w:t>oraz zapewnienie realnej partycypacji społecznej</w:t>
      </w:r>
    </w:p>
    <w:p w:rsidR="008F6B36" w:rsidRDefault="00AF3CE2" w:rsidP="008F6B3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8F6B36">
        <w:rPr>
          <w:rFonts w:cs="DINPro"/>
        </w:rPr>
        <w:t xml:space="preserve">Działanie </w:t>
      </w:r>
      <w:r w:rsidR="008F6B36">
        <w:rPr>
          <w:rFonts w:cs="DINPro"/>
        </w:rPr>
        <w:t>–</w:t>
      </w:r>
      <w:r w:rsidRPr="008F6B36">
        <w:rPr>
          <w:rFonts w:cs="DINPro"/>
        </w:rPr>
        <w:t xml:space="preserve"> </w:t>
      </w:r>
      <w:r w:rsidR="003341EC" w:rsidRPr="003A4B4B">
        <w:t>Zapewnienie powszechnego dostępu do aktualnej informacji o stanie i przeznaczeniu terenów,</w:t>
      </w:r>
      <w:r w:rsidR="007444F2" w:rsidRPr="003A4B4B">
        <w:t xml:space="preserve"> </w:t>
      </w:r>
      <w:r w:rsidR="003341EC" w:rsidRPr="003A4B4B">
        <w:t>w tym planów zagospodarowania przestrzennego w postaci cyfrowej (bazodanowej), powszechnie dostępnych w rejestrze urbanistyczno-budowlanym,</w:t>
      </w:r>
    </w:p>
    <w:p w:rsidR="008F6B36" w:rsidRDefault="00AF3CE2" w:rsidP="00FA40FE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192" w:hanging="357"/>
        <w:jc w:val="both"/>
      </w:pPr>
      <w:r w:rsidRPr="008F6B36">
        <w:rPr>
          <w:rFonts w:cs="DINPro"/>
        </w:rPr>
        <w:t xml:space="preserve">Działanie </w:t>
      </w:r>
      <w:r w:rsidR="008F6B36">
        <w:rPr>
          <w:rFonts w:cs="DINPro"/>
        </w:rPr>
        <w:t>–</w:t>
      </w:r>
      <w:r w:rsidRPr="008F6B36">
        <w:rPr>
          <w:rFonts w:cs="DINPro"/>
        </w:rPr>
        <w:t xml:space="preserve"> </w:t>
      </w:r>
      <w:r w:rsidR="003341EC" w:rsidRPr="003A4B4B">
        <w:t xml:space="preserve">Wzmocnienie systemu monitoringu przestrzennego oraz uporządkowanie systemu okresowych sprawozdań </w:t>
      </w:r>
      <w:r w:rsidR="003341EC" w:rsidRPr="003A4B4B">
        <w:lastRenderedPageBreak/>
        <w:t>oraz</w:t>
      </w:r>
      <w:r w:rsidR="007B4804">
        <w:t> </w:t>
      </w:r>
      <w:r w:rsidR="003341EC" w:rsidRPr="003A4B4B">
        <w:t>analiz dotyczących stanu zagospodarowania przestrzeni oraz</w:t>
      </w:r>
      <w:r w:rsidR="007B4804">
        <w:t> </w:t>
      </w:r>
      <w:r w:rsidR="003341EC" w:rsidRPr="003A4B4B">
        <w:t>efektów polityk przestrzennych w układach terytorialnych,</w:t>
      </w:r>
    </w:p>
    <w:p w:rsidR="008F6B36" w:rsidRDefault="005B4BA1" w:rsidP="00FA40FE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3192" w:hanging="357"/>
        <w:jc w:val="both"/>
      </w:pPr>
      <w:r w:rsidRPr="003A4B4B">
        <w:t xml:space="preserve">Projekt </w:t>
      </w:r>
      <w:r w:rsidR="008F6B36">
        <w:t>s</w:t>
      </w:r>
      <w:r w:rsidRPr="003A4B4B">
        <w:t xml:space="preserve">trategiczny </w:t>
      </w:r>
      <w:r w:rsidR="008F6B36">
        <w:t>–</w:t>
      </w:r>
      <w:r w:rsidRPr="003A4B4B">
        <w:t xml:space="preserve"> </w:t>
      </w:r>
      <w:r w:rsidR="00C33ADC" w:rsidRPr="003A4B4B">
        <w:t xml:space="preserve">Kodeks urbanistyczno-budowlany (KUB) </w:t>
      </w:r>
      <w:r w:rsidR="007B4804">
        <w:t xml:space="preserve">      </w:t>
      </w:r>
      <w:r w:rsidR="00C33ADC" w:rsidRPr="003A4B4B">
        <w:t>– kompleksowa regulacja zakładająca osiągnięcie trzech głównych celów: 1) przywrócenia i utrwalenia ładu przestrzennego, 2)</w:t>
      </w:r>
      <w:r w:rsidR="007B4804">
        <w:t> </w:t>
      </w:r>
      <w:r w:rsidR="00C33ADC" w:rsidRPr="003A4B4B">
        <w:t>usprawnienia procesów inwestycyjno-budowlanych, 3)</w:t>
      </w:r>
      <w:r w:rsidR="007B4804">
        <w:t> </w:t>
      </w:r>
      <w:r w:rsidR="008F6B36">
        <w:t>z</w:t>
      </w:r>
      <w:r w:rsidR="00C33ADC" w:rsidRPr="003A4B4B">
        <w:t>apewnienia sprawnej i terminowej realizac</w:t>
      </w:r>
      <w:r w:rsidR="008F6B36">
        <w:t>ji inwestycji celu publicznego,</w:t>
      </w:r>
    </w:p>
    <w:p w:rsidR="008F6B36" w:rsidRDefault="00842781" w:rsidP="008F6B36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A4B4B">
        <w:t xml:space="preserve">Projekt Strategiczny </w:t>
      </w:r>
      <w:r w:rsidR="008F6B36">
        <w:t>–</w:t>
      </w:r>
      <w:r w:rsidR="00837080" w:rsidRPr="003A4B4B">
        <w:t xml:space="preserve"> Plan zagospodarowania przestrzennego polskich obszarów morskich – baza dla efektywnego wykorzystania przestrzeni morskiej przy zastosowaniu podejścia ekosystemowego, usprawnienia procedur dotyczących procesów inwestycyjnych w polskich obszarach morskich, wzmocnienia pozycji polskich portów morskich, zwiększenia konkurencyjności transportu morskiego, zapewnienia bezpieczeństwa morskiego oraz zwiększenia udziału sektora morskiego w PKB</w:t>
      </w:r>
      <w:r w:rsidR="00442D32">
        <w:t>.</w:t>
      </w:r>
    </w:p>
    <w:p w:rsidR="00442D32" w:rsidRDefault="00442D32" w:rsidP="00FA40FE">
      <w:pPr>
        <w:pStyle w:val="Akapitzlist"/>
        <w:autoSpaceDE w:val="0"/>
        <w:autoSpaceDN w:val="0"/>
        <w:adjustRightInd w:val="0"/>
        <w:spacing w:after="0" w:line="240" w:lineRule="auto"/>
        <w:ind w:left="3196"/>
        <w:jc w:val="both"/>
      </w:pPr>
    </w:p>
    <w:p w:rsidR="00345DAF" w:rsidRDefault="00345DAF" w:rsidP="00345DA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Obszar wpływający na osiągnięcie celów </w:t>
      </w:r>
      <w:r w:rsidRPr="00345DAF">
        <w:rPr>
          <w:i/>
        </w:rPr>
        <w:t>Strategii</w:t>
      </w:r>
      <w:r>
        <w:t xml:space="preserve"> – Transport</w:t>
      </w:r>
    </w:p>
    <w:p w:rsidR="00442D32" w:rsidRDefault="00442D32" w:rsidP="00FA40F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345DAF" w:rsidRDefault="003D0B35" w:rsidP="00FA40F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985" w:hanging="142"/>
        <w:jc w:val="both"/>
      </w:pPr>
      <w:r w:rsidRPr="003A4B4B">
        <w:t>Kierunek interwencji – Budowa zintegrowanej, wzajemnie powiązanej sieci transportowej służącej konkurencyjnej gospodarce</w:t>
      </w:r>
    </w:p>
    <w:p w:rsidR="00345DAF" w:rsidRPr="00345DAF" w:rsidRDefault="00747FD8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Przygotowanie długofalowej i kompleksowej polityki rozwoju transportu, zawierającej plan zintegrowanego oraz</w:t>
      </w:r>
      <w:r w:rsidR="00423E33">
        <w:rPr>
          <w:rFonts w:cs="DINPro"/>
        </w:rPr>
        <w:t> </w:t>
      </w:r>
      <w:r w:rsidRPr="00345DAF">
        <w:rPr>
          <w:rFonts w:cs="DINPro"/>
        </w:rPr>
        <w:t>zgodnego z wymogami ochrony środowiska rozwoju wszystkich gałęzi transportu,</w:t>
      </w:r>
    </w:p>
    <w:p w:rsidR="00345DAF" w:rsidRPr="00345DAF" w:rsidRDefault="00867A8B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</w:t>
      </w:r>
      <w:r w:rsidR="0064508D" w:rsidRPr="00345DAF">
        <w:rPr>
          <w:rFonts w:cs="DINPro"/>
        </w:rPr>
        <w:t>Promocja wzorców zrównoważonej mobilności w</w:t>
      </w:r>
      <w:r w:rsidR="00423E33">
        <w:rPr>
          <w:rFonts w:cs="DINPro"/>
        </w:rPr>
        <w:t> </w:t>
      </w:r>
      <w:r w:rsidR="0064508D" w:rsidRPr="00345DAF">
        <w:rPr>
          <w:rFonts w:cs="DINPro"/>
        </w:rPr>
        <w:t>polskim społeczeństwie, w tym wykorzystywania transportu publicznego (zwłaszcza transportu kolejowego),</w:t>
      </w:r>
    </w:p>
    <w:p w:rsidR="00345DAF" w:rsidRPr="00345DAF" w:rsidRDefault="00E80918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</w:t>
      </w:r>
      <w:r w:rsidR="007B3207" w:rsidRPr="00345DAF">
        <w:rPr>
          <w:rFonts w:cs="DINPro"/>
        </w:rPr>
        <w:t>Promocja transportu intermodalnego oraz</w:t>
      </w:r>
      <w:r w:rsidR="00423E33">
        <w:rPr>
          <w:rFonts w:cs="DINPro"/>
        </w:rPr>
        <w:t> </w:t>
      </w:r>
      <w:r w:rsidR="007B3207" w:rsidRPr="00345DAF">
        <w:rPr>
          <w:rFonts w:cs="DINPro"/>
        </w:rPr>
        <w:t>kombinowanego, jako alternatyw względem transportu lądowego – wykorzystanie potencjału zarówno podmiotów publicznych</w:t>
      </w:r>
      <w:r w:rsidR="00345DAF">
        <w:rPr>
          <w:rFonts w:cs="DINPro"/>
        </w:rPr>
        <w:t>,</w:t>
      </w:r>
      <w:r w:rsidR="007B3207" w:rsidRPr="00345DAF">
        <w:rPr>
          <w:rFonts w:cs="DINPro"/>
        </w:rPr>
        <w:t xml:space="preserve"> jak również przedsiębiorstw oraz partnerów społeczno-gospodarczych,</w:t>
      </w:r>
    </w:p>
    <w:p w:rsidR="00345DAF" w:rsidRPr="00345DAF" w:rsidRDefault="00572F06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</w:t>
      </w:r>
      <w:r w:rsidR="002E0C00" w:rsidRPr="00345DAF">
        <w:rPr>
          <w:rFonts w:cs="DINPro"/>
        </w:rPr>
        <w:t>Sporządzenie strategicznych ocen oddziaływania na</w:t>
      </w:r>
      <w:r w:rsidR="00423E33">
        <w:rPr>
          <w:rFonts w:cs="DINPro"/>
        </w:rPr>
        <w:t> </w:t>
      </w:r>
      <w:r w:rsidR="002E0C00" w:rsidRPr="00345DAF">
        <w:rPr>
          <w:rFonts w:cs="DINPro"/>
        </w:rPr>
        <w:t>środowisko dla planów rozwoju śródlądowych dróg wodnych w</w:t>
      </w:r>
      <w:r w:rsidR="00423E33">
        <w:rPr>
          <w:rFonts w:cs="DINPro"/>
        </w:rPr>
        <w:t> </w:t>
      </w:r>
      <w:r w:rsidR="002E0C00" w:rsidRPr="00345DAF">
        <w:rPr>
          <w:rFonts w:cs="DINPro"/>
        </w:rPr>
        <w:t>Polsce na lata 2016</w:t>
      </w:r>
      <w:r w:rsidR="00345DAF">
        <w:rPr>
          <w:rFonts w:cs="DINPro"/>
        </w:rPr>
        <w:t>–</w:t>
      </w:r>
      <w:r w:rsidR="002E0C00" w:rsidRPr="00345DAF">
        <w:rPr>
          <w:rFonts w:cs="DINPro"/>
        </w:rPr>
        <w:t>2020 z perspektywą do roku 2030 i ocen oddziaływania na środowisko inwestycji realizowanych w oparciu o te plany,</w:t>
      </w:r>
    </w:p>
    <w:p w:rsidR="00345DAF" w:rsidRDefault="00D374DE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</w:t>
      </w:r>
      <w:r w:rsidR="007C3693" w:rsidRPr="00345DAF">
        <w:rPr>
          <w:rFonts w:cs="DINPro"/>
        </w:rPr>
        <w:t>Powiązanie Polski z korytarzami sieci bazowej TEN-T: Bałtyk</w:t>
      </w:r>
      <w:r w:rsidR="00345DAF">
        <w:rPr>
          <w:rFonts w:cs="DINPro"/>
        </w:rPr>
        <w:t>–Adriatyk oraz Morze Północne</w:t>
      </w:r>
      <w:r w:rsidR="007C3693" w:rsidRPr="00345DAF">
        <w:rPr>
          <w:rFonts w:cs="DINPro"/>
        </w:rPr>
        <w:t>–</w:t>
      </w:r>
      <w:r w:rsidR="00345DAF">
        <w:rPr>
          <w:rFonts w:cs="DINPro"/>
        </w:rPr>
        <w:t>Bałtyk,</w:t>
      </w:r>
    </w:p>
    <w:p w:rsidR="00345DAF" w:rsidRDefault="00B24729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AE311E" w:rsidRPr="003A4B4B">
        <w:rPr>
          <w:rFonts w:cs="DINPro"/>
        </w:rPr>
        <w:t>Dostosowanie istniejącej sieci dróg krajowych do</w:t>
      </w:r>
      <w:r w:rsidR="00423E33">
        <w:rPr>
          <w:rFonts w:cs="DINPro"/>
        </w:rPr>
        <w:t> </w:t>
      </w:r>
      <w:r w:rsidR="00AE311E" w:rsidRPr="003A4B4B">
        <w:rPr>
          <w:rFonts w:cs="DINPro"/>
        </w:rPr>
        <w:t>ruchu na terenach miast oraz ich obszarów funkcjonalnych (ruch tranzytowy, wymogi względem ruchu niezmotoryzowanego),</w:t>
      </w:r>
    </w:p>
    <w:p w:rsidR="00345DAF" w:rsidRDefault="009757E5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="002B22B6" w:rsidRPr="00345DAF">
        <w:rPr>
          <w:rFonts w:cs="DINPro"/>
        </w:rPr>
        <w:t xml:space="preserve"> </w:t>
      </w:r>
      <w:r w:rsidR="009D2BF6" w:rsidRPr="00345DAF">
        <w:rPr>
          <w:rFonts w:cs="DINPro"/>
        </w:rPr>
        <w:t>Wdrożenie systemów informatycznych i</w:t>
      </w:r>
      <w:r w:rsidR="00423E33">
        <w:rPr>
          <w:rFonts w:cs="DINPro"/>
        </w:rPr>
        <w:t> </w:t>
      </w:r>
      <w:r w:rsidR="009D2BF6" w:rsidRPr="00345DAF">
        <w:rPr>
          <w:rFonts w:cs="DINPro"/>
        </w:rPr>
        <w:t>telekomunikacyjnych (</w:t>
      </w:r>
      <w:proofErr w:type="spellStart"/>
      <w:r w:rsidR="009D2BF6" w:rsidRPr="00345DAF">
        <w:rPr>
          <w:rFonts w:cs="DINPro"/>
        </w:rPr>
        <w:t>telematyki</w:t>
      </w:r>
      <w:proofErr w:type="spellEnd"/>
      <w:r w:rsidR="009D2BF6" w:rsidRPr="00345DAF">
        <w:rPr>
          <w:rFonts w:cs="DINPro"/>
        </w:rPr>
        <w:t xml:space="preserve"> transportowej) we wszystkich rodzajach transportu, z uwzględnieniem ko</w:t>
      </w:r>
      <w:r w:rsidR="00345DAF">
        <w:rPr>
          <w:rFonts w:cs="DINPro"/>
        </w:rPr>
        <w:t>sztów oraz</w:t>
      </w:r>
      <w:r w:rsidR="00423E33">
        <w:rPr>
          <w:rFonts w:cs="DINPro"/>
        </w:rPr>
        <w:t> </w:t>
      </w:r>
      <w:r w:rsidR="00345DAF">
        <w:rPr>
          <w:rFonts w:cs="DINPro"/>
        </w:rPr>
        <w:t>potencjalnych zysków,</w:t>
      </w:r>
    </w:p>
    <w:p w:rsidR="00345DAF" w:rsidRDefault="00261148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A4B4B">
        <w:rPr>
          <w:rFonts w:cs="DINPro"/>
        </w:rPr>
        <w:t xml:space="preserve"> Wdrożenie systemu wsparcia sektora transportu wodnego śródlądowego w zakresie: modernizacji taboru, rozwoju kompetencji i kadr sektora, tworzenia mechanizmów współpracy podmiotów sektora w świadczeniu usług transportowych,</w:t>
      </w:r>
    </w:p>
    <w:p w:rsidR="00345DAF" w:rsidRPr="00345DAF" w:rsidRDefault="00686FEC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A4B4B">
        <w:lastRenderedPageBreak/>
        <w:t xml:space="preserve">Projekt Strategiczny </w:t>
      </w:r>
      <w:r w:rsidR="00345DAF">
        <w:t>–</w:t>
      </w:r>
      <w:r w:rsidRPr="003A4B4B">
        <w:t xml:space="preserve"> </w:t>
      </w:r>
      <w:r w:rsidR="00907B20" w:rsidRPr="00345DAF">
        <w:rPr>
          <w:i/>
        </w:rPr>
        <w:t>Program rozwoju polskich portów morskich do roku 2020 (z perspektywą do 2030 roku)</w:t>
      </w:r>
      <w:r w:rsidR="00907B20" w:rsidRPr="003A4B4B">
        <w:t xml:space="preserve"> – celem głównym programu jest poprawa konkurencyjności polskich portów morskich oraz wzrost ich udziału w rozwoju społeczno–gospodarczym kraju i podniesienie rangi portów morskich w</w:t>
      </w:r>
      <w:r w:rsidR="00D83DC7">
        <w:t> </w:t>
      </w:r>
      <w:r w:rsidR="00907B20" w:rsidRPr="003A4B4B">
        <w:t>międzynarodowej sieci transportowej,</w:t>
      </w:r>
    </w:p>
    <w:p w:rsidR="00345DAF" w:rsidRPr="00345DAF" w:rsidRDefault="007D2E16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A4B4B">
        <w:t xml:space="preserve">Projekt Strategiczny - </w:t>
      </w:r>
      <w:r w:rsidR="00FC23BF" w:rsidRPr="003A4B4B">
        <w:t>Rozwój sektora żeglugi śródlądowej obejmujący rozwój śródlądowych dróg wodnych w Polsce, wzmocnienie kapitału ludzkiego dla żeglugi, rozwój floty polskich statków śródlądowych oraz szersze gospodarcze i społeczne wykorzystanie powstałej infrastruktury w rozwoju lokalnym,</w:t>
      </w:r>
    </w:p>
    <w:p w:rsidR="00345DAF" w:rsidRPr="00345DAF" w:rsidRDefault="00FC23BF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A4B4B">
        <w:t xml:space="preserve">Projekt Strategiczny </w:t>
      </w:r>
      <w:r w:rsidR="00345DAF">
        <w:t>–</w:t>
      </w:r>
      <w:r w:rsidRPr="003A4B4B">
        <w:t xml:space="preserve"> Budowa drogi wodnej łączącej Zalew Wiślany z Zatoką Gdańską zapewniającej dostęp do Portu Elbląg kanałem żeglugowym przez Mierzeję Wiślaną,</w:t>
      </w:r>
    </w:p>
    <w:p w:rsidR="00345DAF" w:rsidRPr="00FA40FE" w:rsidRDefault="00345DAF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>
        <w:t>Projekt strategiczny</w:t>
      </w:r>
      <w:r w:rsidR="004E24C3" w:rsidRPr="003A4B4B">
        <w:t xml:space="preserve"> </w:t>
      </w:r>
      <w:r>
        <w:t>–</w:t>
      </w:r>
      <w:r w:rsidR="004E24C3" w:rsidRPr="003A4B4B">
        <w:t xml:space="preserve"> Rozwój transportu intermodalnego – określenie działań, w tym niezbędnych inwestycji w</w:t>
      </w:r>
      <w:r w:rsidR="00D83DC7">
        <w:t> </w:t>
      </w:r>
      <w:r w:rsidR="004E24C3" w:rsidRPr="003A4B4B">
        <w:t>infrastrukturę transportu, zapewniających zwiększenie przewozów intermodalnych</w:t>
      </w:r>
      <w:r w:rsidR="005201EF">
        <w:t>.</w:t>
      </w:r>
    </w:p>
    <w:p w:rsidR="005201EF" w:rsidRPr="00345DAF" w:rsidRDefault="005201EF" w:rsidP="00FA40FE">
      <w:pPr>
        <w:pStyle w:val="Akapitzlist"/>
        <w:autoSpaceDE w:val="0"/>
        <w:autoSpaceDN w:val="0"/>
        <w:adjustRightInd w:val="0"/>
        <w:spacing w:after="0" w:line="240" w:lineRule="auto"/>
        <w:ind w:left="3196"/>
        <w:jc w:val="both"/>
        <w:rPr>
          <w:rFonts w:cs="DINPro"/>
        </w:rPr>
      </w:pPr>
    </w:p>
    <w:p w:rsidR="00345DAF" w:rsidRPr="00345DAF" w:rsidRDefault="00F07456" w:rsidP="00345DAF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A4B4B">
        <w:t>Kierunek interwencji –</w:t>
      </w:r>
      <w:r w:rsidR="00B72537" w:rsidRPr="003A4B4B">
        <w:t xml:space="preserve"> Zmiany w indywidualnej i zbiorowej mobilności</w:t>
      </w:r>
    </w:p>
    <w:p w:rsidR="00345DAF" w:rsidRDefault="00A70F44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</w:t>
      </w:r>
      <w:r w:rsidR="00424F31" w:rsidRPr="00345DAF">
        <w:rPr>
          <w:rFonts w:cs="DINPro"/>
        </w:rPr>
        <w:t>Przygotowanie mechanizmów koordynacji zasad świadczenia usług publicznego transportu zbiorowego</w:t>
      </w:r>
      <w:r w:rsidRPr="00345DAF">
        <w:rPr>
          <w:rFonts w:cs="DINPro"/>
        </w:rPr>
        <w:t xml:space="preserve"> </w:t>
      </w:r>
      <w:r w:rsidR="00424F31" w:rsidRPr="00345DAF">
        <w:rPr>
          <w:rFonts w:cs="DINPro"/>
        </w:rPr>
        <w:t>na</w:t>
      </w:r>
      <w:r w:rsidR="00D83DC7">
        <w:rPr>
          <w:rFonts w:cs="DINPro"/>
        </w:rPr>
        <w:t> </w:t>
      </w:r>
      <w:r w:rsidR="00424F31" w:rsidRPr="00345DAF">
        <w:rPr>
          <w:rFonts w:cs="DINPro"/>
        </w:rPr>
        <w:t>poziomie województwo – powiat – gmina</w:t>
      </w:r>
      <w:r w:rsidR="00345DAF">
        <w:rPr>
          <w:rFonts w:cs="DINPro"/>
        </w:rPr>
        <w:t>,</w:t>
      </w:r>
    </w:p>
    <w:p w:rsidR="00345DAF" w:rsidRDefault="005E4B56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Promocja mechanizmów zarządzania i poprawy transportu publicznego w miastach i w ich obszarach funkcjonalnych</w:t>
      </w:r>
      <w:r w:rsidR="00345DAF">
        <w:rPr>
          <w:rFonts w:cs="DINPro"/>
        </w:rPr>
        <w:t>,</w:t>
      </w:r>
    </w:p>
    <w:p w:rsidR="00345DAF" w:rsidRDefault="002577C0" w:rsidP="00345DAF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</w:t>
      </w:r>
      <w:r w:rsidR="00A464CC" w:rsidRPr="00345DAF">
        <w:rPr>
          <w:rFonts w:cs="DINPro"/>
        </w:rPr>
        <w:t>Działania na rzecz zmniejszenia udziału przejazdów indywidualnym transportem zmotoryzowanym</w:t>
      </w:r>
      <w:r w:rsidR="006B28BC" w:rsidRPr="00345DAF">
        <w:rPr>
          <w:rFonts w:cs="DINPro"/>
        </w:rPr>
        <w:t xml:space="preserve"> </w:t>
      </w:r>
      <w:r w:rsidR="00A464CC" w:rsidRPr="00345DAF">
        <w:rPr>
          <w:rFonts w:cs="DINPro"/>
        </w:rPr>
        <w:t>i zachęcenia do</w:t>
      </w:r>
      <w:r w:rsidR="00D83DC7">
        <w:rPr>
          <w:rFonts w:cs="DINPro"/>
        </w:rPr>
        <w:t> </w:t>
      </w:r>
      <w:r w:rsidR="00A464CC" w:rsidRPr="00345DAF">
        <w:rPr>
          <w:rFonts w:cs="DINPro"/>
        </w:rPr>
        <w:t>korzystania z transportu pu</w:t>
      </w:r>
      <w:r w:rsidR="00345DAF">
        <w:rPr>
          <w:rFonts w:cs="DINPro"/>
        </w:rPr>
        <w:t>blicznego, p</w:t>
      </w:r>
      <w:r w:rsidR="00A464CC" w:rsidRPr="00345DAF">
        <w:rPr>
          <w:rFonts w:cs="DINPro"/>
        </w:rPr>
        <w:t>romocja ruchu rowerowego i pieszego</w:t>
      </w:r>
      <w:r w:rsidRPr="00345DAF">
        <w:rPr>
          <w:rFonts w:cs="DINPro"/>
        </w:rPr>
        <w:t>,</w:t>
      </w:r>
    </w:p>
    <w:p w:rsidR="009E2081" w:rsidRDefault="002577C0" w:rsidP="009E2081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45DAF">
        <w:rPr>
          <w:rFonts w:cs="DINPro"/>
        </w:rPr>
        <w:t xml:space="preserve">Działanie </w:t>
      </w:r>
      <w:r w:rsidR="00345DAF">
        <w:rPr>
          <w:rFonts w:cs="DINPro"/>
        </w:rPr>
        <w:t>–</w:t>
      </w:r>
      <w:r w:rsidRPr="00345DAF">
        <w:rPr>
          <w:rFonts w:cs="DINPro"/>
        </w:rPr>
        <w:t xml:space="preserve"> </w:t>
      </w:r>
      <w:r w:rsidR="006A247D" w:rsidRPr="00345DAF">
        <w:rPr>
          <w:rFonts w:cs="DINPro"/>
        </w:rPr>
        <w:t>Rozbudowa łańcuchów ekomobilności w miastach i</w:t>
      </w:r>
      <w:r w:rsidR="00D83DC7">
        <w:rPr>
          <w:rFonts w:cs="DINPro"/>
        </w:rPr>
        <w:t> </w:t>
      </w:r>
      <w:r w:rsidR="006A247D" w:rsidRPr="00345DAF">
        <w:rPr>
          <w:rFonts w:cs="DINPro"/>
        </w:rPr>
        <w:t>ich obszarach funkcjonalnych,</w:t>
      </w:r>
    </w:p>
    <w:p w:rsidR="009E2081" w:rsidRDefault="00C54E53" w:rsidP="009E2081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9E2081">
        <w:rPr>
          <w:rFonts w:cs="DINPro"/>
        </w:rPr>
        <w:t xml:space="preserve">Działanie </w:t>
      </w:r>
      <w:r w:rsidR="009E2081">
        <w:rPr>
          <w:rFonts w:cs="DINPro"/>
        </w:rPr>
        <w:t>–</w:t>
      </w:r>
      <w:r w:rsidRPr="009E2081">
        <w:rPr>
          <w:rFonts w:cs="DINPro"/>
        </w:rPr>
        <w:t xml:space="preserve"> </w:t>
      </w:r>
      <w:r w:rsidR="00FB0A8F" w:rsidRPr="009E2081">
        <w:rPr>
          <w:rFonts w:cs="DINPro"/>
        </w:rPr>
        <w:t>Wsparcie dla systemów współdzielenia pojazdów, zwłaszcza na obszarach wiejskich – rozwiązanie</w:t>
      </w:r>
      <w:r w:rsidR="00C127C9" w:rsidRPr="009E2081">
        <w:rPr>
          <w:rFonts w:cs="DINPro"/>
        </w:rPr>
        <w:t xml:space="preserve"> </w:t>
      </w:r>
      <w:r w:rsidR="00FB0A8F" w:rsidRPr="009E2081">
        <w:rPr>
          <w:rFonts w:cs="DINPro"/>
        </w:rPr>
        <w:t>zmniejszające koszty indywidualnego dojazdu do pracy, a także presję na</w:t>
      </w:r>
      <w:r w:rsidR="00D83DC7">
        <w:rPr>
          <w:rFonts w:cs="DINPro"/>
        </w:rPr>
        <w:t> </w:t>
      </w:r>
      <w:r w:rsidR="00FB0A8F" w:rsidRPr="009E2081">
        <w:rPr>
          <w:rFonts w:cs="DINPro"/>
        </w:rPr>
        <w:t>środowisko naturalne</w:t>
      </w:r>
      <w:r w:rsidR="009326A3" w:rsidRPr="009E2081">
        <w:rPr>
          <w:rFonts w:cs="DINPro"/>
        </w:rPr>
        <w:t>,</w:t>
      </w:r>
    </w:p>
    <w:p w:rsidR="009E2081" w:rsidRDefault="009326A3" w:rsidP="009E2081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9E2081">
        <w:rPr>
          <w:rFonts w:cs="DINPro"/>
        </w:rPr>
        <w:t xml:space="preserve">Działanie </w:t>
      </w:r>
      <w:r w:rsidR="009E2081">
        <w:rPr>
          <w:rFonts w:cs="DINPro"/>
        </w:rPr>
        <w:t>–</w:t>
      </w:r>
      <w:r w:rsidR="002F0A8E" w:rsidRPr="009E2081">
        <w:rPr>
          <w:rFonts w:cs="DINPro"/>
        </w:rPr>
        <w:t xml:space="preserve"> Stopniowa wymiana taboru wykorzystywanego do</w:t>
      </w:r>
      <w:r w:rsidR="00D83DC7">
        <w:rPr>
          <w:rFonts w:cs="DINPro"/>
        </w:rPr>
        <w:t> </w:t>
      </w:r>
      <w:r w:rsidR="002F0A8E" w:rsidRPr="009E2081">
        <w:rPr>
          <w:rFonts w:cs="DINPro"/>
        </w:rPr>
        <w:t>świadczenia usług publicznego transportu</w:t>
      </w:r>
      <w:r w:rsidR="00E951C8" w:rsidRPr="009E2081">
        <w:rPr>
          <w:rFonts w:cs="DINPro"/>
        </w:rPr>
        <w:t xml:space="preserve"> </w:t>
      </w:r>
      <w:r w:rsidR="002F0A8E" w:rsidRPr="009E2081">
        <w:rPr>
          <w:rFonts w:cs="DINPro"/>
        </w:rPr>
        <w:t>na ekologiczny, niskoemisyjny, przystosowany do potrzeb osób starszych i</w:t>
      </w:r>
      <w:r w:rsidR="00D83DC7">
        <w:rPr>
          <w:rFonts w:cs="DINPro"/>
        </w:rPr>
        <w:t> </w:t>
      </w:r>
      <w:r w:rsidR="002F0A8E" w:rsidRPr="009E2081">
        <w:rPr>
          <w:rFonts w:cs="DINPro"/>
        </w:rPr>
        <w:t>niepełnosprawnych</w:t>
      </w:r>
      <w:r w:rsidR="00AA5CDE" w:rsidRPr="009E2081">
        <w:rPr>
          <w:rFonts w:cs="DINPro"/>
        </w:rPr>
        <w:t>,</w:t>
      </w:r>
      <w:r w:rsidR="00C557AF" w:rsidRPr="009E2081">
        <w:rPr>
          <w:rFonts w:cs="DINPro"/>
        </w:rPr>
        <w:t xml:space="preserve"> </w:t>
      </w:r>
    </w:p>
    <w:p w:rsidR="009E2081" w:rsidRDefault="00C62DDE" w:rsidP="009E2081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9E2081">
        <w:rPr>
          <w:rFonts w:cs="DINPro"/>
        </w:rPr>
        <w:t xml:space="preserve">Działanie </w:t>
      </w:r>
      <w:r w:rsidR="009E2081">
        <w:rPr>
          <w:rFonts w:cs="DINPro"/>
        </w:rPr>
        <w:t>–</w:t>
      </w:r>
      <w:r w:rsidRPr="009E2081">
        <w:rPr>
          <w:rFonts w:cs="DINPro"/>
        </w:rPr>
        <w:t xml:space="preserve"> Budowa systemów ładowania pojazdów niskoemisyjnych</w:t>
      </w:r>
      <w:r w:rsidR="009E2081">
        <w:rPr>
          <w:rFonts w:cs="DINPro"/>
        </w:rPr>
        <w:t>,</w:t>
      </w:r>
    </w:p>
    <w:p w:rsidR="009E2081" w:rsidRDefault="00625AAB" w:rsidP="009E2081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9E2081">
        <w:rPr>
          <w:rFonts w:cs="DINPro"/>
        </w:rPr>
        <w:t xml:space="preserve">Działanie </w:t>
      </w:r>
      <w:r w:rsidR="009E2081">
        <w:rPr>
          <w:rFonts w:cs="DINPro"/>
        </w:rPr>
        <w:t>–</w:t>
      </w:r>
      <w:r w:rsidRPr="009E2081">
        <w:rPr>
          <w:rFonts w:cs="DINPro"/>
        </w:rPr>
        <w:t xml:space="preserve"> </w:t>
      </w:r>
      <w:r w:rsidR="00C557AF" w:rsidRPr="009E2081">
        <w:rPr>
          <w:rFonts w:cs="DINPro"/>
        </w:rPr>
        <w:t>Wdrożenie zmian w systemie podatkowym premiujących zakup, posiadanie i użytkowanie pojazdów charakteryzujących się mniejszą presją na środowisko naturalne (zarówno w obszarze emisji, jak również zużycia nośników energii)</w:t>
      </w:r>
      <w:r w:rsidR="000149BA" w:rsidRPr="009E2081">
        <w:rPr>
          <w:rFonts w:cs="DINPro"/>
        </w:rPr>
        <w:t>,</w:t>
      </w:r>
    </w:p>
    <w:p w:rsidR="009E2081" w:rsidRPr="00FA40FE" w:rsidRDefault="001239B4" w:rsidP="009E2081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INPro"/>
        </w:rPr>
      </w:pPr>
      <w:r w:rsidRPr="003A4B4B">
        <w:t xml:space="preserve">Projekt Strategiczny </w:t>
      </w:r>
      <w:r w:rsidR="009E2081">
        <w:t>–</w:t>
      </w:r>
      <w:r w:rsidRPr="003A4B4B">
        <w:t xml:space="preserve"> Ekologiczny transport – przegląd działań (prawnych, organizacyjnych oraz inwestycyjnych)</w:t>
      </w:r>
      <w:r w:rsidR="00872C97" w:rsidRPr="003A4B4B">
        <w:t xml:space="preserve"> </w:t>
      </w:r>
      <w:r w:rsidRPr="003A4B4B">
        <w:t>niezbędnych dla rozwoju transportu niskoemisyjnego, w tym publicznego (również na obszarach</w:t>
      </w:r>
      <w:r w:rsidR="00872C97" w:rsidRPr="003A4B4B">
        <w:t xml:space="preserve"> </w:t>
      </w:r>
      <w:r w:rsidRPr="003A4B4B">
        <w:t>wiejskich), obejmującego m.in.</w:t>
      </w:r>
      <w:r w:rsidR="00C00B01">
        <w:t> </w:t>
      </w:r>
      <w:r w:rsidRPr="003A4B4B">
        <w:t xml:space="preserve">rozwiązania umożliwiające przechodzenie na tabor </w:t>
      </w:r>
      <w:r w:rsidRPr="003A4B4B">
        <w:lastRenderedPageBreak/>
        <w:t>niskoemisyjny</w:t>
      </w:r>
      <w:r w:rsidR="00872C97" w:rsidRPr="003A4B4B">
        <w:t xml:space="preserve"> </w:t>
      </w:r>
      <w:r w:rsidRPr="003A4B4B">
        <w:t>w transporcie publicznym oraz niskoemisyjne pojazdy samochodowe; rozbudowę</w:t>
      </w:r>
      <w:r w:rsidR="00872C97" w:rsidRPr="003A4B4B">
        <w:t xml:space="preserve"> </w:t>
      </w:r>
      <w:r w:rsidRPr="003A4B4B">
        <w:t>infrastruktury transportu niskoemisyjnego (w tym punkty ładowania pojazdów elektrycznych,</w:t>
      </w:r>
      <w:r w:rsidR="00872C97" w:rsidRPr="003A4B4B">
        <w:t xml:space="preserve"> </w:t>
      </w:r>
      <w:r w:rsidRPr="003A4B4B">
        <w:t>tabor dla transportu publicznego, samochody elektryczne) do roku 2030</w:t>
      </w:r>
      <w:r w:rsidR="00166294">
        <w:t>.</w:t>
      </w:r>
    </w:p>
    <w:p w:rsidR="00166294" w:rsidRPr="009E2081" w:rsidRDefault="00166294" w:rsidP="00FA40FE">
      <w:pPr>
        <w:pStyle w:val="Akapitzlist"/>
        <w:autoSpaceDE w:val="0"/>
        <w:autoSpaceDN w:val="0"/>
        <w:adjustRightInd w:val="0"/>
        <w:spacing w:after="0" w:line="240" w:lineRule="auto"/>
        <w:ind w:left="3196"/>
        <w:jc w:val="both"/>
        <w:rPr>
          <w:rFonts w:cs="DINPro"/>
        </w:rPr>
      </w:pPr>
    </w:p>
    <w:p w:rsidR="000149BA" w:rsidRPr="001729B2" w:rsidRDefault="005E53B1" w:rsidP="00FA40F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985"/>
        <w:jc w:val="both"/>
        <w:rPr>
          <w:rFonts w:cs="DINPro"/>
        </w:rPr>
      </w:pPr>
      <w:r w:rsidRPr="003A4B4B">
        <w:t xml:space="preserve">Kierunek interwencji – </w:t>
      </w:r>
      <w:r w:rsidR="002336D5" w:rsidRPr="003A4B4B">
        <w:t>Poprawa efektywności wykorzystania publicznych środków na przedsięwzięcia</w:t>
      </w:r>
      <w:r w:rsidR="004C40C9" w:rsidRPr="003A4B4B">
        <w:t xml:space="preserve"> </w:t>
      </w:r>
      <w:r w:rsidR="002336D5" w:rsidRPr="003A4B4B">
        <w:t>transportowe</w:t>
      </w:r>
    </w:p>
    <w:p w:rsidR="001729B2" w:rsidRDefault="001729B2" w:rsidP="001729B2">
      <w:pPr>
        <w:pStyle w:val="Akapitzlist"/>
        <w:numPr>
          <w:ilvl w:val="3"/>
          <w:numId w:val="15"/>
        </w:numPr>
        <w:rPr>
          <w:rFonts w:cs="DINPro"/>
        </w:rPr>
      </w:pPr>
      <w:r w:rsidRPr="001729B2">
        <w:rPr>
          <w:rFonts w:cs="DINPro"/>
        </w:rPr>
        <w:t>Kierunek interwencji – zachowanie priorytetowej roli poprawy efektywności energetycznej gospodarki, w tym eliminowania emisji szkodzących środowisku</w:t>
      </w:r>
      <w:r w:rsidR="00166294">
        <w:rPr>
          <w:rFonts w:cs="DINPro"/>
        </w:rPr>
        <w:t>.</w:t>
      </w:r>
    </w:p>
    <w:p w:rsidR="002A3DDD" w:rsidRDefault="002A3DDD" w:rsidP="00FA40FE">
      <w:pPr>
        <w:pStyle w:val="Akapitzlist"/>
        <w:ind w:left="3196"/>
        <w:rPr>
          <w:rFonts w:cs="DINPro"/>
        </w:rPr>
      </w:pPr>
    </w:p>
    <w:p w:rsidR="001729B2" w:rsidRPr="00FA40FE" w:rsidRDefault="001729B2" w:rsidP="001729B2">
      <w:pPr>
        <w:pStyle w:val="Akapitzlist"/>
        <w:numPr>
          <w:ilvl w:val="1"/>
          <w:numId w:val="15"/>
        </w:numPr>
        <w:rPr>
          <w:rFonts w:cs="DINPro"/>
        </w:rPr>
      </w:pPr>
      <w:r>
        <w:t xml:space="preserve">Obszar wpływający na osiągnięcie celów </w:t>
      </w:r>
      <w:r w:rsidRPr="00345DAF">
        <w:rPr>
          <w:i/>
        </w:rPr>
        <w:t>Strategii</w:t>
      </w:r>
      <w:r>
        <w:t xml:space="preserve"> – Energia</w:t>
      </w:r>
    </w:p>
    <w:p w:rsidR="006E3348" w:rsidRPr="001729B2" w:rsidRDefault="006E3348" w:rsidP="00FA40FE">
      <w:pPr>
        <w:pStyle w:val="Akapitzlist"/>
        <w:ind w:left="1440"/>
        <w:rPr>
          <w:rFonts w:cs="DINPro"/>
        </w:rPr>
      </w:pPr>
    </w:p>
    <w:p w:rsidR="001729B2" w:rsidRDefault="001729B2" w:rsidP="00FA40FE">
      <w:pPr>
        <w:pStyle w:val="Akapitzlist"/>
        <w:numPr>
          <w:ilvl w:val="2"/>
          <w:numId w:val="15"/>
        </w:numPr>
        <w:ind w:left="1985"/>
        <w:rPr>
          <w:rFonts w:cs="DINPro"/>
        </w:rPr>
      </w:pPr>
      <w:r w:rsidRPr="001729B2">
        <w:rPr>
          <w:rFonts w:cs="DINPro"/>
        </w:rPr>
        <w:t xml:space="preserve">Kierunek interwencji </w:t>
      </w:r>
      <w:r>
        <w:rPr>
          <w:rFonts w:cs="DINPro"/>
        </w:rPr>
        <w:t>–</w:t>
      </w:r>
      <w:r w:rsidRPr="001729B2">
        <w:rPr>
          <w:rFonts w:cs="DINPro"/>
        </w:rPr>
        <w:t xml:space="preserve"> </w:t>
      </w:r>
      <w:r>
        <w:rPr>
          <w:rFonts w:cs="DINPro"/>
        </w:rPr>
        <w:t>Poprawa bezpieczeństwa energetycznego kraju</w:t>
      </w:r>
    </w:p>
    <w:p w:rsidR="00F34719" w:rsidRPr="00FA40FE" w:rsidRDefault="00410627" w:rsidP="007A2DB0">
      <w:pPr>
        <w:pStyle w:val="Akapitzlist"/>
        <w:numPr>
          <w:ilvl w:val="3"/>
          <w:numId w:val="15"/>
        </w:numPr>
        <w:jc w:val="both"/>
        <w:rPr>
          <w:rFonts w:cs="DINPro"/>
        </w:rPr>
      </w:pPr>
      <w:r w:rsidRPr="001729B2">
        <w:rPr>
          <w:rFonts w:cs="DINPro"/>
        </w:rPr>
        <w:t xml:space="preserve">Działanie </w:t>
      </w:r>
      <w:r w:rsidR="001729B2">
        <w:rPr>
          <w:rFonts w:cs="DINPro"/>
        </w:rPr>
        <w:t>–</w:t>
      </w:r>
      <w:r w:rsidRPr="001729B2">
        <w:rPr>
          <w:rFonts w:cs="DINPro"/>
        </w:rPr>
        <w:t xml:space="preserve"> </w:t>
      </w:r>
      <w:r w:rsidR="006C18E9" w:rsidRPr="003A4B4B">
        <w:t>Realizacja inwestycji w nowe, niskoemisyjne i</w:t>
      </w:r>
      <w:r w:rsidR="00E45F4B">
        <w:t> </w:t>
      </w:r>
      <w:r w:rsidR="006C18E9" w:rsidRPr="003A4B4B">
        <w:t>zeroemisyjne moce wytwórcze</w:t>
      </w:r>
      <w:r w:rsidR="00E45F4B">
        <w:t>,</w:t>
      </w:r>
    </w:p>
    <w:p w:rsidR="00FA40FE" w:rsidRPr="00FA40FE" w:rsidRDefault="00FA40FE" w:rsidP="00FA40FE">
      <w:pPr>
        <w:pStyle w:val="Akapitzlist"/>
        <w:numPr>
          <w:ilvl w:val="3"/>
          <w:numId w:val="15"/>
        </w:numPr>
        <w:jc w:val="both"/>
        <w:rPr>
          <w:rFonts w:cs="DINPro"/>
        </w:rPr>
      </w:pPr>
      <w:r>
        <w:t>Działanie – Wspieranie pozyskiwania i wykorzystania energii z nowych źródeł (gaz z norweskiego szelfu kontynentalnego, LNG, stabilne OZE, energetyka jądrowa przy wykorzystaniu polskiego potencjału przemysłowego i naukowego),</w:t>
      </w:r>
    </w:p>
    <w:p w:rsidR="001729B2" w:rsidRPr="001729B2" w:rsidRDefault="001729B2" w:rsidP="007A2DB0">
      <w:pPr>
        <w:pStyle w:val="Akapitzlist"/>
        <w:numPr>
          <w:ilvl w:val="3"/>
          <w:numId w:val="15"/>
        </w:numPr>
        <w:jc w:val="both"/>
        <w:rPr>
          <w:rFonts w:cs="DINPro"/>
        </w:rPr>
      </w:pPr>
      <w:r w:rsidRPr="001729B2">
        <w:rPr>
          <w:rFonts w:cs="DINPro"/>
        </w:rPr>
        <w:t>Działanie – Budowa, rozbudowa i modernizacja sieci ciepłowniczej w celu zwiększenia bezpieczeństwa dostaw</w:t>
      </w:r>
      <w:r>
        <w:rPr>
          <w:rFonts w:cs="DINPro"/>
        </w:rPr>
        <w:t xml:space="preserve"> </w:t>
      </w:r>
      <w:r w:rsidRPr="001729B2">
        <w:rPr>
          <w:rFonts w:cs="DINPro"/>
        </w:rPr>
        <w:t>oraz</w:t>
      </w:r>
      <w:r w:rsidR="00CA6599">
        <w:rPr>
          <w:rFonts w:cs="DINPro"/>
        </w:rPr>
        <w:t> </w:t>
      </w:r>
      <w:r w:rsidRPr="001729B2">
        <w:rPr>
          <w:rFonts w:cs="DINPro"/>
        </w:rPr>
        <w:t>zwiększenia dostępu nowych odbiorców</w:t>
      </w:r>
      <w:r>
        <w:rPr>
          <w:rFonts w:cs="DINPro"/>
        </w:rPr>
        <w:t>,</w:t>
      </w:r>
    </w:p>
    <w:p w:rsidR="007A2DB0" w:rsidRPr="007A2DB0" w:rsidRDefault="007A2DB0">
      <w:pPr>
        <w:pStyle w:val="Akapitzlist"/>
        <w:numPr>
          <w:ilvl w:val="3"/>
          <w:numId w:val="15"/>
        </w:numPr>
        <w:jc w:val="both"/>
        <w:rPr>
          <w:rFonts w:cs="DINPro"/>
        </w:rPr>
      </w:pPr>
      <w:r w:rsidRPr="007A2DB0">
        <w:rPr>
          <w:rFonts w:cs="DINPro"/>
        </w:rPr>
        <w:t xml:space="preserve">Działanie </w:t>
      </w:r>
      <w:r w:rsidR="00FA40FE">
        <w:rPr>
          <w:rFonts w:cs="DINPro"/>
        </w:rPr>
        <w:t>–</w:t>
      </w:r>
      <w:r w:rsidRPr="007A2DB0">
        <w:rPr>
          <w:rFonts w:cs="DINPro"/>
        </w:rPr>
        <w:t xml:space="preserve"> Stymulowanie rozwoju alternatywnych, </w:t>
      </w:r>
      <w:proofErr w:type="spellStart"/>
      <w:r w:rsidRPr="007A2DB0">
        <w:rPr>
          <w:rFonts w:cs="DINPro"/>
        </w:rPr>
        <w:t>bezemisyjnych</w:t>
      </w:r>
      <w:proofErr w:type="spellEnd"/>
      <w:r w:rsidRPr="007A2DB0">
        <w:rPr>
          <w:rFonts w:cs="DINPro"/>
        </w:rPr>
        <w:t xml:space="preserve"> źródeł ciepła (m</w:t>
      </w:r>
      <w:r w:rsidR="00FA40FE">
        <w:rPr>
          <w:rFonts w:cs="DINPro"/>
        </w:rPr>
        <w:t>.</w:t>
      </w:r>
      <w:r w:rsidRPr="007A2DB0">
        <w:rPr>
          <w:rFonts w:cs="DINPro"/>
        </w:rPr>
        <w:t>in. taniego ogrzewania elektrycznego), co przyczyni się do obniżenia niskiej emisji, w</w:t>
      </w:r>
      <w:r w:rsidR="00513857">
        <w:rPr>
          <w:rFonts w:cs="DINPro"/>
        </w:rPr>
        <w:t> </w:t>
      </w:r>
      <w:r w:rsidRPr="007A2DB0">
        <w:rPr>
          <w:rFonts w:cs="DINPro"/>
        </w:rPr>
        <w:t>szczególności na terenach słabiej zurbanizowanych</w:t>
      </w:r>
      <w:r>
        <w:rPr>
          <w:rFonts w:cs="DINPro"/>
        </w:rPr>
        <w:t>,</w:t>
      </w:r>
    </w:p>
    <w:p w:rsidR="007A2DB0" w:rsidRPr="007A2DB0" w:rsidRDefault="007A2DB0">
      <w:pPr>
        <w:pStyle w:val="Akapitzlist"/>
        <w:numPr>
          <w:ilvl w:val="3"/>
          <w:numId w:val="15"/>
        </w:numPr>
        <w:jc w:val="both"/>
        <w:rPr>
          <w:rFonts w:cs="DINPro"/>
        </w:rPr>
      </w:pPr>
      <w:r w:rsidRPr="007A2DB0">
        <w:rPr>
          <w:rFonts w:cs="DINPro"/>
        </w:rPr>
        <w:t xml:space="preserve">Działanie </w:t>
      </w:r>
      <w:r w:rsidR="00FA40FE">
        <w:rPr>
          <w:rFonts w:cs="DINPro"/>
        </w:rPr>
        <w:t>–</w:t>
      </w:r>
      <w:r w:rsidRPr="007A2DB0">
        <w:rPr>
          <w:rFonts w:cs="DINPro"/>
        </w:rPr>
        <w:t xml:space="preserve"> Wprowadzenie mechanizmów regulacyjnych oraz</w:t>
      </w:r>
      <w:r w:rsidR="00007327">
        <w:rPr>
          <w:rFonts w:cs="DINPro"/>
        </w:rPr>
        <w:t> </w:t>
      </w:r>
      <w:r w:rsidRPr="007A2DB0">
        <w:rPr>
          <w:rFonts w:cs="DINPro"/>
        </w:rPr>
        <w:t>prawnych zwiększających stabilność pracy źródeł odnawialnych oraz wzrost znaczenia stabilnych źródeł OZE</w:t>
      </w:r>
      <w:r>
        <w:rPr>
          <w:rFonts w:cs="DINPro"/>
        </w:rPr>
        <w:t>,</w:t>
      </w:r>
      <w:r w:rsidRPr="007A2DB0">
        <w:rPr>
          <w:rFonts w:cs="DINPro"/>
        </w:rPr>
        <w:t xml:space="preserve"> </w:t>
      </w:r>
    </w:p>
    <w:p w:rsidR="007A2DB0" w:rsidRPr="007A2DB0" w:rsidRDefault="007A2DB0" w:rsidP="007A2DB0">
      <w:pPr>
        <w:pStyle w:val="Akapitzlist"/>
        <w:numPr>
          <w:ilvl w:val="3"/>
          <w:numId w:val="15"/>
        </w:numPr>
        <w:jc w:val="both"/>
        <w:rPr>
          <w:rFonts w:cs="DINPro"/>
        </w:rPr>
      </w:pPr>
      <w:r w:rsidRPr="007A2DB0">
        <w:rPr>
          <w:rFonts w:cs="DINPro"/>
        </w:rPr>
        <w:t xml:space="preserve">Działanie </w:t>
      </w:r>
      <w:r w:rsidR="00FA40FE">
        <w:rPr>
          <w:rFonts w:cs="DINPro"/>
        </w:rPr>
        <w:t>–</w:t>
      </w:r>
      <w:r>
        <w:rPr>
          <w:rFonts w:cs="DINPro"/>
        </w:rPr>
        <w:t xml:space="preserve"> </w:t>
      </w:r>
      <w:r w:rsidRPr="007A2DB0">
        <w:rPr>
          <w:rFonts w:cs="DINPro"/>
        </w:rPr>
        <w:t>Rozwijanie technologii magazynowania energii (w</w:t>
      </w:r>
      <w:r w:rsidR="00513857">
        <w:rPr>
          <w:rFonts w:cs="DINPro"/>
        </w:rPr>
        <w:t> </w:t>
      </w:r>
      <w:r w:rsidRPr="007A2DB0">
        <w:rPr>
          <w:rFonts w:cs="DINPro"/>
        </w:rPr>
        <w:t>różnych postaciach)</w:t>
      </w:r>
    </w:p>
    <w:p w:rsidR="00CA63C5" w:rsidRPr="000401B5" w:rsidRDefault="00560A8D" w:rsidP="000401B5">
      <w:pPr>
        <w:pStyle w:val="Akapitzlist"/>
        <w:numPr>
          <w:ilvl w:val="3"/>
          <w:numId w:val="15"/>
        </w:numPr>
        <w:jc w:val="both"/>
        <w:rPr>
          <w:rFonts w:cs="DINPro"/>
        </w:rPr>
      </w:pPr>
      <w:r w:rsidRPr="003A4B4B">
        <w:t xml:space="preserve">Projekt Strategiczny </w:t>
      </w:r>
      <w:r w:rsidR="000401B5">
        <w:t>–</w:t>
      </w:r>
      <w:r w:rsidRPr="003A4B4B">
        <w:t xml:space="preserve"> </w:t>
      </w:r>
      <w:r w:rsidR="00A940C0" w:rsidRPr="003A4B4B">
        <w:t>Program polskiej energetyki jądrowej – kontynuacja prac nad programem w celu dywersyfikacji źródeł energii, zmniejszenia wpływu energetyki na środowisko, rozwoju ośrodków naukowo-badawczych oraz polskiego przemysłu (w</w:t>
      </w:r>
      <w:r w:rsidR="00526344">
        <w:t> </w:t>
      </w:r>
      <w:r w:rsidR="00A940C0" w:rsidRPr="003A4B4B">
        <w:t>tym także z uwzględnieniem działalności eksportowej)</w:t>
      </w:r>
      <w:r w:rsidR="00550BB3">
        <w:t>.</w:t>
      </w:r>
    </w:p>
    <w:p w:rsidR="000A3D9C" w:rsidRPr="003A4B4B" w:rsidRDefault="006C18E9" w:rsidP="00043B72">
      <w:pPr>
        <w:pStyle w:val="Akapitzlist"/>
        <w:numPr>
          <w:ilvl w:val="2"/>
          <w:numId w:val="15"/>
        </w:numPr>
        <w:spacing w:after="0"/>
      </w:pPr>
      <w:r w:rsidRPr="003A4B4B">
        <w:t>Kierunek interwencji –</w:t>
      </w:r>
      <w:r w:rsidR="00A801FB" w:rsidRPr="003A4B4B">
        <w:t xml:space="preserve"> </w:t>
      </w:r>
      <w:r w:rsidR="00957923" w:rsidRPr="003A4B4B">
        <w:t>Poprawa efektywności energetycznej</w:t>
      </w:r>
    </w:p>
    <w:p w:rsidR="00E8191E" w:rsidRDefault="0097337C" w:rsidP="005E6AFB">
      <w:pPr>
        <w:pStyle w:val="Akapitzlist"/>
        <w:numPr>
          <w:ilvl w:val="0"/>
          <w:numId w:val="27"/>
        </w:numPr>
        <w:spacing w:after="0"/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0401B5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83B95" w:rsidRPr="003A4B4B">
        <w:t>Zwiększanie efektywności energetycznej budynków użyteczności publicznej i mieszkalnych oraz</w:t>
      </w:r>
      <w:r w:rsidR="000401B5">
        <w:t xml:space="preserve"> w </w:t>
      </w:r>
      <w:r w:rsidR="00167C22" w:rsidRPr="003A4B4B">
        <w:t>p</w:t>
      </w:r>
      <w:r w:rsidR="00E83B95" w:rsidRPr="003A4B4B">
        <w:t>rzedsiębiorstwach</w:t>
      </w:r>
      <w:r w:rsidR="001D3420" w:rsidRPr="003A4B4B">
        <w:t>,</w:t>
      </w:r>
      <w:r w:rsidR="00033BF4" w:rsidRPr="003A4B4B">
        <w:t xml:space="preserve"> </w:t>
      </w:r>
    </w:p>
    <w:p w:rsidR="00165C93" w:rsidRPr="003A4B4B" w:rsidRDefault="00165C93" w:rsidP="00FA40FE">
      <w:pPr>
        <w:pStyle w:val="Akapitzlist"/>
        <w:numPr>
          <w:ilvl w:val="0"/>
          <w:numId w:val="27"/>
        </w:numPr>
        <w:spacing w:after="0"/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0401B5">
        <w:rPr>
          <w:rFonts w:cs="DINPro"/>
        </w:rPr>
        <w:t>–</w:t>
      </w:r>
      <w:r>
        <w:rPr>
          <w:rFonts w:cs="DINPro"/>
        </w:rPr>
        <w:t xml:space="preserve"> </w:t>
      </w:r>
      <w:r w:rsidRPr="00165C93">
        <w:rPr>
          <w:rFonts w:cs="DINPro"/>
        </w:rPr>
        <w:t>Rozbudowa i modernizacja systemów ciepłowniczych i chłodniczych</w:t>
      </w:r>
      <w:r w:rsidR="001E3CEB">
        <w:rPr>
          <w:rFonts w:cs="DINPro"/>
        </w:rPr>
        <w:t>,</w:t>
      </w:r>
    </w:p>
    <w:p w:rsidR="000401B5" w:rsidRDefault="00ED1973" w:rsidP="005E6AFB">
      <w:pPr>
        <w:pStyle w:val="Akapitzlist"/>
        <w:numPr>
          <w:ilvl w:val="0"/>
          <w:numId w:val="27"/>
        </w:numPr>
        <w:spacing w:after="0"/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0401B5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7910C7" w:rsidRPr="003A4B4B">
        <w:t>Wsparcie dla strategii nisko- i zeroemisyjnych</w:t>
      </w:r>
      <w:r w:rsidR="00A143A1" w:rsidRPr="003A4B4B">
        <w:t>,</w:t>
      </w:r>
    </w:p>
    <w:p w:rsidR="000401B5" w:rsidRPr="000401B5" w:rsidRDefault="00F10751" w:rsidP="005E6AFB">
      <w:pPr>
        <w:pStyle w:val="Akapitzlist"/>
        <w:numPr>
          <w:ilvl w:val="0"/>
          <w:numId w:val="27"/>
        </w:numPr>
        <w:spacing w:after="0"/>
        <w:ind w:left="3261" w:hanging="284"/>
        <w:jc w:val="both"/>
      </w:pPr>
      <w:r w:rsidRPr="003A4B4B">
        <w:rPr>
          <w:rFonts w:cs="DINPro"/>
        </w:rPr>
        <w:t xml:space="preserve">Działanie - </w:t>
      </w:r>
      <w:r w:rsidR="00973A86" w:rsidRPr="003A4B4B">
        <w:rPr>
          <w:rFonts w:cs="DINPro"/>
        </w:rPr>
        <w:t>Inwestycje mające na celu podniesienie sprawności wytwarzana energii,</w:t>
      </w:r>
      <w:r w:rsidR="00E8191E" w:rsidRPr="003A4B4B">
        <w:rPr>
          <w:rFonts w:cs="DINPro"/>
        </w:rPr>
        <w:t xml:space="preserve"> </w:t>
      </w:r>
    </w:p>
    <w:p w:rsidR="00E8191E" w:rsidRPr="003A4B4B" w:rsidRDefault="00973A86" w:rsidP="005E6AFB">
      <w:pPr>
        <w:pStyle w:val="Akapitzlist"/>
        <w:numPr>
          <w:ilvl w:val="0"/>
          <w:numId w:val="27"/>
        </w:numPr>
        <w:spacing w:after="0"/>
        <w:ind w:left="3261" w:hanging="284"/>
        <w:jc w:val="both"/>
      </w:pPr>
      <w:r w:rsidRPr="003A4B4B">
        <w:rPr>
          <w:rFonts w:cs="DINPro"/>
        </w:rPr>
        <w:lastRenderedPageBreak/>
        <w:t xml:space="preserve">Działanie </w:t>
      </w:r>
      <w:r w:rsidR="000401B5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Pr="003A4B4B">
        <w:t xml:space="preserve">Wsparcie produkcji </w:t>
      </w:r>
      <w:r w:rsidR="000401B5">
        <w:t>energii elektrycznej i ciepła w </w:t>
      </w:r>
      <w:r w:rsidRPr="003A4B4B">
        <w:t>skojarzeniu (kogeneracja)</w:t>
      </w:r>
      <w:r w:rsidR="00D8679D" w:rsidRPr="003A4B4B">
        <w:t>,</w:t>
      </w:r>
      <w:r w:rsidR="00E8191E" w:rsidRPr="003A4B4B">
        <w:t xml:space="preserve"> </w:t>
      </w:r>
    </w:p>
    <w:p w:rsidR="00973A86" w:rsidRPr="003A4B4B" w:rsidRDefault="00973A86" w:rsidP="005E6AFB">
      <w:pPr>
        <w:pStyle w:val="Akapitzlist"/>
        <w:numPr>
          <w:ilvl w:val="0"/>
          <w:numId w:val="27"/>
        </w:numPr>
        <w:spacing w:after="0"/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0401B5">
        <w:rPr>
          <w:rFonts w:cs="DINPro"/>
        </w:rPr>
        <w:t>–</w:t>
      </w:r>
      <w:r w:rsidR="005E6AFB" w:rsidRPr="003A4B4B">
        <w:t xml:space="preserve"> </w:t>
      </w:r>
      <w:r w:rsidR="005E6AFB" w:rsidRPr="003A4B4B">
        <w:rPr>
          <w:rFonts w:cs="DINPro"/>
        </w:rPr>
        <w:t>Wsparcie mechanizmów zarządzania popytem na</w:t>
      </w:r>
      <w:r w:rsidR="00890921">
        <w:rPr>
          <w:rFonts w:cs="DINPro"/>
        </w:rPr>
        <w:t> </w:t>
      </w:r>
      <w:r w:rsidR="005E6AFB" w:rsidRPr="003A4B4B">
        <w:rPr>
          <w:rFonts w:cs="DINPro"/>
        </w:rPr>
        <w:t>energię</w:t>
      </w:r>
      <w:r w:rsidR="00BD4782" w:rsidRPr="003A4B4B">
        <w:rPr>
          <w:rFonts w:cs="DINPro"/>
        </w:rPr>
        <w:t>,</w:t>
      </w:r>
    </w:p>
    <w:p w:rsidR="00043B72" w:rsidRDefault="00BD4782" w:rsidP="00043B72">
      <w:pPr>
        <w:pStyle w:val="Akapitzlist"/>
        <w:numPr>
          <w:ilvl w:val="0"/>
          <w:numId w:val="27"/>
        </w:numPr>
        <w:spacing w:after="0"/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0401B5">
        <w:rPr>
          <w:rFonts w:cs="DINPro"/>
        </w:rPr>
        <w:t>–</w:t>
      </w:r>
      <w:r w:rsidRPr="003A4B4B">
        <w:t xml:space="preserve"> Wsparcie inteligentnego zarządzania poborem energii w gospodarstwach domowych oraz automatyzacja procesów zarządzania energią</w:t>
      </w:r>
      <w:r w:rsidR="00550BB3">
        <w:t>.</w:t>
      </w:r>
    </w:p>
    <w:p w:rsidR="00043B72" w:rsidRDefault="00043B72" w:rsidP="00043B72">
      <w:pPr>
        <w:pStyle w:val="Akapitzlist"/>
        <w:spacing w:after="0"/>
        <w:ind w:left="3261"/>
        <w:jc w:val="both"/>
      </w:pPr>
    </w:p>
    <w:p w:rsidR="00F10751" w:rsidRPr="003A4B4B" w:rsidRDefault="0068182E" w:rsidP="00043B72">
      <w:pPr>
        <w:pStyle w:val="Akapitzlist"/>
        <w:numPr>
          <w:ilvl w:val="2"/>
          <w:numId w:val="15"/>
        </w:numPr>
        <w:spacing w:after="0"/>
        <w:jc w:val="both"/>
      </w:pPr>
      <w:r w:rsidRPr="003A4B4B">
        <w:t>Kierunek interwencji – Rozwój techniki</w:t>
      </w:r>
    </w:p>
    <w:p w:rsidR="00F42B76" w:rsidRPr="002A3DDD" w:rsidRDefault="00276097" w:rsidP="00FA40FE">
      <w:pPr>
        <w:pStyle w:val="Akapitzlist"/>
        <w:numPr>
          <w:ilvl w:val="0"/>
          <w:numId w:val="45"/>
        </w:numPr>
        <w:spacing w:after="0"/>
        <w:ind w:left="3261"/>
        <w:jc w:val="both"/>
      </w:pPr>
      <w:r w:rsidRPr="003A4B4B">
        <w:rPr>
          <w:rFonts w:cs="DINPro"/>
        </w:rPr>
        <w:t>Działanie –</w:t>
      </w:r>
      <w:r w:rsidR="00153FC4" w:rsidRPr="003A4B4B">
        <w:rPr>
          <w:rFonts w:cs="DINPro"/>
        </w:rPr>
        <w:t xml:space="preserve"> </w:t>
      </w:r>
      <w:r w:rsidR="00476A4F" w:rsidRPr="00770FB2">
        <w:rPr>
          <w:rFonts w:cs="DINPro"/>
        </w:rPr>
        <w:t>Promowanie i inicjowanie lokalnych przedsięwzięć (klastry, spółdzielnie energetyczne itp.) z zakresu wytwarzania energii (ze wskazaniem na rozwój OZE) oraz efektywności energetycznej w celu dążenia do samowystarczalności energetycznej gmin i powiatów (autonomiczne obszary energetyczne)</w:t>
      </w:r>
      <w:r w:rsidR="00476A4F">
        <w:rPr>
          <w:rFonts w:cs="DINPro"/>
        </w:rPr>
        <w:t>,</w:t>
      </w:r>
    </w:p>
    <w:p w:rsidR="00F42B76" w:rsidRPr="002A3DDD" w:rsidRDefault="00F42B76" w:rsidP="00FA40FE">
      <w:pPr>
        <w:pStyle w:val="Akapitzlist"/>
        <w:numPr>
          <w:ilvl w:val="0"/>
          <w:numId w:val="45"/>
        </w:numPr>
        <w:spacing w:after="0"/>
        <w:ind w:left="3261"/>
        <w:jc w:val="both"/>
      </w:pPr>
      <w:r w:rsidRPr="0081494A">
        <w:rPr>
          <w:rFonts w:cs="DINPro"/>
        </w:rPr>
        <w:t xml:space="preserve">Działanie – </w:t>
      </w:r>
      <w:r w:rsidR="0081494A" w:rsidRPr="0081494A">
        <w:rPr>
          <w:rFonts w:cs="DINPro"/>
        </w:rPr>
        <w:t>Przygotowanie zaplecza dla operatora informacji pomiarowej oraz modułów inteligentnych liczników do montażu w urządzeniach AGD</w:t>
      </w:r>
      <w:r w:rsidR="00A566B1">
        <w:rPr>
          <w:rFonts w:cs="DINPro"/>
        </w:rPr>
        <w:t>,</w:t>
      </w:r>
    </w:p>
    <w:p w:rsidR="0068182E" w:rsidRPr="002A3DDD" w:rsidRDefault="00F42B76" w:rsidP="00FA40FE">
      <w:pPr>
        <w:pStyle w:val="Akapitzlist"/>
        <w:numPr>
          <w:ilvl w:val="0"/>
          <w:numId w:val="45"/>
        </w:numPr>
        <w:spacing w:after="0"/>
        <w:ind w:left="3261"/>
        <w:jc w:val="both"/>
      </w:pPr>
      <w:r w:rsidRPr="003A4B4B">
        <w:rPr>
          <w:rFonts w:cs="DINPro"/>
        </w:rPr>
        <w:t>Działanie –</w:t>
      </w:r>
      <w:r>
        <w:rPr>
          <w:rFonts w:cs="DINPro"/>
        </w:rPr>
        <w:t xml:space="preserve"> </w:t>
      </w:r>
      <w:r w:rsidR="00414437" w:rsidRPr="003A4B4B">
        <w:rPr>
          <w:rFonts w:cs="DINPro"/>
        </w:rPr>
        <w:t>Inwestycje w celu wykorzystania lokalnie dostępnych surowców energetycznych i innych zasobów,</w:t>
      </w:r>
      <w:r w:rsidR="002E22B1" w:rsidRPr="003A4B4B">
        <w:rPr>
          <w:rFonts w:cs="DINPro"/>
        </w:rPr>
        <w:t xml:space="preserve"> </w:t>
      </w:r>
      <w:r w:rsidR="00414437" w:rsidRPr="003A4B4B">
        <w:rPr>
          <w:rFonts w:cs="DINPro"/>
        </w:rPr>
        <w:t>zgodnie z</w:t>
      </w:r>
      <w:r w:rsidR="00671897">
        <w:rPr>
          <w:rFonts w:cs="DINPro"/>
        </w:rPr>
        <w:t> </w:t>
      </w:r>
      <w:r w:rsidR="00414437" w:rsidRPr="003A4B4B">
        <w:rPr>
          <w:rFonts w:cs="DINPro"/>
        </w:rPr>
        <w:t>terytorialnym potencjałem (np. elektrownie wodne, biomasa, biogaz i biogaz rolniczy, odpady,</w:t>
      </w:r>
      <w:r w:rsidR="002E22B1" w:rsidRPr="003A4B4B">
        <w:rPr>
          <w:rFonts w:cs="DINPro"/>
        </w:rPr>
        <w:t xml:space="preserve"> </w:t>
      </w:r>
      <w:r w:rsidR="00414437" w:rsidRPr="003A4B4B">
        <w:rPr>
          <w:rFonts w:cs="DINPro"/>
        </w:rPr>
        <w:t>instalacje geotermalne)</w:t>
      </w:r>
      <w:r w:rsidR="002E22B1" w:rsidRPr="003A4B4B">
        <w:rPr>
          <w:rFonts w:cs="DINPro"/>
        </w:rPr>
        <w:t>,</w:t>
      </w:r>
    </w:p>
    <w:p w:rsidR="003B5A62" w:rsidRPr="003A4B4B" w:rsidRDefault="00276097" w:rsidP="00FA40FE">
      <w:pPr>
        <w:pStyle w:val="Akapitzlist"/>
        <w:numPr>
          <w:ilvl w:val="0"/>
          <w:numId w:val="45"/>
        </w:numPr>
        <w:ind w:left="3261"/>
      </w:pPr>
      <w:r w:rsidRPr="003A4B4B">
        <w:rPr>
          <w:rFonts w:cs="DINPro"/>
        </w:rPr>
        <w:t>Działanie –</w:t>
      </w:r>
      <w:r w:rsidR="003B5A62" w:rsidRPr="003A4B4B">
        <w:rPr>
          <w:rFonts w:cs="DINPro"/>
        </w:rPr>
        <w:t xml:space="preserve"> </w:t>
      </w:r>
      <w:r w:rsidR="003B5A62" w:rsidRPr="003A4B4B">
        <w:t>Poszukiwanie i wydobycie paliw kopalnych z nowych złóż,</w:t>
      </w:r>
    </w:p>
    <w:p w:rsidR="00092D5D" w:rsidRPr="003A4B4B" w:rsidRDefault="00276097" w:rsidP="00FA40FE">
      <w:pPr>
        <w:pStyle w:val="Akapitzlist"/>
        <w:numPr>
          <w:ilvl w:val="0"/>
          <w:numId w:val="45"/>
        </w:numPr>
        <w:spacing w:after="0"/>
        <w:ind w:left="3261"/>
        <w:jc w:val="both"/>
      </w:pPr>
      <w:r w:rsidRPr="003A4B4B">
        <w:rPr>
          <w:rFonts w:cs="DINPro"/>
        </w:rPr>
        <w:t>Działanie –</w:t>
      </w:r>
      <w:r w:rsidR="00092D5D" w:rsidRPr="003A4B4B">
        <w:rPr>
          <w:rFonts w:cs="DINPro"/>
        </w:rPr>
        <w:t xml:space="preserve"> </w:t>
      </w:r>
      <w:r w:rsidR="00092D5D" w:rsidRPr="003A4B4B">
        <w:t>Przygotowanie, przy wykorzystaniu polskiego potencjału przemysłowego i naukowego, wdrożeń wysokotemperaturowych reaktorów jądrowych HTR do</w:t>
      </w:r>
      <w:r w:rsidR="008C07B5">
        <w:t> </w:t>
      </w:r>
      <w:r w:rsidR="00092D5D" w:rsidRPr="003A4B4B">
        <w:t>produkcji ciepła przemysłowego w skojarzeniu oraz wsparcie polskich badań i rozwoju materiałów dla IV generacji reaktorów,</w:t>
      </w:r>
    </w:p>
    <w:p w:rsidR="000072D9" w:rsidRPr="003A4B4B" w:rsidRDefault="00276097" w:rsidP="000401B5">
      <w:pPr>
        <w:pStyle w:val="Akapitzlist"/>
        <w:numPr>
          <w:ilvl w:val="0"/>
          <w:numId w:val="45"/>
        </w:numPr>
        <w:ind w:left="3261"/>
        <w:jc w:val="both"/>
        <w:rPr>
          <w:rFonts w:cs="DINPro"/>
        </w:rPr>
      </w:pPr>
      <w:r w:rsidRPr="003A4B4B">
        <w:rPr>
          <w:rFonts w:cs="DINPro"/>
        </w:rPr>
        <w:t>Działanie -</w:t>
      </w:r>
      <w:r w:rsidR="00092D5D" w:rsidRPr="003A4B4B">
        <w:rPr>
          <w:rFonts w:cs="DINPro"/>
        </w:rPr>
        <w:t xml:space="preserve"> </w:t>
      </w:r>
      <w:r w:rsidR="000072D9" w:rsidRPr="003A4B4B">
        <w:rPr>
          <w:rFonts w:cs="DINPro"/>
        </w:rPr>
        <w:t xml:space="preserve">Wykorzystanie </w:t>
      </w:r>
      <w:r w:rsidR="000401B5">
        <w:rPr>
          <w:rFonts w:cs="DINPro"/>
        </w:rPr>
        <w:t xml:space="preserve">istniejącego potencjału zasobów </w:t>
      </w:r>
      <w:r w:rsidR="000072D9" w:rsidRPr="003A4B4B">
        <w:rPr>
          <w:rFonts w:cs="DINPro"/>
        </w:rPr>
        <w:t>geotermicznych Polski,</w:t>
      </w:r>
    </w:p>
    <w:p w:rsidR="007B6483" w:rsidRDefault="00ED1973" w:rsidP="000401B5">
      <w:pPr>
        <w:pStyle w:val="Akapitzlist"/>
        <w:numPr>
          <w:ilvl w:val="0"/>
          <w:numId w:val="45"/>
        </w:numPr>
        <w:ind w:left="3261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0072D9" w:rsidRPr="003A4B4B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7B6483" w:rsidRPr="003A4B4B">
        <w:rPr>
          <w:rFonts w:cs="DINPro"/>
        </w:rPr>
        <w:t>Tworzenie mechanizmów bilansowania źródeł OZE w</w:t>
      </w:r>
      <w:r w:rsidR="00B55D16">
        <w:rPr>
          <w:rFonts w:cs="DINPro"/>
        </w:rPr>
        <w:t> </w:t>
      </w:r>
      <w:r w:rsidR="007B6483" w:rsidRPr="003A4B4B">
        <w:rPr>
          <w:rFonts w:cs="DINPro"/>
        </w:rPr>
        <w:t>oparciu o innowacyjne wykorzystanie potencjału hydroenergii w obszarach po eksploatacji kopalin,</w:t>
      </w:r>
    </w:p>
    <w:p w:rsidR="00B55D16" w:rsidRPr="00487E4F" w:rsidRDefault="00B55D16" w:rsidP="000401B5">
      <w:pPr>
        <w:pStyle w:val="Akapitzlist"/>
        <w:numPr>
          <w:ilvl w:val="0"/>
          <w:numId w:val="45"/>
        </w:numPr>
        <w:ind w:left="3261"/>
        <w:jc w:val="both"/>
        <w:rPr>
          <w:rFonts w:cs="DINPro"/>
        </w:rPr>
      </w:pPr>
      <w:r w:rsidRPr="003A4B4B">
        <w:t xml:space="preserve">Projekt </w:t>
      </w:r>
      <w:r w:rsidR="00FD4D89">
        <w:t>s</w:t>
      </w:r>
      <w:r w:rsidRPr="003A4B4B">
        <w:t xml:space="preserve">trategiczny </w:t>
      </w:r>
      <w:r w:rsidR="000401B5">
        <w:t>–</w:t>
      </w:r>
      <w:r>
        <w:t xml:space="preserve"> </w:t>
      </w:r>
      <w:r w:rsidR="00487E4F">
        <w:t xml:space="preserve">Program Rozwoju Elektromobilności poprzez zdefiniowanie jego ram w ustawie o </w:t>
      </w:r>
      <w:r w:rsidR="000C0D0C">
        <w:t>e</w:t>
      </w:r>
      <w:r w:rsidR="00487E4F">
        <w:t xml:space="preserve">lektromobilności </w:t>
      </w:r>
      <w:r w:rsidR="000C0D0C">
        <w:t>i </w:t>
      </w:r>
      <w:r w:rsidR="00487E4F">
        <w:t>innych paliwach al</w:t>
      </w:r>
      <w:r w:rsidR="000C0D0C">
        <w:t>ternatywnych w transporcie oraz </w:t>
      </w:r>
      <w:r w:rsidR="00487E4F">
        <w:t>skoncentrowanie środ</w:t>
      </w:r>
      <w:r w:rsidR="000C0D0C">
        <w:t xml:space="preserve">ków publicznych na rozwoju tego </w:t>
      </w:r>
      <w:r w:rsidR="000401B5">
        <w:t>rynku,</w:t>
      </w:r>
    </w:p>
    <w:p w:rsidR="009A4895" w:rsidRPr="003A4B4B" w:rsidRDefault="009A4895" w:rsidP="00FA40FE">
      <w:pPr>
        <w:pStyle w:val="Akapitzlist"/>
        <w:numPr>
          <w:ilvl w:val="0"/>
          <w:numId w:val="45"/>
        </w:numPr>
        <w:ind w:left="3261"/>
        <w:jc w:val="both"/>
        <w:rPr>
          <w:rFonts w:cs="DINPro"/>
        </w:rPr>
      </w:pPr>
      <w:r w:rsidRPr="003A4B4B">
        <w:t xml:space="preserve">Projekt </w:t>
      </w:r>
      <w:r w:rsidR="00FD4D89">
        <w:t>s</w:t>
      </w:r>
      <w:r w:rsidRPr="003A4B4B">
        <w:t xml:space="preserve">trategiczny - </w:t>
      </w:r>
      <w:r w:rsidR="001327E4" w:rsidRPr="003A4B4B">
        <w:t>Rozwój i wykorzystanie potencjału geotermalnego w Polsce – stworzenie warunków dla promocji oraz rozwoju energetyki odnawialnej, bazującej na źródłach geotermalnych</w:t>
      </w:r>
      <w:r w:rsidR="000401B5">
        <w:t>,</w:t>
      </w:r>
    </w:p>
    <w:p w:rsidR="005512E3" w:rsidRPr="003A4B4B" w:rsidRDefault="005512E3" w:rsidP="00FA40FE">
      <w:pPr>
        <w:pStyle w:val="Akapitzlist"/>
        <w:numPr>
          <w:ilvl w:val="0"/>
          <w:numId w:val="45"/>
        </w:numPr>
        <w:ind w:left="3261"/>
        <w:jc w:val="both"/>
      </w:pPr>
      <w:r w:rsidRPr="003A4B4B">
        <w:t xml:space="preserve">Projekt </w:t>
      </w:r>
      <w:r w:rsidR="00FD4D89">
        <w:t>s</w:t>
      </w:r>
      <w:r w:rsidRPr="003A4B4B">
        <w:t>trategiczny – Energetyka rozproszona – projekt mający na celu rozwój wytwarzania energii elektrycznej i ciepła przy</w:t>
      </w:r>
      <w:r w:rsidR="00B85F9A">
        <w:t> </w:t>
      </w:r>
      <w:r w:rsidRPr="003A4B4B">
        <w:t xml:space="preserve">wykorzystaniu źródeł odnawialnych (OZE) na potrzeby społeczności lokalnej oraz tworzenie warunków regulacyjnych </w:t>
      </w:r>
      <w:r w:rsidRPr="003A4B4B">
        <w:lastRenderedPageBreak/>
        <w:t>pozwalających na rozwój lokalnych obszarów zrównoważonych energetycznie – klastrów energii, spółdzielni energetycznych itp.,</w:t>
      </w:r>
    </w:p>
    <w:p w:rsidR="00231963" w:rsidRPr="003A4B4B" w:rsidRDefault="005512E3" w:rsidP="00FA40FE">
      <w:pPr>
        <w:pStyle w:val="Akapitzlist"/>
        <w:numPr>
          <w:ilvl w:val="0"/>
          <w:numId w:val="45"/>
        </w:numPr>
        <w:ind w:left="3261"/>
        <w:jc w:val="both"/>
      </w:pPr>
      <w:r w:rsidRPr="003A4B4B">
        <w:t xml:space="preserve">Projekt </w:t>
      </w:r>
      <w:r w:rsidR="00FD4D89">
        <w:t>s</w:t>
      </w:r>
      <w:r w:rsidRPr="003A4B4B">
        <w:t>trategiczny –</w:t>
      </w:r>
      <w:r w:rsidR="00231963" w:rsidRPr="003A4B4B">
        <w:t xml:space="preserve"> Wykorzystanie potencjału hydroenergetycznego – projekt mający na celu zwiększenie wykorzystania i rozwój hydroenergetyki poprzez eliminację barier administracyjnych w obszarze inwestycji w zakresie hydroenergetyki, rozwój przemysłu wytwarzającego urządzenia na potrzeby energetyki wodnej oraz zagospodarowania lub</w:t>
      </w:r>
      <w:r w:rsidR="00B85F9A">
        <w:t> </w:t>
      </w:r>
      <w:r w:rsidR="00231963" w:rsidRPr="003A4B4B">
        <w:t>odbudowy istniejących piętrzeń będących własnością Skarbu Państwa na potrzeby wytwarzania energii elektrycznej</w:t>
      </w:r>
      <w:r w:rsidR="0008050E" w:rsidRPr="003A4B4B">
        <w:t>,</w:t>
      </w:r>
    </w:p>
    <w:p w:rsidR="00F501EC" w:rsidRPr="00FA40FE" w:rsidRDefault="001478E9" w:rsidP="00FA40FE">
      <w:pPr>
        <w:pStyle w:val="Akapitzlist"/>
        <w:numPr>
          <w:ilvl w:val="0"/>
          <w:numId w:val="45"/>
        </w:numPr>
        <w:spacing w:after="0"/>
        <w:ind w:left="3261"/>
        <w:jc w:val="both"/>
        <w:rPr>
          <w:rFonts w:cs="DINPro"/>
        </w:rPr>
      </w:pPr>
      <w:r w:rsidRPr="003A4B4B">
        <w:t xml:space="preserve">Projekt </w:t>
      </w:r>
      <w:r w:rsidR="00FD4D89">
        <w:t>s</w:t>
      </w:r>
      <w:r w:rsidRPr="003A4B4B">
        <w:t>trategiczny –</w:t>
      </w:r>
      <w:r w:rsidR="00F501EC" w:rsidRPr="003A4B4B">
        <w:t xml:space="preserve"> Innowacyjne metody poszukiwania i</w:t>
      </w:r>
      <w:r w:rsidR="00695E8A">
        <w:t> </w:t>
      </w:r>
      <w:r w:rsidR="00F501EC" w:rsidRPr="003A4B4B">
        <w:t>wydobycia węglowodorów – wdrożenie innowacyjnych metod poszukiwania rejonów występowania oraz skutecznych metod wydobycia węglowodorów</w:t>
      </w:r>
      <w:r w:rsidR="00974FAE">
        <w:t>.</w:t>
      </w:r>
      <w:r w:rsidR="00F501EC" w:rsidRPr="003A4B4B">
        <w:t xml:space="preserve"> </w:t>
      </w:r>
    </w:p>
    <w:p w:rsidR="00D818F9" w:rsidRPr="002A3DDD" w:rsidRDefault="00D818F9" w:rsidP="00FA40FE">
      <w:pPr>
        <w:pStyle w:val="Akapitzlist"/>
        <w:spacing w:after="0"/>
        <w:ind w:left="3261"/>
        <w:jc w:val="both"/>
        <w:rPr>
          <w:rFonts w:cs="DINPro"/>
        </w:rPr>
      </w:pPr>
    </w:p>
    <w:p w:rsidR="00AB23AD" w:rsidRDefault="00AB23AD" w:rsidP="00043B72">
      <w:pPr>
        <w:pStyle w:val="Akapitzlist"/>
        <w:numPr>
          <w:ilvl w:val="2"/>
          <w:numId w:val="15"/>
        </w:numPr>
        <w:spacing w:after="0"/>
        <w:jc w:val="both"/>
      </w:pPr>
      <w:r w:rsidRPr="003A4B4B">
        <w:t>Kierunek interwencji –</w:t>
      </w:r>
      <w:r>
        <w:t xml:space="preserve"> </w:t>
      </w:r>
      <w:r w:rsidRPr="00AB23AD">
        <w:t>Restrukturyzacja sektora górnictwa węgla kamiennego</w:t>
      </w:r>
    </w:p>
    <w:p w:rsidR="00A4273D" w:rsidRPr="002A3DDD" w:rsidRDefault="00331DA7" w:rsidP="00FD4D89">
      <w:pPr>
        <w:pStyle w:val="Akapitzlist"/>
        <w:numPr>
          <w:ilvl w:val="0"/>
          <w:numId w:val="48"/>
        </w:numPr>
        <w:spacing w:after="0"/>
        <w:ind w:left="3261"/>
        <w:jc w:val="both"/>
        <w:rPr>
          <w:rFonts w:cs="DINPro"/>
        </w:rPr>
      </w:pPr>
      <w:r w:rsidRPr="003A4B4B">
        <w:rPr>
          <w:rFonts w:cs="DINPro"/>
        </w:rPr>
        <w:t>Działanie –</w:t>
      </w:r>
      <w:r w:rsidR="00B867BA">
        <w:rPr>
          <w:rFonts w:cs="DINPro"/>
        </w:rPr>
        <w:t xml:space="preserve"> </w:t>
      </w:r>
      <w:r w:rsidR="00FE0ED3" w:rsidRPr="00FE0ED3">
        <w:rPr>
          <w:rFonts w:cs="DINPro"/>
        </w:rPr>
        <w:t>Zwiększenie efektywności wydobycia węgla kamiennego</w:t>
      </w:r>
      <w:r w:rsidR="00FD4D89">
        <w:rPr>
          <w:rFonts w:cs="DINPro"/>
        </w:rPr>
        <w:t>.</w:t>
      </w:r>
    </w:p>
    <w:p w:rsidR="004A12FF" w:rsidRDefault="004A12FF" w:rsidP="00273803">
      <w:pPr>
        <w:pStyle w:val="Akapitzlist"/>
        <w:ind w:left="567"/>
        <w:jc w:val="both"/>
        <w:rPr>
          <w:rFonts w:cs="DINPro"/>
        </w:rPr>
      </w:pPr>
    </w:p>
    <w:p w:rsidR="00F501EC" w:rsidRDefault="00FD4D89" w:rsidP="00FD4D89">
      <w:pPr>
        <w:pStyle w:val="Akapitzlist"/>
        <w:numPr>
          <w:ilvl w:val="1"/>
          <w:numId w:val="15"/>
        </w:numPr>
        <w:jc w:val="both"/>
        <w:rPr>
          <w:rFonts w:cs="DINPro"/>
        </w:rPr>
      </w:pPr>
      <w:r>
        <w:t xml:space="preserve">Obszar wpływający na osiągnięcie celów </w:t>
      </w:r>
      <w:r w:rsidRPr="00345DAF">
        <w:rPr>
          <w:i/>
        </w:rPr>
        <w:t>Strategii</w:t>
      </w:r>
      <w:r>
        <w:t xml:space="preserve"> – </w:t>
      </w:r>
      <w:r w:rsidR="00273803" w:rsidRPr="003A4B4B">
        <w:rPr>
          <w:rFonts w:cs="DINPro"/>
        </w:rPr>
        <w:t>Środowisko</w:t>
      </w:r>
    </w:p>
    <w:p w:rsidR="00FD4D89" w:rsidRPr="003A4B4B" w:rsidRDefault="00FD4D89" w:rsidP="00FD4D89">
      <w:pPr>
        <w:pStyle w:val="Akapitzlist"/>
        <w:ind w:left="1440"/>
        <w:jc w:val="both"/>
        <w:rPr>
          <w:rFonts w:cs="DINPro"/>
        </w:rPr>
      </w:pPr>
    </w:p>
    <w:p w:rsidR="00F146A0" w:rsidRPr="003A4B4B" w:rsidRDefault="00F146A0" w:rsidP="008018F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cs="Arial"/>
        </w:rPr>
      </w:pPr>
      <w:r w:rsidRPr="003A4B4B">
        <w:rPr>
          <w:rFonts w:cs="Arial"/>
        </w:rPr>
        <w:t xml:space="preserve">Kierunek interwencji </w:t>
      </w:r>
      <w:r w:rsidR="00FD4D89">
        <w:rPr>
          <w:rFonts w:cs="Arial"/>
        </w:rPr>
        <w:t>–</w:t>
      </w:r>
      <w:r w:rsidRPr="003A4B4B">
        <w:rPr>
          <w:rFonts w:cs="Arial"/>
        </w:rPr>
        <w:t xml:space="preserve"> Zwiększenie dyspozycyjnych zasobów wodnych i osiągnięcie wysokiej jakości wód</w:t>
      </w:r>
    </w:p>
    <w:p w:rsidR="001150C5" w:rsidRPr="003A4B4B" w:rsidRDefault="00273803" w:rsidP="001150C5">
      <w:pPr>
        <w:pStyle w:val="Akapitzlist"/>
        <w:numPr>
          <w:ilvl w:val="0"/>
          <w:numId w:val="32"/>
        </w:numPr>
        <w:spacing w:after="0" w:line="240" w:lineRule="auto"/>
        <w:ind w:left="3261" w:hanging="284"/>
        <w:jc w:val="both"/>
      </w:pPr>
      <w:r w:rsidRPr="003A4B4B">
        <w:rPr>
          <w:rFonts w:cs="DINPro"/>
        </w:rPr>
        <w:t>Działanie –</w:t>
      </w:r>
      <w:r w:rsidR="001150C5" w:rsidRPr="003A4B4B">
        <w:rPr>
          <w:rFonts w:cs="DINPro"/>
        </w:rPr>
        <w:t xml:space="preserve"> </w:t>
      </w:r>
      <w:r w:rsidR="001150C5" w:rsidRPr="003A4B4B">
        <w:t xml:space="preserve">Utworzenie i rozwój jednolitej struktury zarządzania gospodarką wodną w układzie </w:t>
      </w:r>
      <w:proofErr w:type="spellStart"/>
      <w:r w:rsidR="001150C5" w:rsidRPr="003A4B4B">
        <w:t>zlewniowym</w:t>
      </w:r>
      <w:proofErr w:type="spellEnd"/>
      <w:r w:rsidR="001150C5" w:rsidRPr="003A4B4B">
        <w:t>, odpowiedzialnej za</w:t>
      </w:r>
      <w:r w:rsidR="005E0039">
        <w:t> </w:t>
      </w:r>
      <w:r w:rsidR="001150C5" w:rsidRPr="003A4B4B">
        <w:t>wszystkie działania związane z wodą, w tym przede wszystkim w zakresie ochrony przed powodzią i suszą,</w:t>
      </w:r>
    </w:p>
    <w:p w:rsidR="00BF1618" w:rsidRPr="003A4B4B" w:rsidRDefault="00273803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="001150C5" w:rsidRPr="003A4B4B">
        <w:rPr>
          <w:rFonts w:cs="DINPro"/>
        </w:rPr>
        <w:t xml:space="preserve"> </w:t>
      </w:r>
      <w:r w:rsidR="00BF1618" w:rsidRPr="003A4B4B">
        <w:t>Opracowanie mapy dyspozycyjnych zasobów wodnych do wykorzystania przez ludność, przemysł, rolnictwo i</w:t>
      </w:r>
      <w:r w:rsidR="005E0039">
        <w:t> </w:t>
      </w:r>
      <w:r w:rsidR="00BF1618" w:rsidRPr="003A4B4B">
        <w:t>inne gałęzie gospodark</w:t>
      </w:r>
      <w:r w:rsidR="00ED251E" w:rsidRPr="003A4B4B">
        <w:t>i oraz zasad ich aktualizacji w </w:t>
      </w:r>
      <w:r w:rsidR="00BF1618" w:rsidRPr="003A4B4B">
        <w:t>oparciu o</w:t>
      </w:r>
      <w:r w:rsidR="005E0039">
        <w:t> </w:t>
      </w:r>
      <w:r w:rsidR="00BF1618" w:rsidRPr="003A4B4B">
        <w:t>bilanse zasobów wód powierzchniowych oraz wód podziemnych</w:t>
      </w:r>
      <w:r w:rsidR="00B82540">
        <w:t>,</w:t>
      </w:r>
    </w:p>
    <w:p w:rsidR="00BF1618" w:rsidRPr="003A4B4B" w:rsidRDefault="001150C5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>Utworzenie mechanizmów prawno-finansowych sprzyjających racjonalnemu wykorzystaniu zasobów wodnych i</w:t>
      </w:r>
      <w:r w:rsidR="00B85F9A">
        <w:t> </w:t>
      </w:r>
      <w:r w:rsidR="00BF1618" w:rsidRPr="003A4B4B">
        <w:t xml:space="preserve">wdrażaniu </w:t>
      </w:r>
      <w:proofErr w:type="spellStart"/>
      <w:r w:rsidR="00BF1618" w:rsidRPr="003A4B4B">
        <w:t>wodooszczędnych</w:t>
      </w:r>
      <w:proofErr w:type="spellEnd"/>
      <w:r w:rsidR="00BF1618" w:rsidRPr="003A4B4B">
        <w:t xml:space="preserve"> technologii</w:t>
      </w:r>
      <w:r w:rsidRPr="003A4B4B">
        <w:t>,</w:t>
      </w:r>
    </w:p>
    <w:p w:rsidR="00BF1618" w:rsidRPr="003A4B4B" w:rsidRDefault="001150C5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>Budowa i modernizacja oczyszczalni ścieków na</w:t>
      </w:r>
      <w:r w:rsidR="00B85F9A">
        <w:t> </w:t>
      </w:r>
      <w:r w:rsidR="00BF1618" w:rsidRPr="003A4B4B">
        <w:t>podstawie zaktualizowanego Krajowego Programu O</w:t>
      </w:r>
      <w:r w:rsidRPr="003A4B4B">
        <w:t>czyszczania Ścieków Komunalnych,</w:t>
      </w:r>
    </w:p>
    <w:p w:rsidR="00BF1618" w:rsidRPr="003A4B4B" w:rsidRDefault="001150C5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>Wdrożenie Planów zarządzania ryzykiem powo</w:t>
      </w:r>
      <w:r w:rsidR="00ED251E" w:rsidRPr="003A4B4B">
        <w:t>dziowym dla obszarów dorzeczy i </w:t>
      </w:r>
      <w:r w:rsidRPr="003A4B4B">
        <w:t>opracowanie ich aktualizacji,</w:t>
      </w:r>
    </w:p>
    <w:p w:rsidR="00BF1618" w:rsidRPr="003A4B4B" w:rsidRDefault="0023118E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>Opracowanie i wdrożenie planów przeciwdziałania skutkom suszy</w:t>
      </w:r>
      <w:r w:rsidRPr="003A4B4B">
        <w:t>,</w:t>
      </w:r>
    </w:p>
    <w:p w:rsidR="00BF1618" w:rsidRPr="003A4B4B" w:rsidRDefault="00A5111A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 xml:space="preserve">Wdrażanie aktualizacji planów gospodarowania wodami na obszarach dorzeczy </w:t>
      </w:r>
      <w:r w:rsidR="00ED251E" w:rsidRPr="003A4B4B">
        <w:t>i </w:t>
      </w:r>
      <w:r w:rsidR="00BF1618" w:rsidRPr="003A4B4B">
        <w:t>aktualizacji programu wodno-środowiskoweg</w:t>
      </w:r>
      <w:r w:rsidR="00ED251E" w:rsidRPr="003A4B4B">
        <w:t>o kraju oraz realizacja prac na </w:t>
      </w:r>
      <w:r w:rsidR="00BF1618" w:rsidRPr="003A4B4B">
        <w:t>potrzeby kolejnej aktualiza</w:t>
      </w:r>
      <w:r w:rsidR="0023118E" w:rsidRPr="003A4B4B">
        <w:t>cji tych dokumentów w roku 2021,</w:t>
      </w:r>
    </w:p>
    <w:p w:rsidR="00BF1618" w:rsidRPr="003A4B4B" w:rsidRDefault="00A5111A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lastRenderedPageBreak/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>Proekologiczne zarządzanie lokalnymi zasobami wodnymi, obejmujące także kształtowanie krajobrazów sprzyjających zatrzymywaniu wody</w:t>
      </w:r>
      <w:r w:rsidR="0023118E" w:rsidRPr="003A4B4B">
        <w:t>,</w:t>
      </w:r>
    </w:p>
    <w:p w:rsidR="00A5111A" w:rsidRPr="003A4B4B" w:rsidRDefault="00A5111A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>Rozwój infrastruktury przeciwpowodziowej w oparciu o inwestycje o wysokim stopniu skuteczności i racjonalności ekonomicznej oraz odpowiednie planowanie przestrzenne, w</w:t>
      </w:r>
      <w:r w:rsidR="002C68A5">
        <w:t> </w:t>
      </w:r>
      <w:r w:rsidR="00BF1618" w:rsidRPr="003A4B4B">
        <w:t>tym budowa wielofunkcyjnych, spójnych funkcj</w:t>
      </w:r>
      <w:r w:rsidR="00607941" w:rsidRPr="003A4B4B">
        <w:t>onalnie, zbiorników małej i – w </w:t>
      </w:r>
      <w:r w:rsidR="00BF1618" w:rsidRPr="003A4B4B">
        <w:t>szczególnych przypadkach – dużej retencji</w:t>
      </w:r>
      <w:r w:rsidR="00162D17" w:rsidRPr="003A4B4B">
        <w:t>,</w:t>
      </w:r>
    </w:p>
    <w:p w:rsidR="00BF1618" w:rsidRPr="003A4B4B" w:rsidRDefault="00A5111A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BF1618" w:rsidRPr="003A4B4B">
        <w:t>Zarządzanie wodami opadowymi na obszarach zurbanizowanych poprzez różne formy retencji i rozwój infrastruktury zieleni</w:t>
      </w:r>
      <w:r w:rsidRPr="003A4B4B">
        <w:t>,</w:t>
      </w:r>
    </w:p>
    <w:p w:rsidR="00BF1618" w:rsidRPr="003A4B4B" w:rsidRDefault="00BF1618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FA40FE">
        <w:t>Działanie</w:t>
      </w:r>
      <w:r w:rsidR="00E42E42" w:rsidRPr="00903B2A">
        <w:t xml:space="preserve"> </w:t>
      </w:r>
      <w:r w:rsidR="00FD4D89">
        <w:t>–</w:t>
      </w:r>
      <w:r w:rsidR="00E42E42" w:rsidRPr="00903B2A">
        <w:t xml:space="preserve"> </w:t>
      </w:r>
      <w:r w:rsidR="00E42E42" w:rsidRPr="00FA40FE">
        <w:rPr>
          <w:rFonts w:cs="DINPro"/>
        </w:rPr>
        <w:t>Działania</w:t>
      </w:r>
      <w:r w:rsidR="00E42E42" w:rsidRPr="003A4B4B">
        <w:rPr>
          <w:rFonts w:cs="DINPro"/>
        </w:rPr>
        <w:t xml:space="preserve"> </w:t>
      </w:r>
      <w:r w:rsidRPr="003A4B4B">
        <w:t>informacyjno-edukacyjne w zakresie upowszechniania przyjaznych środowisku sposobów przechowywania i stosowania nawozów, w tym realizacja działań mających na celu racjonalną gospodarkę nawozową</w:t>
      </w:r>
      <w:r w:rsidR="001051E0" w:rsidRPr="003A4B4B">
        <w:t>,</w:t>
      </w:r>
    </w:p>
    <w:p w:rsidR="001F6C8A" w:rsidRPr="003A4B4B" w:rsidRDefault="002C011F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t xml:space="preserve">Projekt </w:t>
      </w:r>
      <w:r w:rsidR="00FD4D89">
        <w:t>s</w:t>
      </w:r>
      <w:r w:rsidRPr="003A4B4B">
        <w:t>trategiczny – Woda dla rolnictwa – program wsparcia gospodarstw rodzinnych i doskonalenia gospodarki wodnej w</w:t>
      </w:r>
      <w:r w:rsidR="002C68A5">
        <w:t> </w:t>
      </w:r>
      <w:r w:rsidRPr="003A4B4B">
        <w:t>rolnictwie w warunkach okresowych niedoborów i nadmiarów wody, w tym w budowie, odbudowie i prawidłowym wykorzystaniu urządzeń melioracyjnych dla poprawienia warunków produkcji, powiększenia retencji wodnej oraz</w:t>
      </w:r>
      <w:r w:rsidR="002C68A5">
        <w:t> </w:t>
      </w:r>
      <w:r w:rsidRPr="003A4B4B">
        <w:t>osi</w:t>
      </w:r>
      <w:r w:rsidR="00FD4D89">
        <w:t>ągnięcia efektów środowiskowych</w:t>
      </w:r>
      <w:r w:rsidRPr="003A4B4B">
        <w:t>,</w:t>
      </w:r>
    </w:p>
    <w:p w:rsidR="000438B2" w:rsidRPr="00FA40FE" w:rsidRDefault="00824DCA" w:rsidP="00CB35CC">
      <w:pPr>
        <w:pStyle w:val="Akapitzlist"/>
        <w:numPr>
          <w:ilvl w:val="0"/>
          <w:numId w:val="41"/>
        </w:numPr>
        <w:ind w:left="3261" w:hanging="284"/>
        <w:jc w:val="both"/>
        <w:rPr>
          <w:rFonts w:cs="DINPro"/>
        </w:rPr>
      </w:pPr>
      <w:r w:rsidRPr="003A4B4B">
        <w:t xml:space="preserve">Projekt </w:t>
      </w:r>
      <w:r w:rsidR="00FD4D89">
        <w:t>s</w:t>
      </w:r>
      <w:r w:rsidRPr="003A4B4B">
        <w:t xml:space="preserve">trategiczny – </w:t>
      </w:r>
      <w:r w:rsidR="007926F9" w:rsidRPr="003A4B4B">
        <w:t>Kompleksowy program adaptacji lasów i</w:t>
      </w:r>
      <w:r w:rsidR="000F2357">
        <w:t> </w:t>
      </w:r>
      <w:r w:rsidR="007926F9" w:rsidRPr="003A4B4B">
        <w:t>leśnictwa do z</w:t>
      </w:r>
      <w:r w:rsidR="00550BB3">
        <w:t>mian klimatycznych do roku 2020.</w:t>
      </w:r>
    </w:p>
    <w:p w:rsidR="00917AE5" w:rsidRPr="003A4B4B" w:rsidRDefault="00917AE5" w:rsidP="00FA40FE">
      <w:pPr>
        <w:pStyle w:val="Akapitzlist"/>
        <w:ind w:left="3261"/>
        <w:jc w:val="both"/>
        <w:rPr>
          <w:rFonts w:cs="DINPro"/>
        </w:rPr>
      </w:pPr>
    </w:p>
    <w:p w:rsidR="00CE7C40" w:rsidRPr="003A4B4B" w:rsidRDefault="003C689C" w:rsidP="00DE3DAE">
      <w:pPr>
        <w:pStyle w:val="Akapitzlist"/>
        <w:numPr>
          <w:ilvl w:val="0"/>
          <w:numId w:val="33"/>
        </w:numPr>
        <w:ind w:left="2268" w:hanging="567"/>
      </w:pPr>
      <w:r w:rsidRPr="003A4B4B">
        <w:t>K</w:t>
      </w:r>
      <w:r w:rsidR="00CE7C40" w:rsidRPr="003A4B4B">
        <w:t>ierunek interwencji</w:t>
      </w:r>
      <w:r w:rsidRPr="003A4B4B">
        <w:t xml:space="preserve"> - </w:t>
      </w:r>
      <w:r w:rsidR="00CE7C40" w:rsidRPr="003A4B4B">
        <w:t>Likwidacja źródeł emisji zanieczyszczeń powietrza lub</w:t>
      </w:r>
      <w:r w:rsidR="001B69DC">
        <w:t> </w:t>
      </w:r>
      <w:r w:rsidR="00CE7C40" w:rsidRPr="003A4B4B">
        <w:t xml:space="preserve">istotne zmniejszenie ich oddziaływania </w:t>
      </w:r>
    </w:p>
    <w:p w:rsidR="00E56C1E" w:rsidRPr="003A4B4B" w:rsidRDefault="001F6C8A" w:rsidP="001F6C8A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 xml:space="preserve">Nadanie działaniom NFOŚiGW oraz </w:t>
      </w:r>
      <w:proofErr w:type="spellStart"/>
      <w:r w:rsidR="00E56C1E" w:rsidRPr="003A4B4B">
        <w:t>WFOŚiGW</w:t>
      </w:r>
      <w:proofErr w:type="spellEnd"/>
      <w:r w:rsidR="00E56C1E" w:rsidRPr="003A4B4B">
        <w:t xml:space="preserve"> odpowiedniego dla rangi problemu priorytetu dla wsparcia przedsięwzięć poprawy jakości powietrza</w:t>
      </w:r>
      <w:r w:rsidR="00B13D11">
        <w:t>,</w:t>
      </w:r>
    </w:p>
    <w:p w:rsidR="00E56C1E" w:rsidRPr="003A4B4B" w:rsidRDefault="001F6C8A" w:rsidP="001F6C8A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="00554495" w:rsidRPr="003A4B4B">
        <w:rPr>
          <w:rFonts w:cs="DINPro"/>
        </w:rPr>
        <w:t xml:space="preserve"> </w:t>
      </w:r>
      <w:r w:rsidR="00E56C1E" w:rsidRPr="003A4B4B">
        <w:t>Stworzenie ram prawnych wprowadzających wymagania jakościowe dla paliw stałych ze względu na rodzaj i</w:t>
      </w:r>
      <w:r w:rsidR="001B69DC">
        <w:t> </w:t>
      </w:r>
      <w:r w:rsidR="00E56C1E" w:rsidRPr="003A4B4B">
        <w:t>wielkość instalacji spalania paliw, z wyróżnieniem instalacji stosowanych w sektorze bytowo</w:t>
      </w:r>
      <w:r w:rsidR="00FD4D89">
        <w:t>-</w:t>
      </w:r>
      <w:r w:rsidR="00E56C1E" w:rsidRPr="003A4B4B">
        <w:t>komunalnym, jak r</w:t>
      </w:r>
      <w:r w:rsidR="003C689C" w:rsidRPr="003A4B4B">
        <w:t>ównież wymagań technicznych dla </w:t>
      </w:r>
      <w:r w:rsidR="00554495" w:rsidRPr="003A4B4B">
        <w:t>małych kotłów na paliwa stałe,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Dynamizacja przedsięwzięć na rzecz likwidacji niskiej emisji z systemów grzewczych</w:t>
      </w:r>
      <w:r w:rsidRPr="003A4B4B">
        <w:t>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Rozwój i wsparcie finansowe Państwowego Monitoringu Środowiska w zakr</w:t>
      </w:r>
      <w:r w:rsidRPr="003A4B4B">
        <w:t>esie pomiarów jakości powietrza,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Wzmocnienie kontroli zgodności zainstalowanego systemu og</w:t>
      </w:r>
      <w:r w:rsidRPr="003A4B4B">
        <w:t>rzewania z projektem budowlanym,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FD4D89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Wsparcie merytoryczne samorządów gminnych, w</w:t>
      </w:r>
      <w:r w:rsidR="001B69DC">
        <w:t> </w:t>
      </w:r>
      <w:r w:rsidR="00173B45" w:rsidRPr="003A4B4B">
        <w:t>tym przygotowanie wytycznych w </w:t>
      </w:r>
      <w:r w:rsidR="00E56C1E" w:rsidRPr="003A4B4B">
        <w:t>zakresie przygotowywania Programów Ograniczania Niskiej Emisji (PONE), obejmujące wielokryterialność programowanych działań oraz inwentaryzację źródeł emisji</w:t>
      </w:r>
      <w:r w:rsidRPr="003A4B4B">
        <w:t>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lastRenderedPageBreak/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Dostosowywanie ram prawnych w celu dalszego ograniczania emisji zanieczyszczeń do powietrza</w:t>
      </w:r>
      <w:r w:rsidRPr="003A4B4B">
        <w:t>, w tym zjawiska niskiej emisji,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Wsparcie samorządów w zakresie zarządzania wielokryterialnego emisjami obszarowymi (systemy grzewcze) i</w:t>
      </w:r>
      <w:r w:rsidR="001B69DC">
        <w:t> </w:t>
      </w:r>
      <w:r w:rsidR="00E56C1E" w:rsidRPr="003A4B4B">
        <w:t>liniowymi (transport) oraz lokalizacją in</w:t>
      </w:r>
      <w:r w:rsidRPr="003A4B4B">
        <w:t>westycji z punktowymi emitorami,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Dalsze ograniczenie emisj</w:t>
      </w:r>
      <w:r w:rsidRPr="003A4B4B">
        <w:t>i z transportu drogowego,</w:t>
      </w:r>
    </w:p>
    <w:p w:rsidR="00E56C1E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Opracowanie polityki redukcji emisji gazów cieplarnianych z sektorów nieobjętych systemem handlu uprawnieniami do emisji (EU ETS)</w:t>
      </w:r>
      <w:r w:rsidRPr="003A4B4B">
        <w:t>,</w:t>
      </w:r>
    </w:p>
    <w:p w:rsidR="00911E3C" w:rsidRPr="003A4B4B" w:rsidRDefault="00554495" w:rsidP="00554495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56C1E" w:rsidRPr="003A4B4B">
        <w:t>Opracowanie podstaw metodologicznych do</w:t>
      </w:r>
      <w:r w:rsidR="001B69DC">
        <w:t> </w:t>
      </w:r>
      <w:r w:rsidR="00E56C1E" w:rsidRPr="003A4B4B">
        <w:t>zarządzania pochłanianiem CO</w:t>
      </w:r>
      <w:r w:rsidR="00E56C1E" w:rsidRPr="00CC3AF7">
        <w:rPr>
          <w:vertAlign w:val="subscript"/>
        </w:rPr>
        <w:t>2</w:t>
      </w:r>
      <w:r w:rsidR="00E56C1E" w:rsidRPr="003A4B4B">
        <w:t xml:space="preserve"> w leśnictwie w ramach realizacji polityki klimatycznej</w:t>
      </w:r>
      <w:r w:rsidRPr="003A4B4B">
        <w:t>,</w:t>
      </w:r>
    </w:p>
    <w:p w:rsidR="0071087F" w:rsidRPr="003A4B4B" w:rsidRDefault="0071087F" w:rsidP="00A13000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t xml:space="preserve">Projekt </w:t>
      </w:r>
      <w:r w:rsidR="00CC3AF7">
        <w:t>s</w:t>
      </w:r>
      <w:r w:rsidRPr="003A4B4B">
        <w:t xml:space="preserve">trategiczny – </w:t>
      </w:r>
      <w:r w:rsidR="00A13000" w:rsidRPr="003A4B4B">
        <w:t>Czyste powietrze – zintegrowane działania mające na celu kompleksową poprawę jakości powietrza do</w:t>
      </w:r>
      <w:r w:rsidR="001B69DC">
        <w:t> </w:t>
      </w:r>
      <w:r w:rsidR="00A13000" w:rsidRPr="003A4B4B">
        <w:t>stanu niepowodującego większego narażenia zdrowia ludzkiego oraz środowiska, zgodnego z prawodawstwem unijnym, a w dalszej perspektywie z wytycznymi WHO, a</w:t>
      </w:r>
      <w:r w:rsidR="00093B3D">
        <w:t> </w:t>
      </w:r>
      <w:r w:rsidR="00A13000" w:rsidRPr="003A4B4B">
        <w:t>także</w:t>
      </w:r>
      <w:r w:rsidR="00093B3D">
        <w:t> </w:t>
      </w:r>
      <w:r w:rsidR="00A13000" w:rsidRPr="003A4B4B">
        <w:t>wzrost świadomości społecznej. Projekt obejmuje m.in. rozwój mechanizmów kontrolowania źródeł niskiej emisji, standaryzację urządzeń grzewczych i paliw stałych, dostosowanie mechanizmów finansowych i ich społeczną dostępność oraz stworzenie ram prawnych sprzyjających realizacji efektywnych działań, wynikających z Krajowego Programu Ochrony Powietrza, jak również z programów ochrony powietrza szczebla wojewódzkiego i lokalnego oraz planów działań krótkoterminowych, sporządzanych dla stref, w których zostały stwierdzone przekroczenia norm jakości powietrza, w</w:t>
      </w:r>
      <w:r w:rsidR="00093B3D">
        <w:t> </w:t>
      </w:r>
      <w:r w:rsidR="00A13000" w:rsidRPr="003A4B4B">
        <w:t>tym wprowadzenie do obiegu prawnego brakujących pojęć (np. niska emisja),</w:t>
      </w:r>
    </w:p>
    <w:p w:rsidR="00885B4A" w:rsidRDefault="00885B4A" w:rsidP="00885B4A">
      <w:pPr>
        <w:pStyle w:val="Akapitzlist"/>
        <w:numPr>
          <w:ilvl w:val="0"/>
          <w:numId w:val="34"/>
        </w:numPr>
        <w:ind w:left="3261" w:hanging="284"/>
        <w:jc w:val="both"/>
      </w:pPr>
      <w:r w:rsidRPr="003A4B4B">
        <w:t xml:space="preserve">Projekt </w:t>
      </w:r>
      <w:r w:rsidR="00CC3AF7">
        <w:t>s</w:t>
      </w:r>
      <w:r w:rsidRPr="003A4B4B">
        <w:t>trategiczny – Leśne Gospodarstwa Węglowe – projekt dotyczy opracowania i zastosowania efektywnego modelu pochłaniania dwutlenku węgla przez lasy polskie, w</w:t>
      </w:r>
      <w:r w:rsidR="00093B3D">
        <w:t> </w:t>
      </w:r>
      <w:r w:rsidRPr="003A4B4B">
        <w:t>tym</w:t>
      </w:r>
      <w:r w:rsidR="00093B3D">
        <w:t> </w:t>
      </w:r>
      <w:r w:rsidRPr="003A4B4B">
        <w:t>pozostające w zarządzie PGL LP, promowania działalności dodatkowej w gospodarce leśnej, wspomagającej pochłanianie CO</w:t>
      </w:r>
      <w:r w:rsidRPr="00CC3AF7">
        <w:rPr>
          <w:vertAlign w:val="subscript"/>
        </w:rPr>
        <w:t>2</w:t>
      </w:r>
      <w:r w:rsidRPr="003A4B4B">
        <w:t xml:space="preserve"> (główny gaz cieplarniany), udoskonalenie sposobu raportowania pochłaniania CO2 w lasach polskich (w ramach Protokołu z Kioto i Porozumienia Paryskiego) oraz</w:t>
      </w:r>
      <w:r w:rsidR="00093B3D">
        <w:t> </w:t>
      </w:r>
      <w:r w:rsidRPr="003A4B4B">
        <w:t>w</w:t>
      </w:r>
      <w:r w:rsidR="008969AF">
        <w:t> </w:t>
      </w:r>
      <w:r w:rsidRPr="003A4B4B">
        <w:t>Zintegrowanym Systemie Informatycznym Lasów Państwowych</w:t>
      </w:r>
      <w:r w:rsidR="00550BB3">
        <w:t>.</w:t>
      </w:r>
    </w:p>
    <w:p w:rsidR="00B12C8A" w:rsidRPr="003A4B4B" w:rsidRDefault="00B12C8A" w:rsidP="00FA40FE">
      <w:pPr>
        <w:pStyle w:val="Akapitzlist"/>
        <w:ind w:left="3261"/>
        <w:jc w:val="both"/>
      </w:pPr>
    </w:p>
    <w:p w:rsidR="003754D1" w:rsidRPr="003A4B4B" w:rsidRDefault="00772252" w:rsidP="008018F5">
      <w:pPr>
        <w:pStyle w:val="Akapitzlist"/>
        <w:numPr>
          <w:ilvl w:val="0"/>
          <w:numId w:val="33"/>
        </w:numPr>
        <w:spacing w:after="0" w:line="240" w:lineRule="auto"/>
        <w:ind w:left="1985" w:hanging="284"/>
      </w:pPr>
      <w:r w:rsidRPr="003A4B4B">
        <w:t>K</w:t>
      </w:r>
      <w:r w:rsidR="003754D1" w:rsidRPr="003A4B4B">
        <w:t xml:space="preserve">ierunek interwencji </w:t>
      </w:r>
      <w:r w:rsidR="00CC3AF7">
        <w:t>–</w:t>
      </w:r>
      <w:r w:rsidR="003754D1" w:rsidRPr="003A4B4B">
        <w:t xml:space="preserve"> Zarządzanie zasobami dziedzictwa przyrodniczego </w:t>
      </w:r>
    </w:p>
    <w:p w:rsidR="00EC3634" w:rsidRPr="003A4B4B" w:rsidRDefault="00C42E09" w:rsidP="00DC1B78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>Obiektywna ocena i weryfikacja powierzchni chronionych i ich zasobów w celu podniesienia skuteczności ochrony przestrzeni szczególnie cennej ze względów przyrodniczych i krajobrazowych</w:t>
      </w:r>
      <w:r w:rsidR="00DC1B78" w:rsidRPr="003A4B4B">
        <w:t>,</w:t>
      </w:r>
    </w:p>
    <w:p w:rsidR="00EC3634" w:rsidRPr="003A4B4B" w:rsidRDefault="00C42E09" w:rsidP="00FA40FE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lastRenderedPageBreak/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 xml:space="preserve">Mapowanie i wycena wartości usług </w:t>
      </w:r>
      <w:r w:rsidR="00466D16">
        <w:t>e</w:t>
      </w:r>
      <w:r w:rsidR="00EC3634" w:rsidRPr="003A4B4B">
        <w:t>kosystemowych</w:t>
      </w:r>
      <w:r w:rsidR="00DC1B78" w:rsidRPr="003A4B4B">
        <w:t>,</w:t>
      </w:r>
    </w:p>
    <w:p w:rsidR="00EC3634" w:rsidRPr="003A4B4B" w:rsidRDefault="00410093" w:rsidP="00DC1B78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>Dostosowanie norm systemu planowania i</w:t>
      </w:r>
      <w:r w:rsidR="00093B3D">
        <w:t> </w:t>
      </w:r>
      <w:r w:rsidR="00EC3634" w:rsidRPr="003A4B4B">
        <w:t>zagospodarowania przestrzeni oraz wprowadzenie zmian w</w:t>
      </w:r>
      <w:r w:rsidR="00093B3D">
        <w:t> </w:t>
      </w:r>
      <w:r w:rsidR="00EC3634" w:rsidRPr="003A4B4B">
        <w:t>zarządzaniu obszarami poddanymi ochronie w celu zmniejszenia naturalnej konfliktogenności ochrony wartości wysoko cenionych</w:t>
      </w:r>
      <w:r w:rsidR="00DC1B78" w:rsidRPr="003A4B4B">
        <w:t>,</w:t>
      </w:r>
    </w:p>
    <w:p w:rsidR="00EC3634" w:rsidRPr="003A4B4B" w:rsidRDefault="00410093" w:rsidP="00DC1B78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>Wzmocnienie istniejących organów kontroli państwa w obszarze środowiska, zwiększenie ich efektywności w zakresie egzekwowania prawa, w tym zwalczania szarej strefy</w:t>
      </w:r>
      <w:r w:rsidR="00DC1B78" w:rsidRPr="003A4B4B">
        <w:t>,</w:t>
      </w:r>
    </w:p>
    <w:p w:rsidR="00EC3634" w:rsidRPr="003A4B4B" w:rsidRDefault="00410093" w:rsidP="00DC1B78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>Wskazanie i ochrona najcenniejszych</w:t>
      </w:r>
      <w:r w:rsidR="00416B99">
        <w:t xml:space="preserve"> </w:t>
      </w:r>
      <w:r w:rsidR="00EC3634" w:rsidRPr="003A4B4B">
        <w:t>– priorytetowych – krajobrazów Polski</w:t>
      </w:r>
      <w:r w:rsidR="00DC1B78" w:rsidRPr="003A4B4B">
        <w:t>,</w:t>
      </w:r>
    </w:p>
    <w:p w:rsidR="00EC3634" w:rsidRPr="003A4B4B" w:rsidRDefault="00410093" w:rsidP="00885B4A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>Wdrożenie Europejskiej Konwencji Krajobrazowej</w:t>
      </w:r>
      <w:r w:rsidR="00885B4A" w:rsidRPr="003A4B4B">
        <w:t>,</w:t>
      </w:r>
    </w:p>
    <w:p w:rsidR="00EC3634" w:rsidRPr="003A4B4B" w:rsidRDefault="00410093" w:rsidP="00885B4A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>Rozwój infrastruktury zielonej i błękitnej obszarów zurbanizowanych, w celu zachowania łączności</w:t>
      </w:r>
      <w:r w:rsidR="00583AF0" w:rsidRPr="003A4B4B">
        <w:t xml:space="preserve"> </w:t>
      </w:r>
      <w:r w:rsidR="00EC3634" w:rsidRPr="003A4B4B">
        <w:t>przestrzennej wewnątrz tych obszarów i z terenami otwartymi oraz</w:t>
      </w:r>
      <w:r w:rsidR="00093B3D">
        <w:t> </w:t>
      </w:r>
      <w:r w:rsidR="00EC3634" w:rsidRPr="003A4B4B">
        <w:t>wspomagania procesów</w:t>
      </w:r>
      <w:r w:rsidR="00583AF0" w:rsidRPr="003A4B4B">
        <w:t xml:space="preserve"> </w:t>
      </w:r>
      <w:r w:rsidR="00EC3634" w:rsidRPr="003A4B4B">
        <w:t>adaptacji do zmian klimatu</w:t>
      </w:r>
      <w:r w:rsidR="00885B4A" w:rsidRPr="003A4B4B">
        <w:t>,</w:t>
      </w:r>
    </w:p>
    <w:p w:rsidR="00C62947" w:rsidRPr="003A4B4B" w:rsidRDefault="00410093" w:rsidP="00885B4A">
      <w:pPr>
        <w:pStyle w:val="Akapitzlist"/>
        <w:numPr>
          <w:ilvl w:val="0"/>
          <w:numId w:val="35"/>
        </w:numPr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</w:t>
      </w:r>
      <w:r w:rsidR="00CC3AF7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EC3634" w:rsidRPr="003A4B4B">
        <w:t>Utrzymanie, a w miarę dostępności gruntów do</w:t>
      </w:r>
      <w:r w:rsidR="00093B3D">
        <w:t> </w:t>
      </w:r>
      <w:r w:rsidR="00EC3634" w:rsidRPr="003A4B4B">
        <w:t>zalesienia, zwiększenie ogólnej lesistości kraju oraz</w:t>
      </w:r>
      <w:r w:rsidR="00583AF0" w:rsidRPr="003A4B4B">
        <w:t xml:space="preserve"> </w:t>
      </w:r>
      <w:r w:rsidR="00EC3634" w:rsidRPr="003A4B4B">
        <w:t>zwartości kompleksów leśnych i powierzchni zalesianych</w:t>
      </w:r>
      <w:r w:rsidR="00885B4A" w:rsidRPr="003A4B4B">
        <w:t>,</w:t>
      </w:r>
    </w:p>
    <w:p w:rsidR="00410093" w:rsidRPr="003A4B4B" w:rsidRDefault="00906257" w:rsidP="00906257">
      <w:pPr>
        <w:pStyle w:val="Akapitzlist"/>
        <w:numPr>
          <w:ilvl w:val="0"/>
          <w:numId w:val="35"/>
        </w:numPr>
        <w:spacing w:after="0" w:line="240" w:lineRule="auto"/>
        <w:ind w:left="3261" w:hanging="284"/>
        <w:jc w:val="both"/>
      </w:pPr>
      <w:r w:rsidRPr="003A4B4B">
        <w:t xml:space="preserve">Działanie </w:t>
      </w:r>
      <w:r w:rsidR="00CC3AF7">
        <w:t>–</w:t>
      </w:r>
      <w:r w:rsidRPr="003A4B4B">
        <w:t xml:space="preserve"> Modyfikacja zrównoważonej gospodarki leśnej w celu zwiększenia możliwości pochłaniania przez lasy dwutlenku węgla</w:t>
      </w:r>
      <w:r w:rsidR="005833C2">
        <w:t>,</w:t>
      </w:r>
    </w:p>
    <w:p w:rsidR="0070332F" w:rsidRPr="003A4B4B" w:rsidRDefault="00410093" w:rsidP="0070332F">
      <w:pPr>
        <w:pStyle w:val="Akapitzlist"/>
        <w:numPr>
          <w:ilvl w:val="0"/>
          <w:numId w:val="35"/>
        </w:numPr>
        <w:spacing w:after="0" w:line="240" w:lineRule="auto"/>
        <w:ind w:left="3261" w:hanging="284"/>
        <w:jc w:val="both"/>
        <w:rPr>
          <w:rFonts w:cs="DINPro"/>
        </w:rPr>
      </w:pPr>
      <w:r w:rsidRPr="003A4B4B">
        <w:rPr>
          <w:rFonts w:cs="DINPro"/>
        </w:rPr>
        <w:t xml:space="preserve">Działanie </w:t>
      </w:r>
      <w:r w:rsidR="008B6136" w:rsidRPr="003A4B4B">
        <w:rPr>
          <w:rFonts w:cs="DINPro"/>
        </w:rPr>
        <w:t>–</w:t>
      </w:r>
      <w:r w:rsidRPr="003A4B4B">
        <w:rPr>
          <w:rFonts w:cs="DINPro"/>
        </w:rPr>
        <w:t xml:space="preserve"> </w:t>
      </w:r>
      <w:r w:rsidR="0070332F" w:rsidRPr="003A4B4B">
        <w:rPr>
          <w:rFonts w:cs="DINPro"/>
        </w:rPr>
        <w:t>Zwiększenie dostępności biomasy leśnej (w tym drewna energetycznego) na potrzeby zaspokojenia lokalnych potrzeb samowystarczalności energetycznej oraz współspalania w energetyce,</w:t>
      </w:r>
    </w:p>
    <w:p w:rsidR="00C91E83" w:rsidRDefault="00885B4A" w:rsidP="009E2735">
      <w:pPr>
        <w:pStyle w:val="Akapitzlist"/>
        <w:numPr>
          <w:ilvl w:val="0"/>
          <w:numId w:val="35"/>
        </w:numPr>
        <w:spacing w:after="0" w:line="240" w:lineRule="auto"/>
        <w:ind w:left="3261" w:hanging="284"/>
        <w:jc w:val="both"/>
      </w:pPr>
      <w:r w:rsidRPr="003A4B4B">
        <w:t xml:space="preserve">Projekt </w:t>
      </w:r>
      <w:r w:rsidR="00CC3AF7">
        <w:t>s</w:t>
      </w:r>
      <w:r w:rsidRPr="003A4B4B">
        <w:t>trategiczny –</w:t>
      </w:r>
      <w:r w:rsidR="009E2735" w:rsidRPr="003A4B4B">
        <w:t xml:space="preserve"> Audyty krajobrazowe – celem jest jednolita metodologicznie identyfikacja i ocena zasobów krajobrazowych oraz ustalenie przez samorząd województwa rekomendacji i wniosków wspomagających zarządzanie krajobrazem, formami ochrony przyrody, planowanie strategiczne, planowanie i zagospodarowanie przestrzenne, a</w:t>
      </w:r>
      <w:r w:rsidR="00093B3D">
        <w:t> </w:t>
      </w:r>
      <w:r w:rsidR="009E2735" w:rsidRPr="003A4B4B">
        <w:t>także system ocen oddziaływania na środowisko, w</w:t>
      </w:r>
      <w:r w:rsidR="00EF4017">
        <w:t> </w:t>
      </w:r>
      <w:r w:rsidR="009E2735" w:rsidRPr="003A4B4B">
        <w:t>tym</w:t>
      </w:r>
      <w:r w:rsidR="00EF4017">
        <w:t> </w:t>
      </w:r>
      <w:r w:rsidR="009E2735" w:rsidRPr="003A4B4B">
        <w:t>krajobraz i jakość życia (wykonywanych dla inwestycji znacząco oddziaływujących na środowisko) i dokumentów strategicznych</w:t>
      </w:r>
      <w:r w:rsidR="00550BB3">
        <w:t>.</w:t>
      </w:r>
    </w:p>
    <w:p w:rsidR="00885B4A" w:rsidRPr="003A4B4B" w:rsidRDefault="009E2735" w:rsidP="00FA40FE">
      <w:pPr>
        <w:pStyle w:val="Akapitzlist"/>
        <w:spacing w:after="0" w:line="240" w:lineRule="auto"/>
        <w:ind w:left="3261"/>
        <w:jc w:val="both"/>
      </w:pPr>
      <w:r w:rsidRPr="003A4B4B">
        <w:t xml:space="preserve"> </w:t>
      </w:r>
    </w:p>
    <w:p w:rsidR="000B7817" w:rsidRPr="003A4B4B" w:rsidRDefault="00832C60" w:rsidP="00B748A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985" w:hanging="284"/>
        <w:jc w:val="both"/>
      </w:pPr>
      <w:r w:rsidRPr="003A4B4B">
        <w:t xml:space="preserve">Kierunek interwencji </w:t>
      </w:r>
      <w:r w:rsidR="00CC3AF7">
        <w:t>–</w:t>
      </w:r>
      <w:r w:rsidR="000B7817" w:rsidRPr="003A4B4B">
        <w:t xml:space="preserve"> Ochrona gleb przed degradacją </w:t>
      </w:r>
    </w:p>
    <w:p w:rsidR="000C75D5" w:rsidRPr="003A4B4B" w:rsidRDefault="00C60650" w:rsidP="00DB40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0C75D5" w:rsidRPr="003A4B4B">
        <w:t>Realizacja zasady pierwszeństwa wtórnego użytkowania przestrzeni w procesach inwestycyjnych</w:t>
      </w:r>
      <w:r w:rsidR="009D1017" w:rsidRPr="003A4B4B">
        <w:t>,</w:t>
      </w:r>
    </w:p>
    <w:p w:rsidR="000C75D5" w:rsidRPr="003A4B4B" w:rsidRDefault="00C60650" w:rsidP="009D101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0C75D5" w:rsidRPr="003A4B4B">
        <w:t>Realizacja programu ident</w:t>
      </w:r>
      <w:r w:rsidR="009D1017" w:rsidRPr="003A4B4B">
        <w:t>yfikacji gleb zanieczyszczonych,</w:t>
      </w:r>
    </w:p>
    <w:p w:rsidR="000C75D5" w:rsidRPr="003A4B4B" w:rsidRDefault="00C60650" w:rsidP="009D101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0C75D5" w:rsidRPr="003A4B4B">
        <w:t>Wsparcie remediacji zidentyfikowanych gleb zanieczyszczonych</w:t>
      </w:r>
      <w:r w:rsidR="009D1017" w:rsidRPr="003A4B4B">
        <w:t>,</w:t>
      </w:r>
    </w:p>
    <w:p w:rsidR="000C75D5" w:rsidRDefault="00C60650" w:rsidP="009D101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0C75D5" w:rsidRPr="003A4B4B">
        <w:t>Ochrona produktywności gruntów rolnych i leśnych</w:t>
      </w:r>
      <w:r w:rsidR="00550BB3">
        <w:t>.</w:t>
      </w:r>
    </w:p>
    <w:p w:rsidR="00EE577F" w:rsidRPr="003A4B4B" w:rsidRDefault="00EE577F" w:rsidP="00FA40FE">
      <w:pPr>
        <w:pStyle w:val="Akapitzlist"/>
        <w:autoSpaceDE w:val="0"/>
        <w:autoSpaceDN w:val="0"/>
        <w:adjustRightInd w:val="0"/>
        <w:spacing w:after="0" w:line="240" w:lineRule="auto"/>
        <w:ind w:left="3261"/>
        <w:jc w:val="both"/>
      </w:pPr>
    </w:p>
    <w:p w:rsidR="00843D9E" w:rsidRPr="003A4B4B" w:rsidRDefault="00843D9E" w:rsidP="00B748A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985" w:hanging="284"/>
        <w:jc w:val="both"/>
      </w:pPr>
      <w:r w:rsidRPr="003A4B4B">
        <w:t xml:space="preserve">Kierunek interwencji </w:t>
      </w:r>
      <w:r w:rsidR="00CC3AF7">
        <w:t>–</w:t>
      </w:r>
      <w:r w:rsidR="008E3150" w:rsidRPr="003A4B4B">
        <w:t xml:space="preserve"> </w:t>
      </w:r>
      <w:r w:rsidRPr="003A4B4B">
        <w:t>Zarządzanie zasobami geologicznymi</w:t>
      </w:r>
    </w:p>
    <w:p w:rsidR="00E40269" w:rsidRPr="003A4B4B" w:rsidRDefault="00EF481E" w:rsidP="00EF481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261" w:hanging="294"/>
        <w:jc w:val="both"/>
      </w:pPr>
      <w:r w:rsidRPr="003A4B4B">
        <w:rPr>
          <w:rFonts w:cs="DINPro"/>
        </w:rPr>
        <w:t xml:space="preserve">Działanie – </w:t>
      </w:r>
      <w:r w:rsidR="00E40269" w:rsidRPr="003A4B4B">
        <w:t>Delimitacja złóż strategicznych dla gospodarki oraz</w:t>
      </w:r>
      <w:r w:rsidR="00093B3D">
        <w:t> </w:t>
      </w:r>
      <w:r w:rsidR="00E40269" w:rsidRPr="003A4B4B">
        <w:t>zapewnienie ich ochrony</w:t>
      </w:r>
      <w:r w:rsidR="000B3947" w:rsidRPr="003A4B4B">
        <w:t>.</w:t>
      </w:r>
      <w:r w:rsidR="00E40269" w:rsidRPr="003A4B4B">
        <w:t xml:space="preserve"> racjonalnego użytkowania i</w:t>
      </w:r>
      <w:r w:rsidR="00093B3D">
        <w:t> </w:t>
      </w:r>
      <w:r w:rsidR="00E40269" w:rsidRPr="003A4B4B">
        <w:t>ochrony dostępu do</w:t>
      </w:r>
      <w:r w:rsidRPr="003A4B4B">
        <w:t xml:space="preserve"> złóż w długim okresie czasowym,</w:t>
      </w:r>
    </w:p>
    <w:p w:rsidR="00E40269" w:rsidRPr="003A4B4B" w:rsidRDefault="00EF481E" w:rsidP="00EF481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261" w:hanging="294"/>
        <w:jc w:val="both"/>
      </w:pPr>
      <w:r w:rsidRPr="003A4B4B">
        <w:rPr>
          <w:rFonts w:cs="DINPro"/>
        </w:rPr>
        <w:lastRenderedPageBreak/>
        <w:t xml:space="preserve">Działanie – </w:t>
      </w:r>
      <w:r w:rsidR="00E40269" w:rsidRPr="003A4B4B">
        <w:t>Wsparcie innowacyjności w eksploatacji, przeróbce i</w:t>
      </w:r>
      <w:r w:rsidR="00093B3D">
        <w:t> </w:t>
      </w:r>
      <w:r w:rsidR="00E40269" w:rsidRPr="003A4B4B">
        <w:t>wykorzystaniu surowców z wtórnego obiegu, z zasobu tworzonego przez odpady poużytkowe i produkcyjne oraz</w:t>
      </w:r>
      <w:r w:rsidR="00093B3D">
        <w:t> </w:t>
      </w:r>
      <w:r w:rsidR="00E40269" w:rsidRPr="003A4B4B">
        <w:t>antropogeniczne złoża wtórne</w:t>
      </w:r>
      <w:r w:rsidRPr="003A4B4B">
        <w:t>,</w:t>
      </w:r>
    </w:p>
    <w:p w:rsidR="00EF481E" w:rsidRDefault="0047519E" w:rsidP="0059431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261" w:hanging="294"/>
        <w:jc w:val="both"/>
      </w:pPr>
      <w:r w:rsidRPr="003A4B4B">
        <w:t xml:space="preserve">Projekt </w:t>
      </w:r>
      <w:r w:rsidR="00CC3AF7">
        <w:t>s</w:t>
      </w:r>
      <w:r w:rsidRPr="003A4B4B">
        <w:t xml:space="preserve">trategiczny – </w:t>
      </w:r>
      <w:r w:rsidR="00594311" w:rsidRPr="003A4B4B">
        <w:t>Polityka Surowcowa Państwa – projekt dotyczy budowy sprawnego i efektywnego systemu zarządzania i</w:t>
      </w:r>
      <w:r w:rsidR="00093B3D">
        <w:t> </w:t>
      </w:r>
      <w:r w:rsidR="00594311" w:rsidRPr="003A4B4B">
        <w:t>gospodarowania wszystkimi rodzajami kopalin i surowców mineralnych w całym łańcuchu wartości oraz posiadanymi przez</w:t>
      </w:r>
      <w:r w:rsidR="00093B3D">
        <w:t> </w:t>
      </w:r>
      <w:r w:rsidR="00594311" w:rsidRPr="003A4B4B">
        <w:t>Polskę ich zasobami, a także adekwatne zmiany prawne i</w:t>
      </w:r>
      <w:r w:rsidR="00093B3D">
        <w:t> </w:t>
      </w:r>
      <w:r w:rsidR="00594311" w:rsidRPr="003A4B4B">
        <w:t>instytucjonalne. Wspiera przejście do gospodarki o obiegu zamkniętym. Narzędziem do realizacji Polityki Surowcowej Państwa będzie zreorganizowana służba geologiczna</w:t>
      </w:r>
      <w:r w:rsidR="00487364">
        <w:t>.</w:t>
      </w:r>
    </w:p>
    <w:p w:rsidR="003D6046" w:rsidRPr="003A4B4B" w:rsidRDefault="003D6046" w:rsidP="00FA40FE">
      <w:pPr>
        <w:pStyle w:val="Akapitzlist"/>
        <w:autoSpaceDE w:val="0"/>
        <w:autoSpaceDN w:val="0"/>
        <w:adjustRightInd w:val="0"/>
        <w:spacing w:after="0" w:line="240" w:lineRule="auto"/>
        <w:ind w:left="3261"/>
        <w:jc w:val="both"/>
      </w:pPr>
    </w:p>
    <w:p w:rsidR="00E802D7" w:rsidRPr="003A4B4B" w:rsidRDefault="00E802D7" w:rsidP="0047519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985" w:hanging="284"/>
        <w:jc w:val="both"/>
      </w:pPr>
      <w:r w:rsidRPr="003A4B4B">
        <w:t>Kierunek interwencji</w:t>
      </w:r>
      <w:r w:rsidR="008E3150" w:rsidRPr="003A4B4B">
        <w:t xml:space="preserve"> </w:t>
      </w:r>
      <w:r w:rsidR="00CC3AF7">
        <w:t>–</w:t>
      </w:r>
      <w:r w:rsidRPr="003A4B4B">
        <w:t xml:space="preserve"> Gospodarka odpadami </w:t>
      </w:r>
    </w:p>
    <w:p w:rsidR="000B3947" w:rsidRPr="003A4B4B" w:rsidRDefault="008E38A4" w:rsidP="00851A9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0B3947" w:rsidRPr="003A4B4B">
        <w:t>Gospodarowanie odpadami zgodnie z hierarchią s</w:t>
      </w:r>
      <w:r w:rsidR="00851A90" w:rsidRPr="003A4B4B">
        <w:t>posobów postępowania z odpadami,</w:t>
      </w:r>
    </w:p>
    <w:p w:rsidR="000B3947" w:rsidRPr="003A4B4B" w:rsidRDefault="008E38A4" w:rsidP="00851A9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851A90" w:rsidRPr="003A4B4B">
        <w:t>Rozwijanie recyklingu odpadów,</w:t>
      </w:r>
    </w:p>
    <w:p w:rsidR="000B3947" w:rsidRDefault="008E38A4" w:rsidP="00851A9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0B3947" w:rsidRPr="003A4B4B">
        <w:t>Dążenie do maksymalizacji wykorz</w:t>
      </w:r>
      <w:r w:rsidR="00851A90" w:rsidRPr="003A4B4B">
        <w:t>ystywania odpadów jako surowców</w:t>
      </w:r>
      <w:r w:rsidR="00550BB3">
        <w:t>.</w:t>
      </w:r>
    </w:p>
    <w:p w:rsidR="00487364" w:rsidRPr="003A4B4B" w:rsidRDefault="00487364" w:rsidP="00FA40FE">
      <w:pPr>
        <w:pStyle w:val="Akapitzlist"/>
        <w:autoSpaceDE w:val="0"/>
        <w:autoSpaceDN w:val="0"/>
        <w:adjustRightInd w:val="0"/>
        <w:spacing w:after="0" w:line="240" w:lineRule="auto"/>
        <w:ind w:left="3261"/>
        <w:jc w:val="both"/>
      </w:pPr>
    </w:p>
    <w:p w:rsidR="00E802D7" w:rsidRPr="003A4B4B" w:rsidRDefault="00D90B9C" w:rsidP="00BC62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985" w:hanging="294"/>
        <w:jc w:val="both"/>
      </w:pPr>
      <w:r w:rsidRPr="003A4B4B">
        <w:t xml:space="preserve">Kierunek interwencji </w:t>
      </w:r>
      <w:r w:rsidR="00CC3AF7">
        <w:t>–</w:t>
      </w:r>
      <w:r w:rsidRPr="003A4B4B">
        <w:t xml:space="preserve"> Oddziaływanie na jakość życia w zakresie klimatu akustycznego i oddziaływania pól elektromagnetycznych</w:t>
      </w:r>
    </w:p>
    <w:p w:rsidR="0093332F" w:rsidRPr="003A4B4B" w:rsidRDefault="004D7D3E" w:rsidP="004D7D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93332F" w:rsidRPr="003A4B4B">
        <w:t>Określenie racjonalnych akustycznyc</w:t>
      </w:r>
      <w:r w:rsidRPr="003A4B4B">
        <w:t>h standardów jakości środowiska,</w:t>
      </w:r>
    </w:p>
    <w:p w:rsidR="0093332F" w:rsidRPr="003A4B4B" w:rsidRDefault="004D7D3E" w:rsidP="004D7D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93332F" w:rsidRPr="003A4B4B">
        <w:t>Powołanie zespołu ekspertów prowadzącego stały monitoring wyników podstawowych badań</w:t>
      </w:r>
      <w:r w:rsidR="00995B20" w:rsidRPr="003A4B4B">
        <w:t xml:space="preserve"> </w:t>
      </w:r>
      <w:r w:rsidR="0093332F" w:rsidRPr="003A4B4B">
        <w:t>naukowych nad</w:t>
      </w:r>
      <w:r w:rsidR="00093B3D">
        <w:t> </w:t>
      </w:r>
      <w:r w:rsidR="0093332F" w:rsidRPr="003A4B4B">
        <w:t>skutkami oddziaływań pól elektromagnetycznych oraz</w:t>
      </w:r>
      <w:r w:rsidR="00093B3D">
        <w:t> </w:t>
      </w:r>
      <w:r w:rsidR="0093332F" w:rsidRPr="003A4B4B">
        <w:t>opracowującego okresowe</w:t>
      </w:r>
      <w:r w:rsidR="00A7123B" w:rsidRPr="003A4B4B">
        <w:t xml:space="preserve"> </w:t>
      </w:r>
      <w:r w:rsidR="0093332F" w:rsidRPr="003A4B4B">
        <w:t>rap</w:t>
      </w:r>
      <w:r w:rsidRPr="003A4B4B">
        <w:t>orty dotyczące tego</w:t>
      </w:r>
      <w:r w:rsidR="00093B3D">
        <w:t> </w:t>
      </w:r>
      <w:r w:rsidRPr="003A4B4B">
        <w:t>zagadnienia,</w:t>
      </w:r>
    </w:p>
    <w:p w:rsidR="0093332F" w:rsidRPr="003A4B4B" w:rsidRDefault="004D7D3E" w:rsidP="004D7D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93332F" w:rsidRPr="003A4B4B">
        <w:t>Poprawa przejrzystości procedur administracyjnych dotyczących lokalizacji i eksploatacji instalacji</w:t>
      </w:r>
      <w:r w:rsidR="00A7123B" w:rsidRPr="003A4B4B">
        <w:t xml:space="preserve"> </w:t>
      </w:r>
      <w:r w:rsidR="0093332F" w:rsidRPr="003A4B4B">
        <w:t>emitujących pola elekt</w:t>
      </w:r>
      <w:r w:rsidRPr="003A4B4B">
        <w:t>romagnetyczne oraz infradźwięki,</w:t>
      </w:r>
    </w:p>
    <w:p w:rsidR="0093332F" w:rsidRPr="003A4B4B" w:rsidRDefault="00DF7DC3" w:rsidP="00DF7D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93332F" w:rsidRPr="003A4B4B">
        <w:t>Zapewnienie odpowiednich poziomów ochrony przed</w:t>
      </w:r>
      <w:r w:rsidR="00093B3D">
        <w:t> </w:t>
      </w:r>
      <w:r w:rsidR="0093332F" w:rsidRPr="003A4B4B">
        <w:t>skutkami oddziaływań pól</w:t>
      </w:r>
      <w:r w:rsidR="00714A5A" w:rsidRPr="003A4B4B">
        <w:t xml:space="preserve"> </w:t>
      </w:r>
      <w:r w:rsidR="0093332F" w:rsidRPr="003A4B4B">
        <w:t>elektromagnetycznych na</w:t>
      </w:r>
      <w:r w:rsidR="00093B3D">
        <w:t> </w:t>
      </w:r>
      <w:r w:rsidR="0093332F" w:rsidRPr="003A4B4B">
        <w:t>podstawie stałego pr</w:t>
      </w:r>
      <w:r w:rsidRPr="003A4B4B">
        <w:t>zeglądu wyników badań naukowych,</w:t>
      </w:r>
    </w:p>
    <w:p w:rsidR="0093332F" w:rsidRPr="003A4B4B" w:rsidRDefault="00DF7DC3" w:rsidP="00DF7D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93332F" w:rsidRPr="003A4B4B">
        <w:t>Doskonalenie kadr w dziedzinie ochrony środowiska przed hałasem i oddziały</w:t>
      </w:r>
      <w:r w:rsidRPr="003A4B4B">
        <w:t>waniem pól elektromagnetycznych,</w:t>
      </w:r>
    </w:p>
    <w:p w:rsidR="0062106F" w:rsidRPr="003A4B4B" w:rsidRDefault="00DF7DC3" w:rsidP="0062106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261" w:hanging="284"/>
        <w:jc w:val="both"/>
      </w:pPr>
      <w:r w:rsidRPr="003A4B4B">
        <w:rPr>
          <w:rFonts w:cs="DINPro"/>
        </w:rPr>
        <w:t xml:space="preserve">Działanie – </w:t>
      </w:r>
      <w:r w:rsidR="0093332F" w:rsidRPr="003A4B4B">
        <w:t>Wprowadzenie jednolitego systemu informatycznego, umożliwiającego publiczny dostęp do danych technicznych instalacji oraz sprawozdań z pomiarów poziomów pól elektromagnetycznych</w:t>
      </w:r>
      <w:r w:rsidR="00550BB3">
        <w:t>.</w:t>
      </w:r>
    </w:p>
    <w:sectPr w:rsidR="0062106F" w:rsidRPr="003A4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8C" w:rsidRDefault="002D1F8C" w:rsidP="0025654C">
      <w:pPr>
        <w:spacing w:after="0" w:line="240" w:lineRule="auto"/>
      </w:pPr>
      <w:r>
        <w:separator/>
      </w:r>
    </w:p>
  </w:endnote>
  <w:endnote w:type="continuationSeparator" w:id="0">
    <w:p w:rsidR="002D1F8C" w:rsidRDefault="002D1F8C" w:rsidP="002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F7" w:rsidRDefault="00CC3A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14984"/>
      <w:docPartObj>
        <w:docPartGallery w:val="Page Numbers (Bottom of Page)"/>
        <w:docPartUnique/>
      </w:docPartObj>
    </w:sdtPr>
    <w:sdtEndPr/>
    <w:sdtContent>
      <w:p w:rsidR="00CC3AF7" w:rsidRDefault="00CC3A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6F">
          <w:rPr>
            <w:noProof/>
          </w:rPr>
          <w:t>1</w:t>
        </w:r>
        <w:r>
          <w:fldChar w:fldCharType="end"/>
        </w:r>
      </w:p>
    </w:sdtContent>
  </w:sdt>
  <w:p w:rsidR="00CC3AF7" w:rsidRDefault="00CC3A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F7" w:rsidRDefault="00CC3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8C" w:rsidRDefault="002D1F8C" w:rsidP="0025654C">
      <w:pPr>
        <w:spacing w:after="0" w:line="240" w:lineRule="auto"/>
      </w:pPr>
      <w:r>
        <w:separator/>
      </w:r>
    </w:p>
  </w:footnote>
  <w:footnote w:type="continuationSeparator" w:id="0">
    <w:p w:rsidR="002D1F8C" w:rsidRDefault="002D1F8C" w:rsidP="0025654C">
      <w:pPr>
        <w:spacing w:after="0" w:line="240" w:lineRule="auto"/>
      </w:pPr>
      <w:r>
        <w:continuationSeparator/>
      </w:r>
    </w:p>
  </w:footnote>
  <w:footnote w:id="1">
    <w:p w:rsidR="00CC3AF7" w:rsidRPr="008B1697" w:rsidRDefault="00CC3AF7" w:rsidP="008B1697">
      <w:pPr>
        <w:pStyle w:val="Tekstprzypisudolnego"/>
        <w:jc w:val="both"/>
        <w:rPr>
          <w:sz w:val="18"/>
          <w:szCs w:val="18"/>
        </w:rPr>
      </w:pPr>
      <w:r w:rsidRPr="008B1697">
        <w:rPr>
          <w:rStyle w:val="Odwoanieprzypisudolnego"/>
          <w:sz w:val="18"/>
          <w:szCs w:val="18"/>
        </w:rPr>
        <w:footnoteRef/>
      </w:r>
      <w:r w:rsidRPr="008B1697">
        <w:rPr>
          <w:sz w:val="18"/>
          <w:szCs w:val="18"/>
        </w:rPr>
        <w:t xml:space="preserve"> Uchwała Nr 8 Rady Ministrów z dnia 14 lutego 2017 r. w sprawie przyjęcia Strategii na rzecz Odpowiedzialnego Rozwoju do roku 2020 (z perspektywą do 2030 r.), M.P. 2017 poz. 260.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F7" w:rsidRDefault="00CC3A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F7" w:rsidRDefault="00CC3A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F7" w:rsidRDefault="00CC3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B2"/>
    <w:multiLevelType w:val="hybridMultilevel"/>
    <w:tmpl w:val="F20C3956"/>
    <w:lvl w:ilvl="0" w:tplc="BABC3440">
      <w:start w:val="1"/>
      <w:numFmt w:val="lowerLetter"/>
      <w:lvlText w:val="%1)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BF5"/>
    <w:multiLevelType w:val="hybridMultilevel"/>
    <w:tmpl w:val="A84C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A56"/>
    <w:multiLevelType w:val="hybridMultilevel"/>
    <w:tmpl w:val="CD18C08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A25428"/>
    <w:multiLevelType w:val="hybridMultilevel"/>
    <w:tmpl w:val="8118E51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1B6A08"/>
    <w:multiLevelType w:val="hybridMultilevel"/>
    <w:tmpl w:val="192059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3A40"/>
    <w:multiLevelType w:val="hybridMultilevel"/>
    <w:tmpl w:val="EC344610"/>
    <w:lvl w:ilvl="0" w:tplc="1CBCCEFC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1D32"/>
    <w:multiLevelType w:val="hybridMultilevel"/>
    <w:tmpl w:val="7340E922"/>
    <w:lvl w:ilvl="0" w:tplc="CCB244C2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70246"/>
    <w:multiLevelType w:val="hybridMultilevel"/>
    <w:tmpl w:val="BC58F7B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854D03"/>
    <w:multiLevelType w:val="hybridMultilevel"/>
    <w:tmpl w:val="675E21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70557"/>
    <w:multiLevelType w:val="hybridMultilevel"/>
    <w:tmpl w:val="433474A6"/>
    <w:lvl w:ilvl="0" w:tplc="04150017">
      <w:start w:val="1"/>
      <w:numFmt w:val="lowerLetter"/>
      <w:lvlText w:val="%1)"/>
      <w:lvlJc w:val="left"/>
      <w:pPr>
        <w:ind w:left="3839" w:hanging="360"/>
      </w:pPr>
    </w:lvl>
    <w:lvl w:ilvl="1" w:tplc="04150019" w:tentative="1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>
    <w:nsid w:val="151F68E8"/>
    <w:multiLevelType w:val="hybridMultilevel"/>
    <w:tmpl w:val="C2A49F30"/>
    <w:lvl w:ilvl="0" w:tplc="6C2C3486">
      <w:start w:val="1"/>
      <w:numFmt w:val="lowerLetter"/>
      <w:lvlText w:val="%1)"/>
      <w:lvlJc w:val="left"/>
      <w:pPr>
        <w:ind w:left="3555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15AE6C5C"/>
    <w:multiLevelType w:val="hybridMultilevel"/>
    <w:tmpl w:val="CB8EA0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125639"/>
    <w:multiLevelType w:val="hybridMultilevel"/>
    <w:tmpl w:val="F86CFA7C"/>
    <w:lvl w:ilvl="0" w:tplc="A7C8138E">
      <w:start w:val="1"/>
      <w:numFmt w:val="lowerRoman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16E20284"/>
    <w:multiLevelType w:val="hybridMultilevel"/>
    <w:tmpl w:val="630ACAFC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">
    <w:nsid w:val="1B7060A3"/>
    <w:multiLevelType w:val="hybridMultilevel"/>
    <w:tmpl w:val="4D8EC1E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C680B65"/>
    <w:multiLevelType w:val="hybridMultilevel"/>
    <w:tmpl w:val="61103A20"/>
    <w:lvl w:ilvl="0" w:tplc="A1608AA6">
      <w:start w:val="6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7">
      <w:start w:val="1"/>
      <w:numFmt w:val="lowerLetter"/>
      <w:lvlText w:val="%5)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1CA0585C"/>
    <w:multiLevelType w:val="hybridMultilevel"/>
    <w:tmpl w:val="34E494E4"/>
    <w:lvl w:ilvl="0" w:tplc="04150017">
      <w:start w:val="1"/>
      <w:numFmt w:val="lowerLetter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>
    <w:nsid w:val="1F1B1924"/>
    <w:multiLevelType w:val="hybridMultilevel"/>
    <w:tmpl w:val="D304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E251D"/>
    <w:multiLevelType w:val="hybridMultilevel"/>
    <w:tmpl w:val="E67CD92C"/>
    <w:lvl w:ilvl="0" w:tplc="92D20050">
      <w:start w:val="1"/>
      <w:numFmt w:val="lowerLetter"/>
      <w:lvlText w:val="%1)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041F9"/>
    <w:multiLevelType w:val="hybridMultilevel"/>
    <w:tmpl w:val="3AE0226A"/>
    <w:lvl w:ilvl="0" w:tplc="4B961BC8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7440B"/>
    <w:multiLevelType w:val="hybridMultilevel"/>
    <w:tmpl w:val="367E01FA"/>
    <w:lvl w:ilvl="0" w:tplc="04150017">
      <w:start w:val="1"/>
      <w:numFmt w:val="lowerLetter"/>
      <w:lvlText w:val="%1)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>
    <w:nsid w:val="2B04685B"/>
    <w:multiLevelType w:val="hybridMultilevel"/>
    <w:tmpl w:val="62E0954A"/>
    <w:lvl w:ilvl="0" w:tplc="A7C8138E">
      <w:start w:val="1"/>
      <w:numFmt w:val="lowerRoman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2CEC0E1F"/>
    <w:multiLevelType w:val="hybridMultilevel"/>
    <w:tmpl w:val="E722A2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86AA5"/>
    <w:multiLevelType w:val="hybridMultilevel"/>
    <w:tmpl w:val="1924EA3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2EE1199"/>
    <w:multiLevelType w:val="hybridMultilevel"/>
    <w:tmpl w:val="7DA005C0"/>
    <w:lvl w:ilvl="0" w:tplc="84DEC1CC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D4A86"/>
    <w:multiLevelType w:val="hybridMultilevel"/>
    <w:tmpl w:val="98A8D5DE"/>
    <w:lvl w:ilvl="0" w:tplc="C2BAE324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72D31"/>
    <w:multiLevelType w:val="hybridMultilevel"/>
    <w:tmpl w:val="DE782B0C"/>
    <w:lvl w:ilvl="0" w:tplc="78FA8298">
      <w:start w:val="2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F7EDB"/>
    <w:multiLevelType w:val="hybridMultilevel"/>
    <w:tmpl w:val="F6DA9E2E"/>
    <w:lvl w:ilvl="0" w:tplc="C666AE18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D431A"/>
    <w:multiLevelType w:val="hybridMultilevel"/>
    <w:tmpl w:val="E32A6138"/>
    <w:lvl w:ilvl="0" w:tplc="93720BA2">
      <w:start w:val="1"/>
      <w:numFmt w:val="lowerLetter"/>
      <w:lvlText w:val="%1)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60150"/>
    <w:multiLevelType w:val="hybridMultilevel"/>
    <w:tmpl w:val="BB2ABA38"/>
    <w:lvl w:ilvl="0" w:tplc="04150017">
      <w:start w:val="1"/>
      <w:numFmt w:val="lowerLetter"/>
      <w:lvlText w:val="%1)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4E0C6649"/>
    <w:multiLevelType w:val="hybridMultilevel"/>
    <w:tmpl w:val="BADADC6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F053B6A"/>
    <w:multiLevelType w:val="hybridMultilevel"/>
    <w:tmpl w:val="9C0276F0"/>
    <w:lvl w:ilvl="0" w:tplc="A1608AA6">
      <w:start w:val="6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27EF4"/>
    <w:multiLevelType w:val="hybridMultilevel"/>
    <w:tmpl w:val="3AA071DA"/>
    <w:lvl w:ilvl="0" w:tplc="8CFC00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549E8"/>
    <w:multiLevelType w:val="hybridMultilevel"/>
    <w:tmpl w:val="64FEE4E6"/>
    <w:lvl w:ilvl="0" w:tplc="A1500F48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D187D"/>
    <w:multiLevelType w:val="hybridMultilevel"/>
    <w:tmpl w:val="31C26CE0"/>
    <w:lvl w:ilvl="0" w:tplc="DEA02AC8">
      <w:start w:val="1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675F7"/>
    <w:multiLevelType w:val="hybridMultilevel"/>
    <w:tmpl w:val="D140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90371"/>
    <w:multiLevelType w:val="hybridMultilevel"/>
    <w:tmpl w:val="842AB00E"/>
    <w:lvl w:ilvl="0" w:tplc="BEA07436">
      <w:start w:val="9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91C25"/>
    <w:multiLevelType w:val="hybridMultilevel"/>
    <w:tmpl w:val="842AB00E"/>
    <w:lvl w:ilvl="0" w:tplc="BEA07436">
      <w:start w:val="9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F2945"/>
    <w:multiLevelType w:val="hybridMultilevel"/>
    <w:tmpl w:val="D068DFCE"/>
    <w:lvl w:ilvl="0" w:tplc="E618B476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E7582"/>
    <w:multiLevelType w:val="hybridMultilevel"/>
    <w:tmpl w:val="5E30F37E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0">
    <w:nsid w:val="61C0414C"/>
    <w:multiLevelType w:val="hybridMultilevel"/>
    <w:tmpl w:val="7D12A222"/>
    <w:lvl w:ilvl="0" w:tplc="028C133E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1">
    <w:nsid w:val="621876A1"/>
    <w:multiLevelType w:val="hybridMultilevel"/>
    <w:tmpl w:val="7B2E1CA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8C32D5"/>
    <w:multiLevelType w:val="hybridMultilevel"/>
    <w:tmpl w:val="BF2C6B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B3488"/>
    <w:multiLevelType w:val="hybridMultilevel"/>
    <w:tmpl w:val="AE2C5AB6"/>
    <w:lvl w:ilvl="0" w:tplc="FEEEB6E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62D70"/>
    <w:multiLevelType w:val="hybridMultilevel"/>
    <w:tmpl w:val="E3D2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47DF7"/>
    <w:multiLevelType w:val="hybridMultilevel"/>
    <w:tmpl w:val="C540C616"/>
    <w:lvl w:ilvl="0" w:tplc="A7C8138E">
      <w:start w:val="1"/>
      <w:numFmt w:val="lowerRoman"/>
      <w:lvlText w:val="%1."/>
      <w:lvlJc w:val="left"/>
      <w:pPr>
        <w:ind w:left="25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>
    <w:nsid w:val="72C82B69"/>
    <w:multiLevelType w:val="hybridMultilevel"/>
    <w:tmpl w:val="3E0815D6"/>
    <w:lvl w:ilvl="0" w:tplc="060097D8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D13B66"/>
    <w:multiLevelType w:val="hybridMultilevel"/>
    <w:tmpl w:val="F20EBD5E"/>
    <w:lvl w:ilvl="0" w:tplc="028C133E">
      <w:start w:val="1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8">
    <w:nsid w:val="7AE02C25"/>
    <w:multiLevelType w:val="hybridMultilevel"/>
    <w:tmpl w:val="9BBCE9FC"/>
    <w:lvl w:ilvl="0" w:tplc="C194C8F4">
      <w:start w:val="13"/>
      <w:numFmt w:val="lowerLetter"/>
      <w:lvlText w:val="%1)"/>
      <w:lvlJc w:val="left"/>
      <w:pPr>
        <w:ind w:left="3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B0FE0"/>
    <w:multiLevelType w:val="hybridMultilevel"/>
    <w:tmpl w:val="DCB83FBE"/>
    <w:lvl w:ilvl="0" w:tplc="107E1E7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7"/>
  </w:num>
  <w:num w:numId="2">
    <w:abstractNumId w:val="4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35"/>
  </w:num>
  <w:num w:numId="9">
    <w:abstractNumId w:val="44"/>
  </w:num>
  <w:num w:numId="10">
    <w:abstractNumId w:val="7"/>
  </w:num>
  <w:num w:numId="11">
    <w:abstractNumId w:val="30"/>
  </w:num>
  <w:num w:numId="12">
    <w:abstractNumId w:val="23"/>
  </w:num>
  <w:num w:numId="13">
    <w:abstractNumId w:val="4"/>
  </w:num>
  <w:num w:numId="14">
    <w:abstractNumId w:val="22"/>
  </w:num>
  <w:num w:numId="15">
    <w:abstractNumId w:val="43"/>
  </w:num>
  <w:num w:numId="16">
    <w:abstractNumId w:val="3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9"/>
  </w:num>
  <w:num w:numId="22">
    <w:abstractNumId w:val="49"/>
  </w:num>
  <w:num w:numId="23">
    <w:abstractNumId w:val="31"/>
  </w:num>
  <w:num w:numId="24">
    <w:abstractNumId w:val="15"/>
  </w:num>
  <w:num w:numId="25">
    <w:abstractNumId w:val="39"/>
  </w:num>
  <w:num w:numId="26">
    <w:abstractNumId w:val="27"/>
  </w:num>
  <w:num w:numId="27">
    <w:abstractNumId w:val="25"/>
  </w:num>
  <w:num w:numId="28">
    <w:abstractNumId w:val="36"/>
  </w:num>
  <w:num w:numId="29">
    <w:abstractNumId w:val="34"/>
  </w:num>
  <w:num w:numId="30">
    <w:abstractNumId w:val="48"/>
  </w:num>
  <w:num w:numId="31">
    <w:abstractNumId w:val="37"/>
  </w:num>
  <w:num w:numId="32">
    <w:abstractNumId w:val="19"/>
  </w:num>
  <w:num w:numId="33">
    <w:abstractNumId w:val="45"/>
  </w:num>
  <w:num w:numId="34">
    <w:abstractNumId w:val="24"/>
  </w:num>
  <w:num w:numId="35">
    <w:abstractNumId w:val="28"/>
  </w:num>
  <w:num w:numId="36">
    <w:abstractNumId w:val="6"/>
  </w:num>
  <w:num w:numId="37">
    <w:abstractNumId w:val="0"/>
  </w:num>
  <w:num w:numId="38">
    <w:abstractNumId w:val="18"/>
  </w:num>
  <w:num w:numId="39">
    <w:abstractNumId w:val="21"/>
  </w:num>
  <w:num w:numId="40">
    <w:abstractNumId w:val="12"/>
  </w:num>
  <w:num w:numId="41">
    <w:abstractNumId w:val="26"/>
  </w:num>
  <w:num w:numId="42">
    <w:abstractNumId w:val="46"/>
  </w:num>
  <w:num w:numId="43">
    <w:abstractNumId w:val="38"/>
  </w:num>
  <w:num w:numId="44">
    <w:abstractNumId w:val="29"/>
  </w:num>
  <w:num w:numId="45">
    <w:abstractNumId w:val="33"/>
  </w:num>
  <w:num w:numId="46">
    <w:abstractNumId w:val="47"/>
  </w:num>
  <w:num w:numId="47">
    <w:abstractNumId w:val="40"/>
  </w:num>
  <w:num w:numId="48">
    <w:abstractNumId w:val="5"/>
  </w:num>
  <w:num w:numId="49">
    <w:abstractNumId w:val="11"/>
  </w:num>
  <w:num w:numId="50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6E"/>
    <w:rsid w:val="00000600"/>
    <w:rsid w:val="0000396A"/>
    <w:rsid w:val="000072D9"/>
    <w:rsid w:val="00007327"/>
    <w:rsid w:val="000075FE"/>
    <w:rsid w:val="000076FC"/>
    <w:rsid w:val="00007BF4"/>
    <w:rsid w:val="00011AC8"/>
    <w:rsid w:val="000149BA"/>
    <w:rsid w:val="00033396"/>
    <w:rsid w:val="00033BF4"/>
    <w:rsid w:val="00036FA9"/>
    <w:rsid w:val="00037018"/>
    <w:rsid w:val="000401B5"/>
    <w:rsid w:val="000438B2"/>
    <w:rsid w:val="00043B72"/>
    <w:rsid w:val="000513C3"/>
    <w:rsid w:val="00055DDD"/>
    <w:rsid w:val="00063DC0"/>
    <w:rsid w:val="00071FD3"/>
    <w:rsid w:val="00072A96"/>
    <w:rsid w:val="0008050E"/>
    <w:rsid w:val="00090F0F"/>
    <w:rsid w:val="00092D5D"/>
    <w:rsid w:val="00092E24"/>
    <w:rsid w:val="00093B3D"/>
    <w:rsid w:val="00094688"/>
    <w:rsid w:val="00096482"/>
    <w:rsid w:val="00096F75"/>
    <w:rsid w:val="000973F7"/>
    <w:rsid w:val="000A03AD"/>
    <w:rsid w:val="000A1CF5"/>
    <w:rsid w:val="000A2A0F"/>
    <w:rsid w:val="000A3582"/>
    <w:rsid w:val="000A3D9C"/>
    <w:rsid w:val="000B3947"/>
    <w:rsid w:val="000B7614"/>
    <w:rsid w:val="000B7817"/>
    <w:rsid w:val="000C0D0C"/>
    <w:rsid w:val="000C4ECB"/>
    <w:rsid w:val="000C5DBD"/>
    <w:rsid w:val="000C75D5"/>
    <w:rsid w:val="000D0BFD"/>
    <w:rsid w:val="000D21E0"/>
    <w:rsid w:val="000D244A"/>
    <w:rsid w:val="000D483D"/>
    <w:rsid w:val="000F1457"/>
    <w:rsid w:val="000F2357"/>
    <w:rsid w:val="000F5EDB"/>
    <w:rsid w:val="00101E8C"/>
    <w:rsid w:val="0010298D"/>
    <w:rsid w:val="0010366C"/>
    <w:rsid w:val="001051E0"/>
    <w:rsid w:val="00107B9A"/>
    <w:rsid w:val="001150C5"/>
    <w:rsid w:val="00120BD0"/>
    <w:rsid w:val="001239B4"/>
    <w:rsid w:val="00125769"/>
    <w:rsid w:val="00125DA0"/>
    <w:rsid w:val="001317BF"/>
    <w:rsid w:val="001327E4"/>
    <w:rsid w:val="001335B8"/>
    <w:rsid w:val="00134CCC"/>
    <w:rsid w:val="0013590F"/>
    <w:rsid w:val="001436FC"/>
    <w:rsid w:val="001478E9"/>
    <w:rsid w:val="00153FC4"/>
    <w:rsid w:val="00156D36"/>
    <w:rsid w:val="0015703A"/>
    <w:rsid w:val="00162D17"/>
    <w:rsid w:val="00165C93"/>
    <w:rsid w:val="00166294"/>
    <w:rsid w:val="00167C22"/>
    <w:rsid w:val="001729B2"/>
    <w:rsid w:val="00173B45"/>
    <w:rsid w:val="001746A6"/>
    <w:rsid w:val="00182F71"/>
    <w:rsid w:val="001847F4"/>
    <w:rsid w:val="00197C29"/>
    <w:rsid w:val="001A1C35"/>
    <w:rsid w:val="001B69DC"/>
    <w:rsid w:val="001C417F"/>
    <w:rsid w:val="001D3420"/>
    <w:rsid w:val="001E3CEB"/>
    <w:rsid w:val="001F6C8A"/>
    <w:rsid w:val="00204D39"/>
    <w:rsid w:val="00215B33"/>
    <w:rsid w:val="002244E2"/>
    <w:rsid w:val="0023118E"/>
    <w:rsid w:val="00231963"/>
    <w:rsid w:val="002336D5"/>
    <w:rsid w:val="00244CBF"/>
    <w:rsid w:val="00246B83"/>
    <w:rsid w:val="0025654C"/>
    <w:rsid w:val="002577C0"/>
    <w:rsid w:val="00257938"/>
    <w:rsid w:val="00260ADC"/>
    <w:rsid w:val="00261148"/>
    <w:rsid w:val="0026524D"/>
    <w:rsid w:val="002733DE"/>
    <w:rsid w:val="00273803"/>
    <w:rsid w:val="00273E1B"/>
    <w:rsid w:val="00274F82"/>
    <w:rsid w:val="00276097"/>
    <w:rsid w:val="00277BA5"/>
    <w:rsid w:val="00290103"/>
    <w:rsid w:val="002903D7"/>
    <w:rsid w:val="002A1D94"/>
    <w:rsid w:val="002A1FFD"/>
    <w:rsid w:val="002A2CD1"/>
    <w:rsid w:val="002A3DDD"/>
    <w:rsid w:val="002A45D1"/>
    <w:rsid w:val="002A502F"/>
    <w:rsid w:val="002B0B88"/>
    <w:rsid w:val="002B22B6"/>
    <w:rsid w:val="002C011F"/>
    <w:rsid w:val="002C68A5"/>
    <w:rsid w:val="002D1F8C"/>
    <w:rsid w:val="002E0C00"/>
    <w:rsid w:val="002E22B1"/>
    <w:rsid w:val="002E47E6"/>
    <w:rsid w:val="002F0A8E"/>
    <w:rsid w:val="002F44D8"/>
    <w:rsid w:val="00300303"/>
    <w:rsid w:val="00305968"/>
    <w:rsid w:val="003244AB"/>
    <w:rsid w:val="003255CA"/>
    <w:rsid w:val="003275A8"/>
    <w:rsid w:val="00327CBD"/>
    <w:rsid w:val="003316CE"/>
    <w:rsid w:val="00331DA7"/>
    <w:rsid w:val="0033207A"/>
    <w:rsid w:val="003341EC"/>
    <w:rsid w:val="00334E1B"/>
    <w:rsid w:val="0034108F"/>
    <w:rsid w:val="00345DAF"/>
    <w:rsid w:val="003512E0"/>
    <w:rsid w:val="003561D9"/>
    <w:rsid w:val="0037191F"/>
    <w:rsid w:val="0037345A"/>
    <w:rsid w:val="003754D1"/>
    <w:rsid w:val="003771EE"/>
    <w:rsid w:val="003806DE"/>
    <w:rsid w:val="003849FD"/>
    <w:rsid w:val="00386162"/>
    <w:rsid w:val="00387EB2"/>
    <w:rsid w:val="00394DA3"/>
    <w:rsid w:val="003A04E3"/>
    <w:rsid w:val="003A2DC9"/>
    <w:rsid w:val="003A4B4B"/>
    <w:rsid w:val="003B5A62"/>
    <w:rsid w:val="003C1731"/>
    <w:rsid w:val="003C689C"/>
    <w:rsid w:val="003D0B35"/>
    <w:rsid w:val="003D2CE4"/>
    <w:rsid w:val="003D59A7"/>
    <w:rsid w:val="003D5D6E"/>
    <w:rsid w:val="003D6046"/>
    <w:rsid w:val="003E232B"/>
    <w:rsid w:val="003F0A86"/>
    <w:rsid w:val="003F39BE"/>
    <w:rsid w:val="003F5613"/>
    <w:rsid w:val="00410093"/>
    <w:rsid w:val="00410627"/>
    <w:rsid w:val="00411C47"/>
    <w:rsid w:val="0041235F"/>
    <w:rsid w:val="004126C5"/>
    <w:rsid w:val="004128B3"/>
    <w:rsid w:val="00414437"/>
    <w:rsid w:val="004153CE"/>
    <w:rsid w:val="00416B99"/>
    <w:rsid w:val="00420D96"/>
    <w:rsid w:val="00423E33"/>
    <w:rsid w:val="00424F31"/>
    <w:rsid w:val="00431763"/>
    <w:rsid w:val="00442D32"/>
    <w:rsid w:val="0045465C"/>
    <w:rsid w:val="0045782E"/>
    <w:rsid w:val="004600A4"/>
    <w:rsid w:val="004645EA"/>
    <w:rsid w:val="00466D16"/>
    <w:rsid w:val="00473478"/>
    <w:rsid w:val="0047519E"/>
    <w:rsid w:val="0047525D"/>
    <w:rsid w:val="00476A4F"/>
    <w:rsid w:val="00483F57"/>
    <w:rsid w:val="00487364"/>
    <w:rsid w:val="00487E4F"/>
    <w:rsid w:val="004932D5"/>
    <w:rsid w:val="0049538B"/>
    <w:rsid w:val="0049563C"/>
    <w:rsid w:val="004A12FF"/>
    <w:rsid w:val="004C0BCF"/>
    <w:rsid w:val="004C372E"/>
    <w:rsid w:val="004C40C9"/>
    <w:rsid w:val="004C637B"/>
    <w:rsid w:val="004C6FF1"/>
    <w:rsid w:val="004D24C5"/>
    <w:rsid w:val="004D7D3E"/>
    <w:rsid w:val="004E24C3"/>
    <w:rsid w:val="004E368A"/>
    <w:rsid w:val="004F4149"/>
    <w:rsid w:val="004F624A"/>
    <w:rsid w:val="0050058C"/>
    <w:rsid w:val="0050086D"/>
    <w:rsid w:val="00500D66"/>
    <w:rsid w:val="005039E7"/>
    <w:rsid w:val="00505E63"/>
    <w:rsid w:val="00506279"/>
    <w:rsid w:val="00513857"/>
    <w:rsid w:val="00515AE5"/>
    <w:rsid w:val="0051641C"/>
    <w:rsid w:val="005201EF"/>
    <w:rsid w:val="00525010"/>
    <w:rsid w:val="00526344"/>
    <w:rsid w:val="00527548"/>
    <w:rsid w:val="00527EE7"/>
    <w:rsid w:val="00531675"/>
    <w:rsid w:val="0053704C"/>
    <w:rsid w:val="0054519D"/>
    <w:rsid w:val="00550BB3"/>
    <w:rsid w:val="005512E3"/>
    <w:rsid w:val="00554495"/>
    <w:rsid w:val="00557795"/>
    <w:rsid w:val="00560A8D"/>
    <w:rsid w:val="0056191E"/>
    <w:rsid w:val="00571EAA"/>
    <w:rsid w:val="00572F06"/>
    <w:rsid w:val="00575ABA"/>
    <w:rsid w:val="005833C2"/>
    <w:rsid w:val="00583AF0"/>
    <w:rsid w:val="00584F76"/>
    <w:rsid w:val="0059053C"/>
    <w:rsid w:val="00591499"/>
    <w:rsid w:val="00594311"/>
    <w:rsid w:val="005A304F"/>
    <w:rsid w:val="005A4C9C"/>
    <w:rsid w:val="005B0758"/>
    <w:rsid w:val="005B1071"/>
    <w:rsid w:val="005B3F7C"/>
    <w:rsid w:val="005B4BA1"/>
    <w:rsid w:val="005E0039"/>
    <w:rsid w:val="005E1C1F"/>
    <w:rsid w:val="005E45AE"/>
    <w:rsid w:val="005E4B56"/>
    <w:rsid w:val="005E53B1"/>
    <w:rsid w:val="005E5A70"/>
    <w:rsid w:val="005E6AFB"/>
    <w:rsid w:val="005F43D4"/>
    <w:rsid w:val="005F6408"/>
    <w:rsid w:val="0060146A"/>
    <w:rsid w:val="00603912"/>
    <w:rsid w:val="00607941"/>
    <w:rsid w:val="00610F6C"/>
    <w:rsid w:val="00612D3D"/>
    <w:rsid w:val="0062106F"/>
    <w:rsid w:val="00625AAB"/>
    <w:rsid w:val="00627A01"/>
    <w:rsid w:val="0063112B"/>
    <w:rsid w:val="0063477D"/>
    <w:rsid w:val="006363BF"/>
    <w:rsid w:val="00640DCD"/>
    <w:rsid w:val="00641243"/>
    <w:rsid w:val="00641D23"/>
    <w:rsid w:val="0064508D"/>
    <w:rsid w:val="00645719"/>
    <w:rsid w:val="006540A7"/>
    <w:rsid w:val="00655039"/>
    <w:rsid w:val="00670446"/>
    <w:rsid w:val="00671897"/>
    <w:rsid w:val="0067632E"/>
    <w:rsid w:val="006768F4"/>
    <w:rsid w:val="00676AE3"/>
    <w:rsid w:val="00680C6B"/>
    <w:rsid w:val="0068182E"/>
    <w:rsid w:val="00682B0E"/>
    <w:rsid w:val="0068343B"/>
    <w:rsid w:val="00686FEC"/>
    <w:rsid w:val="00692CBC"/>
    <w:rsid w:val="00695E8A"/>
    <w:rsid w:val="006964B1"/>
    <w:rsid w:val="00697578"/>
    <w:rsid w:val="006A247D"/>
    <w:rsid w:val="006A2577"/>
    <w:rsid w:val="006A3643"/>
    <w:rsid w:val="006B037C"/>
    <w:rsid w:val="006B28BC"/>
    <w:rsid w:val="006B4618"/>
    <w:rsid w:val="006C18E9"/>
    <w:rsid w:val="006C5E71"/>
    <w:rsid w:val="006D0BD3"/>
    <w:rsid w:val="006D158F"/>
    <w:rsid w:val="006D2BDF"/>
    <w:rsid w:val="006E1C36"/>
    <w:rsid w:val="006E2395"/>
    <w:rsid w:val="006E3348"/>
    <w:rsid w:val="006E5AA5"/>
    <w:rsid w:val="006F1F97"/>
    <w:rsid w:val="006F7329"/>
    <w:rsid w:val="00701601"/>
    <w:rsid w:val="00702022"/>
    <w:rsid w:val="0070332F"/>
    <w:rsid w:val="0071087F"/>
    <w:rsid w:val="007131F2"/>
    <w:rsid w:val="00713268"/>
    <w:rsid w:val="00714A5A"/>
    <w:rsid w:val="00714CD9"/>
    <w:rsid w:val="007158BC"/>
    <w:rsid w:val="007219EE"/>
    <w:rsid w:val="0072273B"/>
    <w:rsid w:val="0072786A"/>
    <w:rsid w:val="0073272C"/>
    <w:rsid w:val="00740C53"/>
    <w:rsid w:val="007444F2"/>
    <w:rsid w:val="007467F7"/>
    <w:rsid w:val="0074757E"/>
    <w:rsid w:val="00747FD8"/>
    <w:rsid w:val="00750847"/>
    <w:rsid w:val="00760CAC"/>
    <w:rsid w:val="00764CC5"/>
    <w:rsid w:val="007661AC"/>
    <w:rsid w:val="00772252"/>
    <w:rsid w:val="007826BE"/>
    <w:rsid w:val="007859CD"/>
    <w:rsid w:val="00785EE6"/>
    <w:rsid w:val="0078754E"/>
    <w:rsid w:val="007910C7"/>
    <w:rsid w:val="00791C6F"/>
    <w:rsid w:val="007926F9"/>
    <w:rsid w:val="007927EF"/>
    <w:rsid w:val="007A02BF"/>
    <w:rsid w:val="007A2DB0"/>
    <w:rsid w:val="007B065A"/>
    <w:rsid w:val="007B3207"/>
    <w:rsid w:val="007B4804"/>
    <w:rsid w:val="007B6483"/>
    <w:rsid w:val="007C18DE"/>
    <w:rsid w:val="007C3693"/>
    <w:rsid w:val="007C44A7"/>
    <w:rsid w:val="007C4D8F"/>
    <w:rsid w:val="007D015E"/>
    <w:rsid w:val="007D29C6"/>
    <w:rsid w:val="007D2E16"/>
    <w:rsid w:val="007D2F67"/>
    <w:rsid w:val="007D48BA"/>
    <w:rsid w:val="007E0081"/>
    <w:rsid w:val="007F5680"/>
    <w:rsid w:val="00800526"/>
    <w:rsid w:val="008018F5"/>
    <w:rsid w:val="00802A46"/>
    <w:rsid w:val="008043A3"/>
    <w:rsid w:val="008058E2"/>
    <w:rsid w:val="00811F16"/>
    <w:rsid w:val="00814084"/>
    <w:rsid w:val="0081494A"/>
    <w:rsid w:val="0081586F"/>
    <w:rsid w:val="008178D0"/>
    <w:rsid w:val="008201E3"/>
    <w:rsid w:val="00824DCA"/>
    <w:rsid w:val="00826E6F"/>
    <w:rsid w:val="0083256A"/>
    <w:rsid w:val="00832C60"/>
    <w:rsid w:val="00834FCA"/>
    <w:rsid w:val="0083542C"/>
    <w:rsid w:val="00837080"/>
    <w:rsid w:val="00842781"/>
    <w:rsid w:val="00843D9E"/>
    <w:rsid w:val="00851A90"/>
    <w:rsid w:val="00864458"/>
    <w:rsid w:val="00867A8B"/>
    <w:rsid w:val="00872C97"/>
    <w:rsid w:val="008751C6"/>
    <w:rsid w:val="0087540F"/>
    <w:rsid w:val="00882A02"/>
    <w:rsid w:val="0088550F"/>
    <w:rsid w:val="00885B4A"/>
    <w:rsid w:val="008866D0"/>
    <w:rsid w:val="00887AA1"/>
    <w:rsid w:val="00890921"/>
    <w:rsid w:val="0089577A"/>
    <w:rsid w:val="008969AF"/>
    <w:rsid w:val="008A1662"/>
    <w:rsid w:val="008B1697"/>
    <w:rsid w:val="008B19FE"/>
    <w:rsid w:val="008B2E59"/>
    <w:rsid w:val="008B6136"/>
    <w:rsid w:val="008B734A"/>
    <w:rsid w:val="008C07B5"/>
    <w:rsid w:val="008C5CE1"/>
    <w:rsid w:val="008D2C44"/>
    <w:rsid w:val="008D552A"/>
    <w:rsid w:val="008E3150"/>
    <w:rsid w:val="008E38A4"/>
    <w:rsid w:val="008F3CAB"/>
    <w:rsid w:val="008F6B36"/>
    <w:rsid w:val="00903B2A"/>
    <w:rsid w:val="00906257"/>
    <w:rsid w:val="0090634A"/>
    <w:rsid w:val="00907B20"/>
    <w:rsid w:val="00907CAC"/>
    <w:rsid w:val="009110DD"/>
    <w:rsid w:val="00911E3C"/>
    <w:rsid w:val="00912A26"/>
    <w:rsid w:val="009155FB"/>
    <w:rsid w:val="00917AE5"/>
    <w:rsid w:val="009326A3"/>
    <w:rsid w:val="0093332F"/>
    <w:rsid w:val="009333DD"/>
    <w:rsid w:val="0093390F"/>
    <w:rsid w:val="00950A04"/>
    <w:rsid w:val="00953B4B"/>
    <w:rsid w:val="00953C93"/>
    <w:rsid w:val="00957923"/>
    <w:rsid w:val="00960455"/>
    <w:rsid w:val="00960670"/>
    <w:rsid w:val="00962538"/>
    <w:rsid w:val="00971994"/>
    <w:rsid w:val="0097337C"/>
    <w:rsid w:val="00973A86"/>
    <w:rsid w:val="00974FAE"/>
    <w:rsid w:val="009757E5"/>
    <w:rsid w:val="0097736B"/>
    <w:rsid w:val="00980306"/>
    <w:rsid w:val="00990C31"/>
    <w:rsid w:val="0099171F"/>
    <w:rsid w:val="009936CA"/>
    <w:rsid w:val="00993A39"/>
    <w:rsid w:val="009950B8"/>
    <w:rsid w:val="00995B20"/>
    <w:rsid w:val="00997E89"/>
    <w:rsid w:val="009A1382"/>
    <w:rsid w:val="009A4895"/>
    <w:rsid w:val="009A5A6B"/>
    <w:rsid w:val="009A6192"/>
    <w:rsid w:val="009A6F4B"/>
    <w:rsid w:val="009B4346"/>
    <w:rsid w:val="009C0659"/>
    <w:rsid w:val="009D1017"/>
    <w:rsid w:val="009D2BF6"/>
    <w:rsid w:val="009D41D9"/>
    <w:rsid w:val="009D4A16"/>
    <w:rsid w:val="009E2081"/>
    <w:rsid w:val="009E2735"/>
    <w:rsid w:val="009E62A2"/>
    <w:rsid w:val="009F123B"/>
    <w:rsid w:val="009F228D"/>
    <w:rsid w:val="009F3A13"/>
    <w:rsid w:val="00A100E2"/>
    <w:rsid w:val="00A119DD"/>
    <w:rsid w:val="00A13000"/>
    <w:rsid w:val="00A143A1"/>
    <w:rsid w:val="00A217B4"/>
    <w:rsid w:val="00A410F6"/>
    <w:rsid w:val="00A41E60"/>
    <w:rsid w:val="00A4273D"/>
    <w:rsid w:val="00A43E09"/>
    <w:rsid w:val="00A464CC"/>
    <w:rsid w:val="00A5111A"/>
    <w:rsid w:val="00A566B1"/>
    <w:rsid w:val="00A57328"/>
    <w:rsid w:val="00A70C23"/>
    <w:rsid w:val="00A70F44"/>
    <w:rsid w:val="00A7123B"/>
    <w:rsid w:val="00A75EB3"/>
    <w:rsid w:val="00A801FB"/>
    <w:rsid w:val="00A806AC"/>
    <w:rsid w:val="00A8100C"/>
    <w:rsid w:val="00A82632"/>
    <w:rsid w:val="00A83E78"/>
    <w:rsid w:val="00A83EA3"/>
    <w:rsid w:val="00A8556B"/>
    <w:rsid w:val="00A86809"/>
    <w:rsid w:val="00A92294"/>
    <w:rsid w:val="00A940C0"/>
    <w:rsid w:val="00AA1662"/>
    <w:rsid w:val="00AA5CDE"/>
    <w:rsid w:val="00AB1A5D"/>
    <w:rsid w:val="00AB23AD"/>
    <w:rsid w:val="00AB45C9"/>
    <w:rsid w:val="00AB5449"/>
    <w:rsid w:val="00AB6B5B"/>
    <w:rsid w:val="00AC3824"/>
    <w:rsid w:val="00AD4295"/>
    <w:rsid w:val="00AD48EA"/>
    <w:rsid w:val="00AE0C7F"/>
    <w:rsid w:val="00AE21E3"/>
    <w:rsid w:val="00AE2317"/>
    <w:rsid w:val="00AE2F43"/>
    <w:rsid w:val="00AE311E"/>
    <w:rsid w:val="00AE3C17"/>
    <w:rsid w:val="00AF3CE2"/>
    <w:rsid w:val="00B00BDC"/>
    <w:rsid w:val="00B02775"/>
    <w:rsid w:val="00B04AF0"/>
    <w:rsid w:val="00B05AF7"/>
    <w:rsid w:val="00B107AD"/>
    <w:rsid w:val="00B10C55"/>
    <w:rsid w:val="00B12C8A"/>
    <w:rsid w:val="00B13D11"/>
    <w:rsid w:val="00B24729"/>
    <w:rsid w:val="00B24926"/>
    <w:rsid w:val="00B359A0"/>
    <w:rsid w:val="00B36386"/>
    <w:rsid w:val="00B403EE"/>
    <w:rsid w:val="00B45EAB"/>
    <w:rsid w:val="00B5496F"/>
    <w:rsid w:val="00B55D16"/>
    <w:rsid w:val="00B5778E"/>
    <w:rsid w:val="00B57FE6"/>
    <w:rsid w:val="00B67DE1"/>
    <w:rsid w:val="00B72537"/>
    <w:rsid w:val="00B748AD"/>
    <w:rsid w:val="00B74B9A"/>
    <w:rsid w:val="00B751FB"/>
    <w:rsid w:val="00B75B56"/>
    <w:rsid w:val="00B774FE"/>
    <w:rsid w:val="00B77D1B"/>
    <w:rsid w:val="00B82540"/>
    <w:rsid w:val="00B83CE2"/>
    <w:rsid w:val="00B85F9A"/>
    <w:rsid w:val="00B867BA"/>
    <w:rsid w:val="00B93BD6"/>
    <w:rsid w:val="00BA063E"/>
    <w:rsid w:val="00BA135B"/>
    <w:rsid w:val="00BB3828"/>
    <w:rsid w:val="00BC6287"/>
    <w:rsid w:val="00BD0D34"/>
    <w:rsid w:val="00BD4782"/>
    <w:rsid w:val="00BD51F0"/>
    <w:rsid w:val="00BE3346"/>
    <w:rsid w:val="00BE7B33"/>
    <w:rsid w:val="00BE7CB9"/>
    <w:rsid w:val="00BF1618"/>
    <w:rsid w:val="00BF2189"/>
    <w:rsid w:val="00BF29A9"/>
    <w:rsid w:val="00BF318E"/>
    <w:rsid w:val="00BF47CB"/>
    <w:rsid w:val="00BF54B0"/>
    <w:rsid w:val="00BF6A1D"/>
    <w:rsid w:val="00C00B01"/>
    <w:rsid w:val="00C07494"/>
    <w:rsid w:val="00C127C9"/>
    <w:rsid w:val="00C1773E"/>
    <w:rsid w:val="00C26EF4"/>
    <w:rsid w:val="00C309FD"/>
    <w:rsid w:val="00C33ADC"/>
    <w:rsid w:val="00C3520F"/>
    <w:rsid w:val="00C427C6"/>
    <w:rsid w:val="00C42E09"/>
    <w:rsid w:val="00C505AC"/>
    <w:rsid w:val="00C51804"/>
    <w:rsid w:val="00C5246E"/>
    <w:rsid w:val="00C54E53"/>
    <w:rsid w:val="00C557AF"/>
    <w:rsid w:val="00C57FCA"/>
    <w:rsid w:val="00C60650"/>
    <w:rsid w:val="00C62947"/>
    <w:rsid w:val="00C62DDE"/>
    <w:rsid w:val="00C67E4C"/>
    <w:rsid w:val="00C7100E"/>
    <w:rsid w:val="00C714BD"/>
    <w:rsid w:val="00C81685"/>
    <w:rsid w:val="00C85270"/>
    <w:rsid w:val="00C8639A"/>
    <w:rsid w:val="00C91E83"/>
    <w:rsid w:val="00C97F05"/>
    <w:rsid w:val="00CA2FD1"/>
    <w:rsid w:val="00CA63C5"/>
    <w:rsid w:val="00CA6599"/>
    <w:rsid w:val="00CB35CC"/>
    <w:rsid w:val="00CB4B0A"/>
    <w:rsid w:val="00CC2364"/>
    <w:rsid w:val="00CC3AF7"/>
    <w:rsid w:val="00CC7F2E"/>
    <w:rsid w:val="00CD4F1F"/>
    <w:rsid w:val="00CD53D3"/>
    <w:rsid w:val="00CD56CE"/>
    <w:rsid w:val="00CD5E4E"/>
    <w:rsid w:val="00CE3B7C"/>
    <w:rsid w:val="00CE7C40"/>
    <w:rsid w:val="00D10DE5"/>
    <w:rsid w:val="00D155D1"/>
    <w:rsid w:val="00D166C4"/>
    <w:rsid w:val="00D169DD"/>
    <w:rsid w:val="00D2462A"/>
    <w:rsid w:val="00D3075C"/>
    <w:rsid w:val="00D30EA8"/>
    <w:rsid w:val="00D33DF0"/>
    <w:rsid w:val="00D351A9"/>
    <w:rsid w:val="00D374DE"/>
    <w:rsid w:val="00D40D54"/>
    <w:rsid w:val="00D42A40"/>
    <w:rsid w:val="00D54BD1"/>
    <w:rsid w:val="00D60977"/>
    <w:rsid w:val="00D60DB2"/>
    <w:rsid w:val="00D67878"/>
    <w:rsid w:val="00D73000"/>
    <w:rsid w:val="00D818F9"/>
    <w:rsid w:val="00D83DC7"/>
    <w:rsid w:val="00D84549"/>
    <w:rsid w:val="00D8679D"/>
    <w:rsid w:val="00D9071C"/>
    <w:rsid w:val="00D90883"/>
    <w:rsid w:val="00D90B9C"/>
    <w:rsid w:val="00D95F75"/>
    <w:rsid w:val="00DA5EB0"/>
    <w:rsid w:val="00DA606D"/>
    <w:rsid w:val="00DB4061"/>
    <w:rsid w:val="00DB43A9"/>
    <w:rsid w:val="00DC1B78"/>
    <w:rsid w:val="00DC4DDD"/>
    <w:rsid w:val="00DD214D"/>
    <w:rsid w:val="00DD4C28"/>
    <w:rsid w:val="00DD7CA8"/>
    <w:rsid w:val="00DE1205"/>
    <w:rsid w:val="00DE3DAE"/>
    <w:rsid w:val="00DE3EB4"/>
    <w:rsid w:val="00DE4C4B"/>
    <w:rsid w:val="00DF7DC3"/>
    <w:rsid w:val="00E02924"/>
    <w:rsid w:val="00E03C86"/>
    <w:rsid w:val="00E137F4"/>
    <w:rsid w:val="00E1539F"/>
    <w:rsid w:val="00E21ADE"/>
    <w:rsid w:val="00E30155"/>
    <w:rsid w:val="00E32318"/>
    <w:rsid w:val="00E33DBF"/>
    <w:rsid w:val="00E36843"/>
    <w:rsid w:val="00E40269"/>
    <w:rsid w:val="00E414BD"/>
    <w:rsid w:val="00E42E42"/>
    <w:rsid w:val="00E457EF"/>
    <w:rsid w:val="00E45F4B"/>
    <w:rsid w:val="00E56C1E"/>
    <w:rsid w:val="00E617F6"/>
    <w:rsid w:val="00E62B3B"/>
    <w:rsid w:val="00E64331"/>
    <w:rsid w:val="00E6486F"/>
    <w:rsid w:val="00E717CC"/>
    <w:rsid w:val="00E77892"/>
    <w:rsid w:val="00E802D7"/>
    <w:rsid w:val="00E80918"/>
    <w:rsid w:val="00E8169E"/>
    <w:rsid w:val="00E8191E"/>
    <w:rsid w:val="00E8374D"/>
    <w:rsid w:val="00E83B95"/>
    <w:rsid w:val="00E85B3F"/>
    <w:rsid w:val="00E9041B"/>
    <w:rsid w:val="00E92AD9"/>
    <w:rsid w:val="00E951C8"/>
    <w:rsid w:val="00EA59CE"/>
    <w:rsid w:val="00EB655E"/>
    <w:rsid w:val="00EC3634"/>
    <w:rsid w:val="00EC47E9"/>
    <w:rsid w:val="00ED0E6F"/>
    <w:rsid w:val="00ED1973"/>
    <w:rsid w:val="00ED251E"/>
    <w:rsid w:val="00ED3E23"/>
    <w:rsid w:val="00ED7EF7"/>
    <w:rsid w:val="00EE577F"/>
    <w:rsid w:val="00EF36DA"/>
    <w:rsid w:val="00EF4017"/>
    <w:rsid w:val="00EF481E"/>
    <w:rsid w:val="00F00890"/>
    <w:rsid w:val="00F07456"/>
    <w:rsid w:val="00F10751"/>
    <w:rsid w:val="00F146A0"/>
    <w:rsid w:val="00F214D0"/>
    <w:rsid w:val="00F22532"/>
    <w:rsid w:val="00F334BC"/>
    <w:rsid w:val="00F34719"/>
    <w:rsid w:val="00F42B76"/>
    <w:rsid w:val="00F437C1"/>
    <w:rsid w:val="00F45965"/>
    <w:rsid w:val="00F501EC"/>
    <w:rsid w:val="00F53FAD"/>
    <w:rsid w:val="00F55038"/>
    <w:rsid w:val="00F559F5"/>
    <w:rsid w:val="00F64DF7"/>
    <w:rsid w:val="00F70FC1"/>
    <w:rsid w:val="00F77E3A"/>
    <w:rsid w:val="00F85100"/>
    <w:rsid w:val="00F916CB"/>
    <w:rsid w:val="00F92ECF"/>
    <w:rsid w:val="00F93BD8"/>
    <w:rsid w:val="00F97387"/>
    <w:rsid w:val="00FA1807"/>
    <w:rsid w:val="00FA1D08"/>
    <w:rsid w:val="00FA40FE"/>
    <w:rsid w:val="00FA553E"/>
    <w:rsid w:val="00FA62F2"/>
    <w:rsid w:val="00FB0A8F"/>
    <w:rsid w:val="00FB7D23"/>
    <w:rsid w:val="00FC23BF"/>
    <w:rsid w:val="00FD0CCB"/>
    <w:rsid w:val="00FD2831"/>
    <w:rsid w:val="00FD3559"/>
    <w:rsid w:val="00FD430E"/>
    <w:rsid w:val="00FD475F"/>
    <w:rsid w:val="00FD4D89"/>
    <w:rsid w:val="00FE0ED3"/>
    <w:rsid w:val="00FE3CF3"/>
    <w:rsid w:val="00FE5807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6E"/>
  </w:style>
  <w:style w:type="paragraph" w:styleId="Nagwek1">
    <w:name w:val="heading 1"/>
    <w:basedOn w:val="Normalny"/>
    <w:next w:val="Normalny"/>
    <w:link w:val="Nagwek1Znak"/>
    <w:uiPriority w:val="9"/>
    <w:qFormat/>
    <w:rsid w:val="003D5D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D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77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4C"/>
  </w:style>
  <w:style w:type="paragraph" w:styleId="Stopka">
    <w:name w:val="footer"/>
    <w:basedOn w:val="Normalny"/>
    <w:link w:val="StopkaZnak"/>
    <w:uiPriority w:val="99"/>
    <w:unhideWhenUsed/>
    <w:rsid w:val="0025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6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6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6E"/>
  </w:style>
  <w:style w:type="paragraph" w:styleId="Nagwek1">
    <w:name w:val="heading 1"/>
    <w:basedOn w:val="Normalny"/>
    <w:next w:val="Normalny"/>
    <w:link w:val="Nagwek1Znak"/>
    <w:uiPriority w:val="9"/>
    <w:qFormat/>
    <w:rsid w:val="003D5D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D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77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4C"/>
  </w:style>
  <w:style w:type="paragraph" w:styleId="Stopka">
    <w:name w:val="footer"/>
    <w:basedOn w:val="Normalny"/>
    <w:link w:val="StopkaZnak"/>
    <w:uiPriority w:val="99"/>
    <w:unhideWhenUsed/>
    <w:rsid w:val="0025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6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6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8482-2F7F-4940-B8B6-E342B74C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5399</Words>
  <Characters>32395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Ochociński</dc:creator>
  <cp:lastModifiedBy>Marek Waszczewski</cp:lastModifiedBy>
  <cp:revision>2</cp:revision>
  <dcterms:created xsi:type="dcterms:W3CDTF">2017-06-30T09:03:00Z</dcterms:created>
  <dcterms:modified xsi:type="dcterms:W3CDTF">2017-06-30T09:03:00Z</dcterms:modified>
</cp:coreProperties>
</file>