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2"/>
        <w:keepNext w:val="0"/>
        <w:keepLines w:val="0"/>
        <w:framePr w:w="1680" w:h="662" w:wrap="none" w:hAnchor="page" w:x="4934" w:y="96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RPW/103653/2024 P</w:t>
      </w:r>
    </w:p>
    <w:p>
      <w:pPr>
        <w:pStyle w:val="Style2"/>
        <w:keepNext w:val="0"/>
        <w:keepLines w:val="0"/>
        <w:framePr w:w="1680" w:h="662" w:wrap="none" w:hAnchor="page" w:x="4934" w:y="96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Data:2O24-12-2O</w:t>
      </w:r>
    </w:p>
    <w:p>
      <w:pPr>
        <w:pStyle w:val="Style2"/>
        <w:keepNext w:val="0"/>
        <w:keepLines w:val="0"/>
        <w:framePr w:w="1680" w:h="662" w:wrap="none" w:hAnchor="page" w:x="4934" w:y="966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</w:rPr>
        <w:t>MKiS</w:t>
      </w:r>
    </w:p>
    <w:p>
      <w:pPr>
        <w:pStyle w:val="Style4"/>
        <w:keepNext w:val="0"/>
        <w:keepLines w:val="0"/>
        <w:framePr w:w="2712" w:h="211" w:wrap="none" w:hAnchor="page" w:x="842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MINISTERSTWO KLIMATU I ŚRODOWISKA</w:t>
      </w:r>
    </w:p>
    <w:p>
      <w:pPr>
        <w:pStyle w:val="Style6"/>
        <w:keepNext w:val="0"/>
        <w:keepLines w:val="0"/>
        <w:framePr w:w="1920" w:h="792" w:wrap="none" w:hAnchor="page" w:x="8817" w:y="174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</w:rPr>
        <w:t>KANCELARIA OGOLNA</w:t>
      </w:r>
    </w:p>
    <w:p>
      <w:pPr>
        <w:pStyle w:val="Style8"/>
        <w:keepNext w:val="0"/>
        <w:keepLines w:val="0"/>
        <w:framePr w:w="1920" w:h="792" w:wrap="none" w:hAnchor="page" w:x="8817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9"/>
        </w:rPr>
        <w:t>2024 -12- 2 0</w:t>
      </w:r>
    </w:p>
    <w:p>
      <w:pPr>
        <w:pStyle w:val="Style10"/>
        <w:keepNext/>
        <w:keepLines/>
        <w:framePr w:w="2947" w:h="638" w:wrap="none" w:hAnchor="page" w:x="791" w:y="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11"/>
          <w:b/>
          <w:bCs/>
        </w:rPr>
        <w:t>BOLESŁAW*</w:t>
      </w:r>
      <w:bookmarkEnd w:id="0"/>
    </w:p>
    <w:p>
      <w:pPr>
        <w:widowControl w:val="0"/>
        <w:spacing w:line="360" w:lineRule="exact"/>
      </w:pP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523240</wp:posOffset>
            </wp:positionH>
            <wp:positionV relativeFrom="margin">
              <wp:posOffset>125095</wp:posOffset>
            </wp:positionV>
            <wp:extent cx="1700530" cy="670560"/>
            <wp:wrapNone/>
            <wp:docPr id="2" name="Shap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700530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408305" distL="0" distR="362585" simplePos="0" relativeHeight="62914692" behindDoc="1" locked="0" layoutInCell="1" allowOverlap="1">
            <wp:simplePos x="0" y="0"/>
            <wp:positionH relativeFrom="page">
              <wp:posOffset>3129280</wp:posOffset>
            </wp:positionH>
            <wp:positionV relativeFrom="margin">
              <wp:posOffset>234950</wp:posOffset>
            </wp:positionV>
            <wp:extent cx="707390" cy="38989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707390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5381625</wp:posOffset>
            </wp:positionH>
            <wp:positionV relativeFrom="margin">
              <wp:posOffset>240665</wp:posOffset>
            </wp:positionV>
            <wp:extent cx="194945" cy="450850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4945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57" w:right="578" w:bottom="635" w:left="780" w:header="0" w:footer="20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57" w:right="0" w:bottom="63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5445760</wp:posOffset>
                </wp:positionH>
                <wp:positionV relativeFrom="paragraph">
                  <wp:posOffset>12700</wp:posOffset>
                </wp:positionV>
                <wp:extent cx="1649095" cy="167640"/>
                <wp:wrapSquare wrapText="lef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Bukowno, dnia 06.12.2024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28.80000000000001pt;margin-top:1.pt;width:129.84999999999999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Bukowno, dnia 06.12.2024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13"/>
          <w:color w:val="414141"/>
        </w:rPr>
        <w:t>DWY/DK/2024//^/^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right"/>
      </w:pPr>
      <w:r>
        <w:rPr>
          <w:rStyle w:val="CharStyle13"/>
          <w:b/>
          <w:bCs/>
        </w:rPr>
        <w:t>Ministerstwo Klimatu i Środowiska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40" w:line="264" w:lineRule="auto"/>
        <w:ind w:left="6980" w:right="0" w:firstLine="0"/>
        <w:jc w:val="right"/>
      </w:pPr>
      <w:r>
        <w:rPr>
          <w:rStyle w:val="CharStyle13"/>
        </w:rPr>
        <w:t>Wydział ds. Obsługi Prawnej i Legislacji Departament Geologii ul. Wawelska 52/54, 00-922 Warszawa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580"/>
        <w:jc w:val="both"/>
      </w:pPr>
      <w:r>
        <w:rPr>
          <w:rStyle w:val="CharStyle13"/>
        </w:rPr>
        <w:t xml:space="preserve">Zakłady Górniczo-Hutnicze „Bolesław" S.A. zwracają się z wnioskiem o rozważenie wprowadzenia pojęcia </w:t>
      </w:r>
      <w:r>
        <w:rPr>
          <w:rStyle w:val="CharStyle13"/>
          <w:i/>
          <w:iCs/>
        </w:rPr>
        <w:t>złóż antropogenicznych</w:t>
      </w:r>
      <w:r>
        <w:rPr>
          <w:rStyle w:val="CharStyle13"/>
        </w:rPr>
        <w:t xml:space="preserve"> do Prawa Geologicznego i Górniczego oraz usankcjonowanie lokalizacji hałd, zwałów pogórniczych i innych obiektów górniczych, które stanowiłyby alternatywną bazę surowcową, w planach zagospodarowania przestrzennego. Proponujemy również, by decyzje dotyczące tych złóż, w tym koncesje, były traktowane na równi z decyzjami dotyczącymi złóż pierwotnych.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580"/>
        <w:jc w:val="both"/>
      </w:pPr>
      <w:r>
        <w:rPr>
          <w:rStyle w:val="CharStyle13"/>
        </w:rPr>
        <w:t>Złoża antropogeniczne, które powstają w wyniku działalności górniczej, stanowią znaczący potencjał dla odzysku cennych surowców mineralnych, w tym m.in. cynku, ołowiu i innych metali. W wyniku działalności górniczej i przetwórczej pozostają one w postaci odpadów na hałdach, zwałach pogórniczych, czy osadnikach. Wykorzystanie tych zasobów daje szansę na zaspokojenie potrzeb krajowego przemysłu metalurgicznego, a także wzmocnienie bezpieczeństwa surowcowego Polski.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/>
        <w:ind w:left="420" w:right="0" w:hanging="420"/>
        <w:jc w:val="both"/>
      </w:pPr>
      <w:r>
        <w:rPr>
          <w:rStyle w:val="CharStyle13"/>
          <w:u w:val="single"/>
        </w:rPr>
        <w:t xml:space="preserve">Usankcjonowanie lokalizacji hałd, zwałów </w:t>
      </w:r>
      <w:r>
        <w:rPr>
          <w:rStyle w:val="CharStyle13"/>
          <w:color w:val="000000"/>
          <w:u w:val="single"/>
        </w:rPr>
        <w:t xml:space="preserve">i </w:t>
      </w:r>
      <w:r>
        <w:rPr>
          <w:rStyle w:val="CharStyle13"/>
          <w:u w:val="single"/>
        </w:rPr>
        <w:t xml:space="preserve">osadników pogórniczych w planach zagospodarowania przestrzennego </w:t>
      </w:r>
      <w:r>
        <w:rPr>
          <w:rStyle w:val="CharStyle13"/>
        </w:rPr>
        <w:t>Proponujemy wprowadzenie obowiązku uwzględnienia w planach zagospodarowania przestrzennego gmin lokalizacji hałd, zwałów i osadników pogórniczych oraz innych obiektów górniczych, które mogą stanowić złoża antropogeniczne. Taki zapis w planie zagospodarowania przestrzennego będzie gwarancją ochrony tych zasobów, zapewniając jednocześnie możliwość ich wykorzystywania w przyszłości. Takie podejście pozwoli na utrzymanie stabilności w gospodarce krajowej i efektywne wykorzystanie surowców mineralnych, które w przeszłości zostały pozostawione w postaci odpadów górniczych.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0" w:line="259" w:lineRule="auto"/>
        <w:ind w:left="0" w:right="0" w:firstLine="0"/>
        <w:jc w:val="both"/>
      </w:pPr>
      <w:r>
        <w:rPr>
          <w:rStyle w:val="CharStyle13"/>
          <w:u w:val="single"/>
        </w:rPr>
        <w:t>Ochrona krajowych zasobów surowcowych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420" w:right="0" w:firstLine="20"/>
        <w:jc w:val="both"/>
      </w:pPr>
      <w:r>
        <w:rPr>
          <w:rStyle w:val="CharStyle13"/>
        </w:rPr>
        <w:t>Złóż antropogenicznych nie można traktować wyłącznie jako odpadów, lecz jako wartościowe zasoby mineralne, które mogą stanowić alternatywne źródło surowców. Dlatego kluczowe jest wprowadzenie przepisów umożliwiających ich efektywne i kontrolowane pozyskiwanie. Podjęcie decyzji o udzieleniu koncesji na eksploatację takich złóż powinno odbywać się zgodnie z procedurą, jak w przypadku złóż pierwotnych, z odpowiednimi wymaganiami dotyczącymi ochrony środowiska oraz zarządzania zasobami naturalnymi.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57" w:right="578" w:bottom="635" w:left="780" w:header="0" w:footer="3" w:gutter="0"/>
          <w:cols w:space="720"/>
          <w:noEndnote/>
          <w:rtlGutter w:val="0"/>
          <w:docGrid w:linePitch="360"/>
        </w:sectPr>
      </w:pPr>
      <w:r>
        <w:drawing>
          <wp:anchor distT="686435" distB="240665" distL="648970" distR="0" simplePos="0" relativeHeight="125829380" behindDoc="0" locked="0" layoutInCell="1" allowOverlap="1">
            <wp:simplePos x="0" y="0"/>
            <wp:positionH relativeFrom="page">
              <wp:posOffset>1220470</wp:posOffset>
            </wp:positionH>
            <wp:positionV relativeFrom="paragraph">
              <wp:posOffset>686435</wp:posOffset>
            </wp:positionV>
            <wp:extent cx="609600" cy="890270"/>
            <wp:wrapTopAndBottom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609600" cy="8902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829945</wp:posOffset>
                </wp:positionV>
                <wp:extent cx="527050" cy="32004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6"/>
                                <w:szCs w:val="26"/>
                              </w:rPr>
                              <w:t>LRQA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414141"/>
                                <w:sz w:val="14"/>
                                <w:szCs w:val="14"/>
                              </w:rPr>
                              <w:t>CERTIFIED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5.pt;margin-top:65.349999999999994pt;width:41.5pt;height:25.1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6"/>
                          <w:szCs w:val="26"/>
                        </w:rPr>
                        <w:t>LRQA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414141"/>
                          <w:sz w:val="14"/>
                          <w:szCs w:val="14"/>
                        </w:rPr>
                        <w:t>CERTIFIED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1259205</wp:posOffset>
                </wp:positionV>
                <wp:extent cx="530225" cy="149225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022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414141"/>
                                <w:sz w:val="8"/>
                                <w:szCs w:val="8"/>
                              </w:rPr>
                              <w:t>ISO 9001 ISO 14001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color w:val="414141"/>
                                <w:sz w:val="8"/>
                                <w:szCs w:val="8"/>
                              </w:rPr>
                              <w:t>ISO 45001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5.pt;margin-top:99.150000000000006pt;width:41.75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414141"/>
                          <w:sz w:val="8"/>
                          <w:szCs w:val="8"/>
                        </w:rPr>
                        <w:t>ISO 9001 ISO 14001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color w:val="414141"/>
                          <w:sz w:val="8"/>
                          <w:szCs w:val="8"/>
                        </w:rPr>
                        <w:t>ISO 45001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69900" distB="0" distL="0" distR="0" simplePos="0" relativeHeight="125829381" behindDoc="0" locked="0" layoutInCell="1" allowOverlap="1">
                <wp:simplePos x="0" y="0"/>
                <wp:positionH relativeFrom="page">
                  <wp:posOffset>1964690</wp:posOffset>
                </wp:positionH>
                <wp:positionV relativeFrom="paragraph">
                  <wp:posOffset>469900</wp:posOffset>
                </wp:positionV>
                <wp:extent cx="1880870" cy="1347470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0870" cy="1347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</w:rPr>
                              <w:t>Zakłady Górniczo-Hutnicze</w:t>
                              <w:br/>
                              <w:t>„Bolesław” S.A.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34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>ul. Kolejowa 37, PL 32-332 Bukowno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30" w:val="left"/>
                              </w:tabs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 xml:space="preserve">Sąd Rejonowy dla Krakowa-Sródmieścia w Krakowie, XII Wydział Gospodarczy KRS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  <w:color w:val="1A1A1A"/>
                              </w:rPr>
                              <w:t>KRS:</w:t>
                              <w:tab/>
                            </w:r>
                            <w:r>
                              <w:rPr>
                                <w:rStyle w:val="CharStyle20"/>
                              </w:rPr>
                              <w:t>0000193278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2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color w:val="000000"/>
                              </w:rPr>
                              <w:t>NIP:</w:t>
                              <w:tab/>
                            </w:r>
                            <w:r>
                              <w:rPr>
                                <w:rStyle w:val="CharStyle20"/>
                              </w:rPr>
                              <w:t>637 010 21 96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1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color w:val="1A1A1A"/>
                              </w:rPr>
                              <w:t>REGON:</w:t>
                              <w:tab/>
                            </w:r>
                            <w:r>
                              <w:rPr>
                                <w:rStyle w:val="CharStyle20"/>
                              </w:rPr>
                              <w:t>000026904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1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color w:val="1A1A1A"/>
                              </w:rPr>
                              <w:t>BDO:</w:t>
                              <w:tab/>
                            </w:r>
                            <w:r>
                              <w:rPr>
                                <w:rStyle w:val="CharStyle20"/>
                              </w:rPr>
                              <w:t>000012775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color w:val="1A1A1A"/>
                              </w:rPr>
                              <w:t xml:space="preserve">Kapitał zakładowy: </w:t>
                            </w:r>
                            <w:r>
                              <w:rPr>
                                <w:rStyle w:val="CharStyle20"/>
                                <w:b/>
                                <w:bCs/>
                              </w:rPr>
                              <w:t xml:space="preserve">166 116 </w:t>
                            </w:r>
                            <w:r>
                              <w:rPr>
                                <w:rStyle w:val="CharStyle20"/>
                              </w:rPr>
                              <w:t>000 zl.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</w:rPr>
                              <w:t>pokryty w całości.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"http://www.zghboleslaw.pl"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18"/>
                                <w:b/>
                                <w:bCs/>
                                <w:lang w:val="en-US" w:eastAsia="en-US"/>
                              </w:rPr>
                              <w:t>www.zghboleslaw.pl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54.70000000000002pt;margin-top:37.pt;width:148.09999999999999pt;height:106.10000000000001pt;z-index:-125829372;mso-wrap-distance-left:0;mso-wrap-distance-top:37.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18"/>
                          <w:b/>
                          <w:bCs/>
                        </w:rPr>
                        <w:t>Zakłady Górniczo-Hutnicze</w:t>
                        <w:br/>
                        <w:t>„Bolesław” S.A.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340"/>
                        <w:jc w:val="left"/>
                      </w:pPr>
                      <w:r>
                        <w:rPr>
                          <w:rStyle w:val="CharStyle20"/>
                        </w:rPr>
                        <w:t>ul. Kolejowa 37, PL 32-332 Bukowno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30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 xml:space="preserve">Sąd Rejonowy dla Krakowa-Sródmieścia w Krakowie, XII Wydział Gospodarczy KRS </w:t>
                      </w:r>
                      <w:r>
                        <w:rPr>
                          <w:rStyle w:val="CharStyle20"/>
                          <w:b/>
                          <w:bCs/>
                          <w:color w:val="1A1A1A"/>
                        </w:rPr>
                        <w:t>KRS:</w:t>
                        <w:tab/>
                      </w:r>
                      <w:r>
                        <w:rPr>
                          <w:rStyle w:val="CharStyle20"/>
                        </w:rPr>
                        <w:t>0000193278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2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b/>
                          <w:bCs/>
                          <w:color w:val="000000"/>
                        </w:rPr>
                        <w:t>NIP:</w:t>
                        <w:tab/>
                      </w:r>
                      <w:r>
                        <w:rPr>
                          <w:rStyle w:val="CharStyle20"/>
                        </w:rPr>
                        <w:t>637 010 21 96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1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b/>
                          <w:bCs/>
                          <w:color w:val="1A1A1A"/>
                        </w:rPr>
                        <w:t>REGON:</w:t>
                        <w:tab/>
                      </w:r>
                      <w:r>
                        <w:rPr>
                          <w:rStyle w:val="CharStyle20"/>
                        </w:rPr>
                        <w:t>000026904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1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color w:val="1A1A1A"/>
                        </w:rPr>
                        <w:t>BDO:</w:t>
                        <w:tab/>
                      </w:r>
                      <w:r>
                        <w:rPr>
                          <w:rStyle w:val="CharStyle20"/>
                        </w:rPr>
                        <w:t>000012775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b/>
                          <w:bCs/>
                          <w:color w:val="1A1A1A"/>
                        </w:rPr>
                        <w:t xml:space="preserve">Kapitał zakładowy: </w:t>
                      </w:r>
                      <w:r>
                        <w:rPr>
                          <w:rStyle w:val="CharStyle20"/>
                          <w:b/>
                          <w:bCs/>
                        </w:rPr>
                        <w:t xml:space="preserve">166 116 </w:t>
                      </w:r>
                      <w:r>
                        <w:rPr>
                          <w:rStyle w:val="CharStyle20"/>
                        </w:rPr>
                        <w:t>000 zl.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</w:rPr>
                        <w:t>pokryty w całości.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"http://www.zghboleslaw.pl"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18"/>
                          <w:b/>
                          <w:bCs/>
                          <w:lang w:val="en-US" w:eastAsia="en-US"/>
                        </w:rPr>
                        <w:t>www.zghboleslaw.pl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88645" distB="125095" distL="0" distR="0" simplePos="0" relativeHeight="125829383" behindDoc="0" locked="0" layoutInCell="1" allowOverlap="1">
                <wp:simplePos x="0" y="0"/>
                <wp:positionH relativeFrom="page">
                  <wp:posOffset>3900170</wp:posOffset>
                </wp:positionH>
                <wp:positionV relativeFrom="paragraph">
                  <wp:posOffset>588645</wp:posOffset>
                </wp:positionV>
                <wp:extent cx="1456690" cy="1103630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1103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</w:rPr>
                              <w:t>Dział Sprzedaży i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</w:rPr>
                              <w:t>Zaopatrzenia Surowcowego: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19" w:val="right"/>
                                <w:tab w:pos="2026" w:val="right"/>
                                <w:tab w:pos="223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Sprzedaż:</w:t>
                              <w:tab/>
                              <w:t>+48(32) 295</w:t>
                              <w:tab/>
                              <w:t>57</w:t>
                              <w:tab/>
                              <w:t>89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14" w:val="right"/>
                                <w:tab w:pos="2021" w:val="right"/>
                                <w:tab w:pos="2203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Surowce:</w:t>
                              <w:tab/>
                              <w:t>+48(32) 295</w:t>
                              <w:tab/>
                              <w:t>56</w:t>
                              <w:tab/>
                              <w:t>81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10" w:val="right"/>
                                <w:tab w:pos="2016" w:val="right"/>
                                <w:tab w:pos="2198" w:val="right"/>
                              </w:tabs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Fax:</w:t>
                              <w:tab/>
                              <w:t>+48(32) 295</w:t>
                              <w:tab/>
                              <w:t>58</w:t>
                              <w:tab/>
                              <w:t>51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14" w:val="right"/>
                                <w:tab w:pos="2021" w:val="right"/>
                                <w:tab w:pos="2222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Centrala tel. :</w:t>
                              <w:tab/>
                              <w:t>+48(32) 295</w:t>
                              <w:tab/>
                              <w:t>51</w:t>
                              <w:tab/>
                              <w:t>00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810" w:val="right"/>
                                <w:tab w:pos="2016" w:val="right"/>
                                <w:tab w:pos="2218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Fax:</w:t>
                              <w:tab/>
                              <w:t>+48(32) 295</w:t>
                              <w:tab/>
                              <w:t>50</w:t>
                              <w:tab/>
                              <w:t>00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color w:val="414141"/>
                              </w:rPr>
                              <w:t xml:space="preserve">e-mail: </w:t>
                            </w:r>
                            <w:r>
                              <w:fldChar w:fldCharType="begin"/>
                            </w:r>
                            <w:r>
                              <w:rPr/>
                              <w:instrText> HYPERLINK "mailto:office@zghboleslaw.pl"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18"/>
                                <w:color w:val="414141"/>
                                <w:lang w:val="en-US" w:eastAsia="en-US"/>
                              </w:rPr>
                              <w:t>office@zghboleslaw.pl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07.10000000000002pt;margin-top:46.350000000000001pt;width:114.7pt;height:86.900000000000006pt;z-index:-125829370;mso-wrap-distance-left:0;mso-wrap-distance-top:46.350000000000001pt;mso-wrap-distance-right:0;mso-wrap-distance-bottom:9.8499999999999996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b/>
                          <w:bCs/>
                        </w:rPr>
                        <w:t>Dział Sprzedaży i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b/>
                          <w:bCs/>
                        </w:rPr>
                        <w:t>Zaopatrzenia Surowcowego: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19" w:val="right"/>
                          <w:tab w:pos="2026" w:val="right"/>
                          <w:tab w:pos="2232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Sprzedaż:</w:t>
                        <w:tab/>
                        <w:t>+48(32) 295</w:t>
                        <w:tab/>
                        <w:t>57</w:t>
                        <w:tab/>
                        <w:t>89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14" w:val="right"/>
                          <w:tab w:pos="2021" w:val="right"/>
                          <w:tab w:pos="220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Surowce:</w:t>
                        <w:tab/>
                        <w:t>+48(32) 295</w:t>
                        <w:tab/>
                        <w:t>56</w:t>
                        <w:tab/>
                        <w:t>81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10" w:val="right"/>
                          <w:tab w:pos="2016" w:val="right"/>
                          <w:tab w:pos="2198" w:val="right"/>
                        </w:tabs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Fax:</w:t>
                        <w:tab/>
                        <w:t>+48(32) 295</w:t>
                        <w:tab/>
                        <w:t>58</w:t>
                        <w:tab/>
                        <w:t>51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14" w:val="right"/>
                          <w:tab w:pos="2021" w:val="right"/>
                          <w:tab w:pos="2222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Centrala tel. :</w:t>
                        <w:tab/>
                        <w:t>+48(32) 295</w:t>
                        <w:tab/>
                        <w:t>51</w:t>
                        <w:tab/>
                        <w:t>00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810" w:val="right"/>
                          <w:tab w:pos="2016" w:val="right"/>
                          <w:tab w:pos="2218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Fax:</w:t>
                        <w:tab/>
                        <w:t>+48(32) 295</w:t>
                        <w:tab/>
                        <w:t>50</w:t>
                        <w:tab/>
                        <w:t>00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color w:val="414141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rPr/>
                        <w:instrText> HYPERLINK "mailto:office@zghboleslaw.pl"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18"/>
                          <w:color w:val="414141"/>
                          <w:lang w:val="en-US" w:eastAsia="en-US"/>
                        </w:rPr>
                        <w:t>office@zghboleslaw.pl</w:t>
                      </w:r>
                      <w:r>
                        <w:fldChar w:fldCharType="end"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04850" distB="33655" distL="0" distR="0" simplePos="0" relativeHeight="125829385" behindDoc="0" locked="0" layoutInCell="1" allowOverlap="1">
                <wp:simplePos x="0" y="0"/>
                <wp:positionH relativeFrom="page">
                  <wp:posOffset>5436235</wp:posOffset>
                </wp:positionH>
                <wp:positionV relativeFrom="paragraph">
                  <wp:posOffset>704850</wp:posOffset>
                </wp:positionV>
                <wp:extent cx="1667510" cy="107886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7510" cy="1078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b/>
                                <w:bCs/>
                              </w:rPr>
                              <w:t xml:space="preserve">Rachunki </w:t>
                            </w:r>
                            <w:r>
                              <w:rPr>
                                <w:rStyle w:val="CharStyle18"/>
                                <w:b/>
                                <w:bCs/>
                                <w:color w:val="000000"/>
                              </w:rPr>
                              <w:t>bankowe: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color w:val="1A1A1A"/>
                              </w:rPr>
                              <w:t>ING BANK ŚLĄSKI S.A. Warszawa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0"/>
                                <w:color w:val="1A1A1A"/>
                                <w:sz w:val="15"/>
                                <w:szCs w:val="15"/>
                              </w:rPr>
                              <w:t xml:space="preserve">87 </w:t>
                            </w:r>
                            <w:r>
                              <w:rPr>
                                <w:rStyle w:val="CharStyle20"/>
                                <w:sz w:val="15"/>
                                <w:szCs w:val="15"/>
                              </w:rPr>
                              <w:t xml:space="preserve">1050 0086 </w:t>
                            </w:r>
                            <w:r>
                              <w:rPr>
                                <w:rStyle w:val="CharStyle20"/>
                                <w:color w:val="1A1A1A"/>
                                <w:sz w:val="15"/>
                                <w:szCs w:val="15"/>
                              </w:rPr>
                              <w:t xml:space="preserve">1000 </w:t>
                            </w:r>
                            <w:r>
                              <w:rPr>
                                <w:rStyle w:val="CharStyle20"/>
                                <w:sz w:val="15"/>
                                <w:szCs w:val="15"/>
                              </w:rPr>
                              <w:t>0022 7363 8383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color w:val="1A1A1A"/>
                              </w:rPr>
                              <w:t>PEKAO S.A.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0"/>
                                <w:color w:val="1A1A1A"/>
                                <w:sz w:val="15"/>
                                <w:szCs w:val="15"/>
                              </w:rPr>
                              <w:t xml:space="preserve">55 </w:t>
                            </w:r>
                            <w:r>
                              <w:rPr>
                                <w:rStyle w:val="CharStyle20"/>
                                <w:sz w:val="15"/>
                                <w:szCs w:val="15"/>
                              </w:rPr>
                              <w:t xml:space="preserve">1240 4748 </w:t>
                            </w:r>
                            <w:r>
                              <w:rPr>
                                <w:rStyle w:val="CharStyle20"/>
                                <w:color w:val="1A1A1A"/>
                                <w:sz w:val="15"/>
                                <w:szCs w:val="15"/>
                              </w:rPr>
                              <w:t xml:space="preserve">1111 </w:t>
                            </w:r>
                            <w:r>
                              <w:rPr>
                                <w:rStyle w:val="CharStyle20"/>
                                <w:sz w:val="15"/>
                                <w:szCs w:val="15"/>
                              </w:rPr>
                              <w:t>0000 4878 0025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0"/>
                                <w:b/>
                                <w:bCs/>
                                <w:color w:val="1A1A1A"/>
                              </w:rPr>
                              <w:t>BNP PARIBAS BANK POLSKA S.A.</w:t>
                            </w:r>
                          </w:p>
                          <w:p>
                            <w:pPr>
                              <w:pStyle w:val="Style1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0"/>
                                <w:sz w:val="15"/>
                                <w:szCs w:val="15"/>
                              </w:rPr>
                              <w:t>18 1600 1013 0002 0011 6384 4001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28.05000000000001pt;margin-top:55.5pt;width:131.30000000000001pt;height:84.950000000000003pt;z-index:-125829368;mso-wrap-distance-left:0;mso-wrap-distance-top:55.5pt;mso-wrap-distance-right:0;mso-wrap-distance-bottom:2.649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b/>
                          <w:bCs/>
                        </w:rPr>
                        <w:t xml:space="preserve">Rachunki </w:t>
                      </w:r>
                      <w:r>
                        <w:rPr>
                          <w:rStyle w:val="CharStyle18"/>
                          <w:b/>
                          <w:bCs/>
                          <w:color w:val="000000"/>
                        </w:rPr>
                        <w:t>bankowe: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b/>
                          <w:bCs/>
                          <w:color w:val="1A1A1A"/>
                        </w:rPr>
                        <w:t>ING BANK ŚLĄSKI S.A. Warszawa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0"/>
                          <w:color w:val="1A1A1A"/>
                          <w:sz w:val="15"/>
                          <w:szCs w:val="15"/>
                        </w:rPr>
                        <w:t xml:space="preserve">87 </w:t>
                      </w:r>
                      <w:r>
                        <w:rPr>
                          <w:rStyle w:val="CharStyle20"/>
                          <w:sz w:val="15"/>
                          <w:szCs w:val="15"/>
                        </w:rPr>
                        <w:t xml:space="preserve">1050 0086 </w:t>
                      </w:r>
                      <w:r>
                        <w:rPr>
                          <w:rStyle w:val="CharStyle20"/>
                          <w:color w:val="1A1A1A"/>
                          <w:sz w:val="15"/>
                          <w:szCs w:val="15"/>
                        </w:rPr>
                        <w:t xml:space="preserve">1000 </w:t>
                      </w:r>
                      <w:r>
                        <w:rPr>
                          <w:rStyle w:val="CharStyle20"/>
                          <w:sz w:val="15"/>
                          <w:szCs w:val="15"/>
                        </w:rPr>
                        <w:t>0022 7363 8383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b/>
                          <w:bCs/>
                          <w:color w:val="1A1A1A"/>
                        </w:rPr>
                        <w:t>PEKAO S.A.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0"/>
                          <w:color w:val="1A1A1A"/>
                          <w:sz w:val="15"/>
                          <w:szCs w:val="15"/>
                        </w:rPr>
                        <w:t xml:space="preserve">55 </w:t>
                      </w:r>
                      <w:r>
                        <w:rPr>
                          <w:rStyle w:val="CharStyle20"/>
                          <w:sz w:val="15"/>
                          <w:szCs w:val="15"/>
                        </w:rPr>
                        <w:t xml:space="preserve">1240 4748 </w:t>
                      </w:r>
                      <w:r>
                        <w:rPr>
                          <w:rStyle w:val="CharStyle20"/>
                          <w:color w:val="1A1A1A"/>
                          <w:sz w:val="15"/>
                          <w:szCs w:val="15"/>
                        </w:rPr>
                        <w:t xml:space="preserve">1111 </w:t>
                      </w:r>
                      <w:r>
                        <w:rPr>
                          <w:rStyle w:val="CharStyle20"/>
                          <w:sz w:val="15"/>
                          <w:szCs w:val="15"/>
                        </w:rPr>
                        <w:t>0000 4878 0025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0"/>
                          <w:b/>
                          <w:bCs/>
                          <w:color w:val="1A1A1A"/>
                        </w:rPr>
                        <w:t>BNP PARIBAS BANK POLSKA S.A.</w:t>
                      </w:r>
                    </w:p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0"/>
                          <w:sz w:val="15"/>
                          <w:szCs w:val="15"/>
                        </w:rPr>
                        <w:t>18 1600 1013 0002 0011 6384 4001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57" w:right="578" w:bottom="357" w:left="780" w:header="0" w:footer="3" w:gutter="0"/>
          <w:cols w:space="720"/>
          <w:noEndnote/>
          <w:rtlGutter w:val="0"/>
          <w:docGrid w:linePitch="360"/>
        </w:sectPr>
      </w:pPr>
      <w:r>
        <w:rPr>
          <w:rStyle w:val="CharStyle20"/>
        </w:rPr>
        <w:t>Spółka jest dużym przedsiębiorcą w rozumieniu art. 4 pkt 6) ustawy z dnia 8 marca 2013r. o przeciwdziałaniu nadmiernym opóźnieniom</w:t>
        <w:br/>
        <w:t>w transakcjach handlowych (Dz.U.2020.935 tj.)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E" stroked="f"/>
            </w:pict>
          </mc:Fallback>
        </mc:AlternateConten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hanging="160"/>
        <w:jc w:val="both"/>
      </w:pPr>
      <w:bookmarkStart w:id="2" w:name="bookmark2"/>
      <w:r>
        <w:rPr>
          <w:rStyle w:val="CharStyle11"/>
          <w:b/>
          <w:bCs/>
        </w:rPr>
        <w:t>BOLESŁAW*</w:t>
      </w:r>
      <w:bookmarkEnd w:id="2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13"/>
          <w:u w:val="single"/>
        </w:rPr>
        <w:t xml:space="preserve">Opłata eksploatacyjna </w:t>
      </w:r>
      <w:r>
        <w:rPr>
          <w:rStyle w:val="CharStyle13"/>
          <w:color w:val="000000"/>
          <w:u w:val="single"/>
        </w:rPr>
        <w:t xml:space="preserve">na </w:t>
      </w:r>
      <w:r>
        <w:rPr>
          <w:rStyle w:val="CharStyle13"/>
          <w:u w:val="single"/>
        </w:rPr>
        <w:t>rzecz gminy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440" w:right="0" w:firstLine="0"/>
        <w:jc w:val="both"/>
      </w:pPr>
      <w:r>
        <w:rPr>
          <w:rStyle w:val="CharStyle13"/>
        </w:rPr>
        <w:t>Podobnie jak w przypadku eksploatacji złóż pierwotnych, opłata eksploatacyjna powinna być przekazywana na rzecz gmin, na terenie których zlokalizowane są hałdy, zwały i osadniki pogórnicze. Środki te mogłyby być wykorzystywane do poprawy infrastruktury, ochrony środowiska oraz rozwoju lokalnej gospodarki, w tym przez finansowanie działań związanych z rekultywacją terenów pokopalnianych.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0" w:line="264" w:lineRule="auto"/>
        <w:ind w:left="0" w:right="0" w:firstLine="0"/>
        <w:jc w:val="left"/>
      </w:pPr>
      <w:r>
        <w:rPr>
          <w:rStyle w:val="CharStyle13"/>
          <w:u w:val="single"/>
        </w:rPr>
        <w:t xml:space="preserve">Rozwój technologii </w:t>
      </w:r>
      <w:r>
        <w:rPr>
          <w:rStyle w:val="CharStyle13"/>
          <w:color w:val="000000"/>
          <w:u w:val="single"/>
        </w:rPr>
        <w:t xml:space="preserve">przerobu </w:t>
      </w:r>
      <w:r>
        <w:rPr>
          <w:rStyle w:val="CharStyle13"/>
          <w:u w:val="single"/>
        </w:rPr>
        <w:t>złóż antropogenicznych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440" w:right="0" w:firstLine="0"/>
        <w:jc w:val="both"/>
      </w:pPr>
      <w:r>
        <w:rPr>
          <w:rStyle w:val="CharStyle13"/>
        </w:rPr>
        <w:t>Warto również zwrócić uwagę na konieczność wsparcia badań i rozwoju technologii przerobu złóż antropogenicznych. Postęp w tej dziedzinie pozwoli na zwiększenie efektywności pozyskiwania cennych surowców z obiektów pogórniczych, co będzie miało bezpośredni wpływ na zwiększenie konkurencyjności polskiego przemysłu surowcowego oraz redukcję zależności od importu.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3"/>
        </w:rPr>
        <w:t>Wprowadzenie pojęcia złóż antropogenicznych do Prawa Geologicznego i Górniczego, a także usankcjonowanie w planach zagospodarowania przestrzennego lokalizacji hałd, zwałów i osadników pogórniczych, może stanowić istotny krok w stronę poprawy bezpieczeństwa surowcowego Polski. Złóż tych nie należy traktować jako odpadów, lecz jako cenny zasób, który może wesprzeć krajową gospodarkę, szczególnie w kontekście rozwoju przemysłu metalurgicznego. Wsparcie państwa w zakresie regulacji prawnych oraz rozwoju odpowiednich technologii pozwoli na efektywne wykorzystanie tych zasobów i wzmocnienie konkurencyjności polskiej gospodarki.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40" w:line="264" w:lineRule="auto"/>
        <w:ind w:left="1160" w:right="0" w:firstLine="0"/>
        <w:jc w:val="left"/>
      </w:pPr>
      <w:r>
        <w:rPr>
          <w:rStyle w:val="CharStyle13"/>
        </w:rPr>
        <w:t>Liczymy na pozytywne rozpatrzenie naszego wniosku oraz otwartość na dalsze konsultacje w tej sprawie.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0" w:line="264" w:lineRule="auto"/>
        <w:ind w:left="0" w:right="0" w:firstLine="0"/>
        <w:jc w:val="right"/>
      </w:pPr>
      <w:r>
        <w:rPr>
          <w:rStyle w:val="CharStyle13"/>
        </w:rPr>
        <w:t>Z poważaniem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13"/>
          <w:sz w:val="19"/>
          <w:szCs w:val="19"/>
        </w:rPr>
        <w:t>Otrzymują: 1 x Adresat 1 x DK a/a</w:t>
      </w:r>
    </w:p>
    <w:sectPr>
      <w:footnotePr>
        <w:pos w:val="pageBottom"/>
        <w:numFmt w:val="decimal"/>
        <w:numRestart w:val="continuous"/>
      </w:footnotePr>
      <w:pgSz w:w="11900" w:h="16840"/>
      <w:pgMar w:top="1186" w:right="574" w:bottom="1186" w:left="780" w:header="0" w:footer="75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Podpis obraz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Tekst treści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0A0A0"/>
      <w:sz w:val="13"/>
      <w:szCs w:val="13"/>
      <w:u w:val="none"/>
    </w:rPr>
  </w:style>
  <w:style w:type="character" w:customStyle="1" w:styleId="CharStyle7">
    <w:name w:val="Tekst treści (5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0A0A0"/>
      <w:sz w:val="17"/>
      <w:szCs w:val="17"/>
      <w:u w:val="single"/>
    </w:rPr>
  </w:style>
  <w:style w:type="character" w:customStyle="1" w:styleId="CharStyle9">
    <w:name w:val="Tekst treści (6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A0A0A0"/>
      <w:sz w:val="20"/>
      <w:szCs w:val="20"/>
      <w:u w:val="none"/>
    </w:rPr>
  </w:style>
  <w:style w:type="character" w:customStyle="1" w:styleId="CharStyle11">
    <w:name w:val="Nagłówek #1_"/>
    <w:basedOn w:val="DefaultParagraphFont"/>
    <w:link w:val="Style10"/>
    <w:rPr>
      <w:rFonts w:ascii="Calibri" w:eastAsia="Calibri" w:hAnsi="Calibri" w:cs="Calibri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CharStyle13">
    <w:name w:val="Tekst treści_"/>
    <w:basedOn w:val="DefaultParagraphFont"/>
    <w:link w:val="Style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A1A1A"/>
      <w:sz w:val="20"/>
      <w:szCs w:val="20"/>
      <w:u w:val="none"/>
    </w:rPr>
  </w:style>
  <w:style w:type="character" w:customStyle="1" w:styleId="CharStyle18">
    <w:name w:val="Tekst treści (3)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color w:val="1A1A1A"/>
      <w:sz w:val="16"/>
      <w:szCs w:val="16"/>
      <w:u w:val="none"/>
    </w:rPr>
  </w:style>
  <w:style w:type="character" w:customStyle="1" w:styleId="CharStyle20">
    <w:name w:val="Tekst treści (2)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1"/>
      <w:sz w:val="14"/>
      <w:szCs w:val="14"/>
      <w:u w:val="none"/>
    </w:rPr>
  </w:style>
  <w:style w:type="character" w:customStyle="1" w:styleId="CharStyle26">
    <w:name w:val="Spis treści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color w:val="414141"/>
      <w:sz w:val="15"/>
      <w:szCs w:val="15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auto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Tekst treści (4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0A0A0"/>
      <w:sz w:val="13"/>
      <w:szCs w:val="13"/>
      <w:u w:val="none"/>
    </w:rPr>
  </w:style>
  <w:style w:type="paragraph" w:customStyle="1" w:styleId="Style6">
    <w:name w:val="Tekst treści (5)"/>
    <w:basedOn w:val="Normal"/>
    <w:link w:val="CharStyle7"/>
    <w:pPr>
      <w:widowControl w:val="0"/>
      <w:shd w:val="clear" w:color="auto" w:fill="auto"/>
      <w:spacing w:after="3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0A0A0"/>
      <w:sz w:val="17"/>
      <w:szCs w:val="17"/>
      <w:u w:val="single"/>
    </w:rPr>
  </w:style>
  <w:style w:type="paragraph" w:customStyle="1" w:styleId="Style8">
    <w:name w:val="Tekst treści (6)"/>
    <w:basedOn w:val="Normal"/>
    <w:link w:val="CharStyle9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A0A0A0"/>
      <w:sz w:val="20"/>
      <w:szCs w:val="20"/>
      <w:u w:val="none"/>
    </w:rPr>
  </w:style>
  <w:style w:type="paragraph" w:customStyle="1" w:styleId="Style10">
    <w:name w:val="Nagłówek #1"/>
    <w:basedOn w:val="Normal"/>
    <w:link w:val="CharStyle11"/>
    <w:pPr>
      <w:widowControl w:val="0"/>
      <w:shd w:val="clear" w:color="auto" w:fill="auto"/>
      <w:spacing w:after="210"/>
      <w:ind w:hanging="80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50"/>
      <w:szCs w:val="50"/>
      <w:u w:val="none"/>
    </w:rPr>
  </w:style>
  <w:style w:type="paragraph" w:customStyle="1" w:styleId="Style12">
    <w:name w:val="Tekst treści"/>
    <w:basedOn w:val="Normal"/>
    <w:link w:val="CharStyle13"/>
    <w:pPr>
      <w:widowControl w:val="0"/>
      <w:shd w:val="clear" w:color="auto" w:fill="auto"/>
      <w:spacing w:after="260" w:line="262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A1A1A"/>
      <w:sz w:val="20"/>
      <w:szCs w:val="20"/>
      <w:u w:val="none"/>
    </w:rPr>
  </w:style>
  <w:style w:type="paragraph" w:customStyle="1" w:styleId="Style17">
    <w:name w:val="Tekst treści (3)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color w:val="1A1A1A"/>
      <w:sz w:val="16"/>
      <w:szCs w:val="16"/>
      <w:u w:val="none"/>
    </w:rPr>
  </w:style>
  <w:style w:type="paragraph" w:customStyle="1" w:styleId="Style19">
    <w:name w:val="Tekst treści (2)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4141"/>
      <w:sz w:val="14"/>
      <w:szCs w:val="14"/>
      <w:u w:val="none"/>
    </w:rPr>
  </w:style>
  <w:style w:type="paragraph" w:customStyle="1" w:styleId="Style25">
    <w:name w:val="Spis treści"/>
    <w:basedOn w:val="Normal"/>
    <w:link w:val="CharStyle2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414141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