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3826" w:h="509" w:wrap="none" w:hAnchor="page" w:x="1969" w:y="156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Departament Transformacji Ciepłownictwa i Efektywności Energetycznej</w:t>
      </w:r>
    </w:p>
    <w:p>
      <w:pPr>
        <w:widowControl w:val="0"/>
        <w:spacing w:line="360" w:lineRule="exact"/>
      </w:pPr>
      <w:r>
        <w:drawing>
          <wp:anchor distT="0" distB="359410" distL="0" distR="173990" simplePos="0" relativeHeight="62914690" behindDoc="1" locked="0" layoutInCell="1" allowOverlap="1">
            <wp:simplePos x="0" y="0"/>
            <wp:positionH relativeFrom="page">
              <wp:posOffset>359410</wp:posOffset>
            </wp:positionH>
            <wp:positionV relativeFrom="margin">
              <wp:posOffset>0</wp:posOffset>
            </wp:positionV>
            <wp:extent cx="3145790" cy="95694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145790" cy="9569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2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438" w:right="1951" w:bottom="756" w:left="566" w:header="10" w:footer="328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before="99" w:after="9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98" w:right="0" w:bottom="92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DCE-WKiC.053.1.2025.EZ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9"/>
          <w:sz w:val="18"/>
          <w:szCs w:val="18"/>
        </w:rPr>
        <w:t>3559921.14118704.11358785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9"/>
        </w:rPr>
        <w:t>Warszawa, 03-01-2025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0"/>
        <w:ind w:left="0" w:right="0" w:firstLine="0"/>
        <w:jc w:val="both"/>
      </w:pPr>
      <w:r>
        <w:rPr>
          <w:rStyle w:val="CharStyle9"/>
          <w:b/>
          <w:bCs/>
        </w:rPr>
        <w:t>Dotyczy: odpowiedź na petycję z dnia 23 grudnia 2024 r. w przedmiocie zmiany przepisów § 11 ust. 2 rozporządzenia Ministra Klimatu i Środowiska z dnia 7 grudnia 2021 roku w sprawie warunków ustalania technicznej możliwości i opłacalności zastosowania ciepłomierzy, podzielników kosztów ogrzewania oraz wodomierzy do pomiaru ciepłej wody użytkowej, warunków wyboru metody rozliczania kosztów zakupu ciepła oraz zakresu informacji zawartych w indywidualnych rozliczeniach (Dz. U. z 2021r., poz. 2273).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/>
        <w:ind w:left="0" w:right="0" w:firstLine="0"/>
        <w:jc w:val="both"/>
      </w:pPr>
      <w:r>
        <w:rPr>
          <w:rStyle w:val="CharStyle9"/>
        </w:rPr>
        <w:t>Szanowny Panie,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/>
        <w:ind w:left="0" w:right="0" w:firstLine="0"/>
        <w:jc w:val="both"/>
      </w:pPr>
      <w:r>
        <w:rPr>
          <w:rStyle w:val="CharStyle9"/>
        </w:rPr>
        <w:t xml:space="preserve">w odpowiedzi na Pana petycję w sprawie takiej zmiany przepisów, aby dążyć do wyeliminowania wątpliwości interpretacyjnych w zakresie obowiązku montażu wodomierzy do ciepłej wody użytkowej ze zdalnym odczytem w budynkach wielolokalowych, uprzejmie informuję, że </w:t>
      </w:r>
      <w:r>
        <w:rPr>
          <w:rStyle w:val="CharStyle9"/>
          <w:b/>
          <w:bCs/>
        </w:rPr>
        <w:t xml:space="preserve">zostanie ona uwzględniona </w:t>
      </w:r>
      <w:r>
        <w:rPr>
          <w:rStyle w:val="CharStyle9"/>
        </w:rPr>
        <w:t>poprzez odpowiednie doprecyzowanie przepisów w ramach przygotowywanego pakietu legislacyjnego implementacji znowelizowanej Dyrektywy 2023/1791 z dnia 13 września 2023 r. w sprawie efektywności energetycznej.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305" w:lineRule="auto"/>
        <w:ind w:left="0" w:right="0" w:firstLine="0"/>
        <w:jc w:val="both"/>
      </w:pPr>
      <w:r>
        <w:rPr>
          <w:rStyle w:val="CharStyle9"/>
        </w:rPr>
        <w:t>Niezależnie od powyższego należy wskazać, że istotą przepisów tejże dyrektywy począwszy od 2012 r., w zakresie rozliczeń kosztów ciepła dostarczanego na potrzeby ogrzewania i ciepłej wody użytkowej w budynkach wielolokalowych, jest ustalanie opłat na podstawie indywidualnego zużycia.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305" w:lineRule="auto"/>
        <w:ind w:left="0" w:right="0" w:firstLine="0"/>
        <w:jc w:val="both"/>
      </w:pPr>
      <w:r>
        <w:rPr>
          <w:rStyle w:val="CharStyle9"/>
        </w:rPr>
        <w:t>Rozliczanie kosztów ciepła na podstawie powierzchni lub kubatury lokali albo w przypadku ciepłej wody, liczby zamieszkujących osób, stanowi wyjątek i może być stosowane wyłącznie w przypadku, gdy zastosowanie ciepłomierzy, podzielników kosztów lub wodomierzy do pomiaru ciepłej wody użytkowej jest technicznie niewykonalne i nieopłacalne.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/>
        <w:ind w:left="0" w:right="0" w:firstLine="0"/>
        <w:jc w:val="both"/>
      </w:pPr>
      <w:r>
        <w:rPr>
          <w:rStyle w:val="CharStyle9"/>
        </w:rPr>
        <w:t>Art. 16 ustawy o zmianie ustawy o efektywności energetycznej, stanowi, że „Do dnia 1 stycznia 2027 r. właściciel lub zarządca budynku wielolokalowego zastąpi ciepłomierze, podzielniki kosztów ogrzewania lub wodomierze do pomiaru ciepłej wody użytkowej zamontowane przed dniem wejścia w życie ustawy zmienianej w art. 3, w brzmieniu nadanym niniejszą ustawą, urządzeniami posiadającymi funkcję zdalnego odczytu”.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419100" distB="106680" distL="0" distR="0" simplePos="0" relativeHeight="125829378" behindDoc="0" locked="0" layoutInCell="1" allowOverlap="1">
                <wp:simplePos x="0" y="0"/>
                <wp:positionH relativeFrom="page">
                  <wp:posOffset>1240155</wp:posOffset>
                </wp:positionH>
                <wp:positionV relativeFrom="paragraph">
                  <wp:posOffset>419100</wp:posOffset>
                </wp:positionV>
                <wp:extent cx="1920240" cy="37782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20240" cy="3778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Telefon: (+48) 223-691-088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rPr/>
                              <w:instrText> HYPERLINK "mailto:departament.cieplownictwa@klimat.gov.pl"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CharStyle5"/>
                              </w:rPr>
                              <w:t>departament.cieplownictwa@klimat.gov.pl</w:t>
                            </w:r>
                            <w:r>
                              <w:fldChar w:fldCharType="end"/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rPr/>
                              <w:instrText> HYPERLINK "http://www.gov.pl/klimat"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CharStyle5"/>
                              </w:rPr>
                              <w:t>www.gov.pl/klimat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97.650000000000006pt;margin-top:33.pt;width:151.20000000000002pt;height:29.75pt;z-index:-125829375;mso-wrap-distance-left:0;mso-wrap-distance-top:33.pt;mso-wrap-distance-right:0;mso-wrap-distance-bottom:8.4000000000000004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Telefon: (+48) 223-691-088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rPr/>
                        <w:instrText> HYPERLINK "mailto:departament.cieplownictwa@klimat.gov.pl" </w:instrText>
                      </w:r>
                      <w:r>
                        <w:fldChar w:fldCharType="separate"/>
                      </w:r>
                      <w:r>
                        <w:rPr>
                          <w:rStyle w:val="CharStyle5"/>
                        </w:rPr>
                        <w:t>departament.cieplownictwa@klimat.gov.pl</w:t>
                      </w:r>
                      <w:r>
                        <w:fldChar w:fldCharType="end"/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rPr/>
                        <w:instrText> HYPERLINK "http://www.gov.pl/klimat" </w:instrText>
                      </w:r>
                      <w:r>
                        <w:fldChar w:fldCharType="separate"/>
                      </w:r>
                      <w:r>
                        <w:rPr>
                          <w:rStyle w:val="CharStyle5"/>
                        </w:rPr>
                        <w:t>www.gov.pl/klimat</w:t>
                      </w:r>
                      <w:r>
                        <w:fldChar w:fldCharType="end"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22275" distB="231140" distL="0" distR="0" simplePos="0" relativeHeight="125829380" behindDoc="0" locked="0" layoutInCell="1" allowOverlap="1">
                <wp:simplePos x="0" y="0"/>
                <wp:positionH relativeFrom="page">
                  <wp:posOffset>4486275</wp:posOffset>
                </wp:positionH>
                <wp:positionV relativeFrom="paragraph">
                  <wp:posOffset>422275</wp:posOffset>
                </wp:positionV>
                <wp:extent cx="1761490" cy="25019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61490" cy="250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5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53.25pt;margin-top:33.25pt;width:138.70000000000002pt;height:19.699999999999999pt;z-index:-125829373;mso-wrap-distance-left:0;mso-wrap-distance-top:33.25pt;mso-wrap-distance-right:0;mso-wrap-distance-bottom:18.19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5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88035" distB="0" distL="0" distR="0" simplePos="0" relativeHeight="125829382" behindDoc="0" locked="0" layoutInCell="1" allowOverlap="1">
                <wp:simplePos x="0" y="0"/>
                <wp:positionH relativeFrom="page">
                  <wp:posOffset>2392045</wp:posOffset>
                </wp:positionH>
                <wp:positionV relativeFrom="paragraph">
                  <wp:posOffset>788035</wp:posOffset>
                </wp:positionV>
                <wp:extent cx="2776855" cy="11557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76855" cy="115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7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88.34999999999999pt;margin-top:62.050000000000004pt;width:218.65000000000001pt;height:9.0999999999999996pt;z-index:-125829371;mso-wrap-distance-left:0;mso-wrap-distance-top:62.050000000000004pt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7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9"/>
        </w:rPr>
        <w:t>Konieczność doposażenia urządzeń pomiarowych w funkcję zdalnego odczytu stanowiło wykonanie obowiązku wdrożenia dyrektywy Parlamentu Europejskiego i Rady (UE) 2018/2002 z dnia 11 grudnia 2018 r. zmieniającej dyrektywę 2012/27/UE w sprawie efektywności energetycznej (Dz.U. UE L 328 21.12.2018, s. 210) oraz stanowiło odpowiedź na opinię Komisji Europejskiej wystosowaną na podstawie art. 258 Traktatu o funkcjonowaniu Unii Europejskiej (Dz. Urz. UE 2016 C 202, z 07.06.2016, s.1,) dotyczącą nieprawidłowego stosowania oraz nieprawidłowej transpozycji Dyrektywy Parlamentu Europejskiego i Rady 2012/27/UE z dnia 25 października 2012 r. w sprawie efektywności energetycznej w zakresie transpozycji art. 9 ust. 3 (naruszenie nr 2018/2345).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9"/>
        </w:rPr>
        <w:t>Ponadto należy wskazać, że nadrzędnym celem, do realizacji którego powinien zmierzać zarządca, zgodnie z intencją zawartą w przytoczonych przepisach, jest zapewnienie energooszczędnych zachowań mieszkańców i użytkowników lokali oraz zapewnienie prawidłowych warunków eksploatacji budynku i lokali w zakresie temperatury i wentylacji, określonych w przepisach</w:t>
      </w:r>
      <w:r>
        <w:fldChar w:fldCharType="begin"/>
      </w:r>
      <w:r>
        <w:rPr/>
        <w:instrText> HYPERLINK "http://isap.sejm.gov.pl/isap.nsf/DocDetails.xsp?id=WDU19940890414" </w:instrText>
      </w:r>
      <w:r>
        <w:fldChar w:fldCharType="separate"/>
      </w:r>
      <w:r>
        <w:rPr>
          <w:rStyle w:val="CharStyle9"/>
        </w:rPr>
        <w:t xml:space="preserve"> prawa budowlanego</w:t>
      </w:r>
      <w:r>
        <w:fldChar w:fldCharType="end"/>
      </w:r>
      <w:r>
        <w:rPr>
          <w:rStyle w:val="CharStyle9"/>
        </w:rPr>
        <w:t>. Ustalanie opłat za zakupione ciepło i ciepłą wodę użytkową w sposób odpowiadający zużyciu ciepła na ogrzewanie i przygotowanie ciepłej wody użytkowej w najlepszy sposób spełnia wymienione cele.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305" w:lineRule="auto"/>
        <w:ind w:left="0" w:right="0" w:firstLine="0"/>
        <w:jc w:val="both"/>
      </w:pPr>
      <w:r>
        <w:rPr>
          <w:rStyle w:val="CharStyle9"/>
        </w:rPr>
        <w:t>Zdalny odczyt stanowi natomiast efektywny sposób pozyskiwania danych o zużyciu niezbędnych do rozliczania kosztów, bez potrzeby angażowania bezpośrednio użytkowników (np. poprzez osobiste udostępnianie lokalu do odczytu liczników). Informacja o zużyciu, dzięki zdalnym odczytom, jest niemalże od ręki dostępna dla korzystających z lokali, co w dłuższej perspektywie pozwala na szybką weryfikację ich energooszczędnych zachowań.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9"/>
        </w:rPr>
        <w:t>Zwracam jednocześnie uwagę, że w przypadku, gdy w budynku wielolokalowym zostały zamontowane wodomierze ciepłej wody użytkowej, nie przeprowadza się analizy kosztów technicznej i ekonomicznej opłacalności, ponieważ taka została już potwierdzona przy podjęciu decyzji o pierwszym montażu urządzeń i przyjęciu metody rozliczania kosztów w oparciu o indywidualne zużycie energii cieplnej. Analiza taka jest niezbędna wyłącznie w przypadku, gdy planowany jest montaż urządzeń po raz pierwszy, przy czym w obecnym stanie prawnym, muszą one być wyposażone w funkcję zdalnego odczytu.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305" w:lineRule="auto"/>
        <w:ind w:left="0" w:right="0" w:firstLine="0"/>
        <w:jc w:val="both"/>
      </w:pPr>
      <w:r>
        <w:rPr>
          <w:rStyle w:val="CharStyle9"/>
        </w:rPr>
        <w:t>Wykonanie wymiany urządzeń albo odpowiednie ich doposażenie w terminie określonym ustawą, ustawodawca pozostawił w gestii zarządców oraz właścicieli nieruchomości. Możliwe jest zatem dostosowanie terminu wymiany do obowiązku legalizacji liczników wynikającego z przepisów odrębnych, i tym samym ograniczenie kosztów.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20"/>
        <w:ind w:left="0" w:right="0" w:firstLine="0"/>
        <w:jc w:val="both"/>
      </w:pPr>
      <w:r>
        <w:rPr>
          <w:rStyle w:val="CharStyle9"/>
        </w:rPr>
        <w:t>Przychylając się do Pana petycji, uprzejmie informuję, że resort w ramach implementacji przepisów europejskich podjął prace nad regulacją, która ma na celu doszczegółowienie przepisów w taki sposób, aby nie budziły one wątpliwości.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both"/>
      </w:pPr>
      <w:r>
        <w:rPr>
          <w:rStyle w:val="CharStyle9"/>
        </w:rPr>
        <w:t>Z wyrazami szacunku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both"/>
      </w:pPr>
      <w:r>
        <w:rPr>
          <w:rStyle w:val="CharStyle9"/>
        </w:rPr>
        <w:t>Departament Transformacji Ciepłownictwa i Efektywności Energetycznej Ministerstwo Klimatu i Środowiska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both"/>
      </w:pPr>
      <w:r>
        <w:rPr>
          <w:rStyle w:val="CharStyle9"/>
        </w:rPr>
        <w:t>/ – podpisany cyfrowo/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998" w:right="1951" w:bottom="924" w:left="1953" w:header="1570" w:footer="496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Podpis obrazu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Tekst treści (2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7">
    <w:name w:val="Tekst treści (3)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9">
    <w:name w:val="Tekst treści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Podpis obrazu"/>
    <w:basedOn w:val="Normal"/>
    <w:link w:val="CharStyle3"/>
    <w:pPr>
      <w:widowControl w:val="0"/>
      <w:shd w:val="clear" w:color="auto" w:fill="auto"/>
      <w:spacing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">
    <w:name w:val="Tekst treści (2)"/>
    <w:basedOn w:val="Normal"/>
    <w:link w:val="CharStyle5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6">
    <w:name w:val="Tekst treści (3)"/>
    <w:basedOn w:val="Normal"/>
    <w:link w:val="CharStyle7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8">
    <w:name w:val="Tekst treści"/>
    <w:basedOn w:val="Normal"/>
    <w:link w:val="CharStyle9"/>
    <w:pPr>
      <w:widowControl w:val="0"/>
      <w:shd w:val="clear" w:color="auto" w:fill="auto"/>
      <w:spacing w:after="140" w:line="30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Uniwersalny szablondepartamentu/biura kolor</dc:title>
  <dc:subject/>
  <dc:creator/>
  <cp:keywords>PL, KOLOR</cp:keywords>
</cp:coreProperties>
</file>