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1700" w:after="0" w:line="259" w:lineRule="auto"/>
        <w:ind w:left="4980" w:right="0" w:firstLine="0"/>
        <w:jc w:val="left"/>
      </w:pPr>
      <w:r>
        <w:rPr>
          <w:rStyle w:val="CharStyle5"/>
        </w:rPr>
        <w:t>Minister Klimatu i Środowiska ul. Wawelska 52/54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259" w:lineRule="auto"/>
        <w:ind w:left="4980" w:right="0" w:firstLine="0"/>
        <w:jc w:val="left"/>
      </w:pPr>
      <w:r>
        <w:rPr>
          <w:rStyle w:val="CharStyle5"/>
        </w:rPr>
        <w:t>00-922 Warszawa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rStyle w:val="CharStyle5"/>
          <w:b/>
          <w:bCs/>
        </w:rPr>
        <w:t>Petycja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r>
        <w:rPr>
          <w:rStyle w:val="CharStyle5"/>
        </w:rPr>
        <w:t>z dnia 23 grudnia 2024 r.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5"/>
        </w:rPr>
        <w:t>W oparciu o przepis art. 2 ustawy z dnia 11 lipca 2014 roku o petycjac</w:t>
      </w:r>
      <w:hyperlink w:anchor="bookmark0" w:tooltip="Current Document">
        <w:r>
          <w:rPr>
            <w:rStyle w:val="CharStyle5"/>
          </w:rPr>
          <w:t>h</w:t>
        </w:r>
        <w:r>
          <w:rPr>
            <w:rStyle w:val="CharStyle5"/>
            <w:vertAlign w:val="superscript"/>
          </w:rPr>
          <w:footnoteReference w:id="2"/>
        </w:r>
        <w:r>
          <w:rPr>
            <w:rStyle w:val="CharStyle5"/>
          </w:rPr>
          <w:t>,</w:t>
        </w:r>
      </w:hyperlink>
      <w:r>
        <w:rPr>
          <w:rStyle w:val="CharStyle5"/>
        </w:rPr>
        <w:t xml:space="preserve"> niniejszym składam petycję w interesie publicznym </w:t>
      </w:r>
      <w:r>
        <w:rPr>
          <w:rStyle w:val="CharStyle5"/>
          <w:b/>
          <w:bCs/>
        </w:rPr>
        <w:t xml:space="preserve">w przedmiocie zmiany przepisów </w:t>
      </w:r>
      <w:r>
        <w:rPr>
          <w:rStyle w:val="CharStyle5"/>
        </w:rPr>
        <w:t>§ 11 ust. 2 rozporządzenia Ministra Klimatu i Środowiska z dnia 7 grudnia 2021 roku w sprawie warunków ustalania technicznej możliwości i opłacalności zastosowania ciepłomierzy, podzielników kosztów ogrzewania oraz wodomierzy do pomiaru ciepłej wody użytkowej, warunków wyboru metody rozliczania kosztów zakupu ciepła oraz zakresu informacji zawartych w indywidualnych rozliczeniach (Dz. U. z 2021r., poz. 2273).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/>
        <w:ind w:left="0" w:right="0" w:firstLine="780"/>
        <w:jc w:val="both"/>
      </w:pPr>
      <w:r>
        <w:rPr>
          <w:rStyle w:val="CharStyle5"/>
        </w:rPr>
        <w:t xml:space="preserve">Stosownie do art. 4 ust. 3 ustawy o petycjach, </w:t>
      </w:r>
      <w:r>
        <w:rPr>
          <w:rStyle w:val="CharStyle5"/>
          <w:b/>
          <w:bCs/>
        </w:rPr>
        <w:t xml:space="preserve">nie wyrażam zgody </w:t>
      </w:r>
      <w:r>
        <w:rPr>
          <w:rStyle w:val="CharStyle5"/>
        </w:rPr>
        <w:t>na ujawnienie na stronie internetowej Ministra Klimatu i Środowiska lub urzędu go obsługującego danych osobowych podmiotu wnoszącego petycję.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Style w:val="CharStyle5"/>
          <w:b/>
          <w:bCs/>
        </w:rPr>
        <w:t>Uzasadnienie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5"/>
        </w:rPr>
        <w:t xml:space="preserve">Niniejsza petycja dotyczy zmian przepisów ww. rozporządzenia wobec konieczności wyeliminowania wątpliwości interpretacyjnych w zakresie powstania obowiązku montażu </w:t>
      </w:r>
      <w:r>
        <w:rPr>
          <w:rStyle w:val="CharStyle5"/>
          <w:b/>
          <w:bCs/>
        </w:rPr>
        <w:t>wodomierzy do ciepłej wody użytkowej ze zdalnym odczytem w budynkach wielolokalowych, w których są już zamontowane konwencjonalne wodomierze do ciepłej wody użytkowej</w:t>
      </w:r>
      <w:r>
        <w:rPr>
          <w:rStyle w:val="CharStyle5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both"/>
      </w:pPr>
      <w:r>
        <w:rPr>
          <w:rStyle w:val="CharStyle5"/>
        </w:rPr>
        <w:t>Dyrektywa Parlamentu Europejskiego i Rady (UE) w sprawie efektywności energetycznej</w:t>
      </w:r>
      <w:hyperlink w:anchor="bookmark1" w:tooltip="Current Document">
        <w:r>
          <w:rPr>
            <w:rStyle w:val="CharStyle5"/>
          </w:rPr>
          <w:t xml:space="preserve"> </w:t>
        </w:r>
        <w:r>
          <w:rPr>
            <w:rStyle w:val="CharStyle5"/>
            <w:vertAlign w:val="superscript"/>
          </w:rPr>
          <w:footnoteReference w:id="3"/>
        </w:r>
        <w:r>
          <w:rPr>
            <w:rStyle w:val="CharStyle5"/>
          </w:rPr>
          <w:t xml:space="preserve"> </w:t>
        </w:r>
      </w:hyperlink>
      <w:r>
        <w:rPr>
          <w:rStyle w:val="CharStyle5"/>
        </w:rPr>
        <w:t>zobligowała Polskę do zmiany przepisów Ustawy Prawo Energetyczne i wdrożenia określonych w niej wymagań. Jedną ze zmian, które pojawiły się w polskim prawie, są nowe regulacje dot. stosowania wodomierzy do ciepłej wody ze zdalnym odczytem. W aktualnym brzmieniu Prawo energetyczn</w:t>
      </w:r>
      <w:hyperlink w:anchor="bookmark2" w:tooltip="Current Document">
        <w:r>
          <w:rPr>
            <w:rStyle w:val="CharStyle5"/>
          </w:rPr>
          <w:t>e</w:t>
        </w:r>
        <w:r>
          <w:rPr>
            <w:rStyle w:val="CharStyle5"/>
            <w:vertAlign w:val="superscript"/>
          </w:rPr>
          <w:footnoteReference w:id="4"/>
        </w:r>
        <w:r>
          <w:rPr>
            <w:rStyle w:val="CharStyle5"/>
          </w:rPr>
          <w:t xml:space="preserve"> </w:t>
        </w:r>
      </w:hyperlink>
      <w:r>
        <w:rPr>
          <w:rStyle w:val="CharStyle5"/>
        </w:rPr>
        <w:t xml:space="preserve">stanowi, że budynki z instalacją ogrzewczą wodną zasilaną z sieci ciepłowniczej lub budynki mające więcej niż jedno mieszkanie lub lokal użytkowy, zasilane z kotłowni, wyposaża się w urządzenia służące do rozliczenia zużytego ciepła lub chłodu obejmujące m.in. wodomierze do pomiaru ciepłej wody użytkowej dla poszczególnych mieszkań lub lokali użytkowych w budynku, posiadające funkcję zdalnego odczytu, </w:t>
      </w:r>
      <w:r>
        <w:rPr>
          <w:rStyle w:val="CharStyle5"/>
          <w:b/>
          <w:bCs/>
        </w:rPr>
        <w:t xml:space="preserve">o ile jest to techniczne wykonalne i opłacalne </w:t>
      </w:r>
      <w:r>
        <w:rPr>
          <w:rStyle w:val="CharStyle5"/>
        </w:rPr>
        <w:t>(art. 45a ust. 7a Prawa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rStyle w:val="CharStyle5"/>
        </w:rPr>
        <w:t>energetycznego). Nowel</w:t>
      </w:r>
      <w:hyperlink w:anchor="bookmark3" w:tooltip="Current Document">
        <w:r>
          <w:rPr>
            <w:rStyle w:val="CharStyle5"/>
          </w:rPr>
          <w:t>a</w:t>
        </w:r>
        <w:r>
          <w:rPr>
            <w:rStyle w:val="CharStyle5"/>
            <w:vertAlign w:val="superscript"/>
          </w:rPr>
          <w:footnoteReference w:id="5"/>
        </w:r>
        <w:r>
          <w:rPr>
            <w:rStyle w:val="CharStyle5"/>
          </w:rPr>
          <w:t xml:space="preserve"> </w:t>
        </w:r>
      </w:hyperlink>
      <w:r>
        <w:rPr>
          <w:rStyle w:val="CharStyle5"/>
        </w:rPr>
        <w:t>wprowadzająca powyższą regulację zakłada również w art. 16, że do dnia 1 stycznia 2027 r. właściciel lub zarządca budynku wielolokalowego zastąpi ciepłomierze, podzielniki kosztów ogrzewania lub wodomierze do pomiaru ciepłej wody użytkowej zamontowane przed dniem wejścia w życie ustawy zmienianej w art. 3, w brzmieniu nadanym niniejszą ustawą, urządzeniami posiadającymi funkcję zdalnego odczytu.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Ustawodawca wskazał także w art. 45a ust. 7b Prawa energetycznego, że przy ocenie technicznej wykonalności i opłacalności wyposażenia budynków, grup lokali lub lokali w urządzenia, o których mowa między innymi w ust. 7a pkt 3 [wodomierze], bierze się pod uwagę w szczególności: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jednopunktowe doprowadzanie ciepła do lokali;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możliwość regulacji dostarczonego ciepła przez zawory na grzejnikach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rStyle w:val="CharStyle5"/>
        </w:rPr>
        <w:t>usytuowanych w lokalach;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korzystanie z węzłów umożliwiających zminimalizowanie strat ciepła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rStyle w:val="CharStyle5"/>
        </w:rPr>
        <w:t>wynikających z transportu nośnika zewnętrzną instalacją odbiorczą;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zakres termomodernizacji budynku;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koszty montażu i obsługi ciepłomierzy lub podzielników kosztów ogrzewania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40" w:right="0" w:firstLine="0"/>
        <w:jc w:val="both"/>
      </w:pPr>
      <w:r>
        <w:rPr>
          <w:rStyle w:val="CharStyle5"/>
        </w:rPr>
        <w:t>w stosunku do planowanych oszczędności energii.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720"/>
        <w:jc w:val="both"/>
      </w:pPr>
      <w:r>
        <w:rPr>
          <w:rStyle w:val="CharStyle5"/>
        </w:rPr>
        <w:t xml:space="preserve">Również wspomniana dyrektywa w Art. 15 pkt 1 co do opomiarowania podlicznikami i podział kosztów ogrzewania, chłodzenia i ciepłej wody użytkowej stanowi, że „W budynkach wielomieszkaniowych i wielofunkcyjnych z własnym źródłem centralnego ogrzewania lub centralnego chłodzenia lub zaopatrywanych z systemów ciepłowniczych lub chłodniczych instaluje się indywidualne liczniki do pomiaru zużycia energii cieplnej lub chłodniczej lub ciepłej wody użytkowej dla każdego modułu budynku, </w:t>
      </w:r>
      <w:r>
        <w:rPr>
          <w:rStyle w:val="CharStyle5"/>
          <w:b/>
          <w:bCs/>
        </w:rPr>
        <w:t>jeżeli jest to technicznie wykonalne i efektywne kosztowo, tzn. proporcjonalne do potencjalnych oszczędności energii</w:t>
      </w:r>
      <w:r>
        <w:rPr>
          <w:rStyle w:val="CharStyle5"/>
        </w:rPr>
        <w:t>”.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Znowelizowane Prawo energetyczne w art. 45d ust. 1 zawiera delegację dla ministra właściwego do spraw energii do określenia, w drodze rozporządzenia: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szczegółowe warunki ustalania technicznej możliwości i opłacalności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rStyle w:val="CharStyle5"/>
        </w:rPr>
        <w:t>zastosowania urządzeń, o których mowa w art. 45a ust. 7 pkt 2;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szczegółowe warunki wyboru metody, o której mowa w art. 45a ust. 9;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zakres informacji, o których mowa w art. 45c, zawartych w indywidualnych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rStyle w:val="CharStyle5"/>
        </w:rPr>
        <w:t>rozliczeniach,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przy czym minister ten, wydając takowe rozporządzenie, bierze pod uwagę (art. 45d ust. 2 Prawa energetycznego):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sposób doprowadzenia ciepła do budynku i do lokali, efektywność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rStyle w:val="CharStyle5"/>
        </w:rPr>
        <w:t>energetyczną budynku oraz efektywność kosztową zastosowania urządzeń, o których mowa w art. 45a ust. 7 pkt 2;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promowanie energooszczędnych zachowań, zapewnienie ustalania opłat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rStyle w:val="CharStyle5"/>
        </w:rPr>
        <w:t>za zakupione ciepło w sposób odpowiadający zużyciu ciepła na ogrzewanie i przygotowanie ciepłej wody użytkowej oraz uwzględnienie współczynników wyrównawczych zużycia ciepła na ogrzewanie, wynikających z położenia lokalu w bryle budynku;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rStyle w:val="CharStyle5"/>
        </w:rPr>
        <w:t>zakres informacji niezbędnych do dokonania indywidualnych rozliczeń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440" w:right="0" w:firstLine="0"/>
        <w:jc w:val="both"/>
      </w:pPr>
      <w:r>
        <w:rPr>
          <w:rStyle w:val="CharStyle5"/>
        </w:rPr>
        <w:t>oraz zapewnienia czytelności danych.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720"/>
        <w:jc w:val="both"/>
      </w:pPr>
      <w:r>
        <w:rPr>
          <w:rStyle w:val="CharStyle5"/>
        </w:rPr>
        <w:t>Niestety rozporządzenie wykonawcze Ministra Klimatu i Środowiska</w:t>
      </w:r>
      <w:hyperlink w:anchor="bookmark4" w:tooltip="Current Document">
        <w:r>
          <w:rPr>
            <w:rStyle w:val="CharStyle5"/>
          </w:rPr>
          <w:t xml:space="preserve"> </w:t>
        </w:r>
        <w:r>
          <w:rPr>
            <w:rStyle w:val="CharStyle5"/>
            <w:vertAlign w:val="superscript"/>
          </w:rPr>
          <w:footnoteReference w:id="6"/>
        </w:r>
        <w:r>
          <w:rPr>
            <w:rStyle w:val="CharStyle5"/>
          </w:rPr>
          <w:t xml:space="preserve"> ,</w:t>
        </w:r>
      </w:hyperlink>
      <w:r>
        <w:rPr>
          <w:rStyle w:val="CharStyle5"/>
        </w:rPr>
        <w:t xml:space="preserve"> wydane w oparciu o ww. art. 45d ust. 1 Prawa energetycznego, wprowadza w przepisach chaos interpretacyjny. Rozporządzenie zawiera sposób ustalenia opłacalności wymiany wodomierzy (§ 3 i § 6), jednakże zasad tych – wedle § 11 tego aktu – nie stosuje się w przypadku budynku wielolokalowego, który w dniu wejścia w życie rozporządzenia był wyposażony w wodomierze do pomiaru ciepłej wody użytkowej w poszczególnych lokalach, zarówno posiadające, jak i nieposiadające funkcji zdalnego odczytu.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720"/>
        <w:jc w:val="both"/>
      </w:pPr>
      <w:r>
        <w:rPr>
          <w:rStyle w:val="CharStyle5"/>
        </w:rPr>
        <w:t>Tak dyrektywa, jak i Prawo energetyczne, uzależniają obowiązek wymiany wodomierzy od kryterium technicznej wykonalności i efektywności kosztowej, tzn. proporcjonalnej do potencjalnych oszczędności energii. Jak zatem - w przypadku budynku wielolokalowego, który w dniu wejścia w życie rozporządzenia był wyposażony w wodomierze do pomiaru ciepłej wody użytkowej w poszczególnych lokalach - określić ustawowy warunek opłacalności wymiany wodomierzy na te z odczytem zdalnym? Należy zauważyć, że wodomierze do ciepłej wody występują niemal wyłącznie w budynkach wielolokalowych, stąd wyłączenie stosowania zasad określonych w § 3 i § 6 dla budynków wielolokalowych i jednocześnie brak określenia innych zasad (skoro nie tych) dla takich budynków, wydaje się niezrozumiały.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5"/>
        </w:rPr>
        <w:t xml:space="preserve">Spółdzielnie i wspólnoty mieszkaniowe często intepretują taką sytuację jako bezwarunkowy obowiązek stosowania w budynkach wielolokalowych, po 1 stycznie 2027, wodomierzy do ciepłej wody użytkowej ze zdalnym odczytem, jednak nie jest to zgodne z brzmieniem przywołanej Dyrektywy Parlamentu Europejskiego i Rady (UE) w sprawie efektywności energetycznej, a także Ustawą Prawo Energetyczne, bo w obydwu tych aktach podkreślany jest warunek technicznej wykonalności oraz </w:t>
      </w:r>
      <w:r>
        <w:rPr>
          <w:rStyle w:val="CharStyle5"/>
          <w:b/>
          <w:bCs/>
        </w:rPr>
        <w:t xml:space="preserve">opłacalności </w:t>
      </w:r>
      <w:r>
        <w:rPr>
          <w:rStyle w:val="CharStyle5"/>
        </w:rPr>
        <w:t>(efektywności kosztowej), który powinien zostać spełniony, aby zaistniał obowiązek stosowania wodomierzy do ciepłej wody użytkowej ze zdalnym odczytem.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5"/>
        </w:rPr>
        <w:t>Już powierzchowna analiza powołanych przepisów wskazuje na to, że zapisy wspomnianego rozporządzenia, w kwestii konieczności montażu wodomierzy do pomiaru ciepłej wody użytkowej ze zdalnym odczytem w budynkach wielolokalowych, interpretowane w ten sposób, że obowiązek stosowania wodomierzy do ciepłej wody użytkowej ze zdalnym odczytem jest bezwarunkowy, z uwagi na wspomniany § 11, wychodziłyby poza delegację ustawową, wynikającą z przepisów dyrektywy oraz implementującego ją Prawa energetycznego.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720"/>
        <w:jc w:val="both"/>
      </w:pPr>
      <w:r>
        <w:rPr>
          <w:rStyle w:val="CharStyle5"/>
        </w:rPr>
        <w:t>Choć nie sposób polemizować z zasadnością działań zmierzających do zwiększania efektywności energetycznej, to nie należy jednak stwarzać przymusu stosowania wodomierzy do pomiaru ciepłej wody użytkowej ze zdalnym odczytem w przypadkach, gdzie analiza, szczególnie analiza opłacalności nie wskazuje na to, aby mogło się to przyczynić do oszczędności energii, a dodatkowo będzie nieefektywne kosztowo. W takich przypadkach można nadal stosować konwencjonalne wodomierze do ciepłej wody użytkowej (spełniające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wszystkie wymogi formalne, jednak nie posiadające funkcji zdalnego odczytu), które z powodzeniem pozwalają na rozliczenie kosztów energii zużytej do podgrzania ciepłej wody użytkowej w takich budynkach.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5"/>
        </w:rPr>
        <w:t>Dodać należy, że powoływany wyżej art. 16 noweli Prawa energetycznego nie może stanowić samodzielnej podstawy obowiązku wymiany wodomierzy konwencjonalnych na te z odczytem zdalnym. Z uzasadnienia projektu nowel</w:t>
      </w:r>
      <w:hyperlink w:anchor="bookmark5" w:tooltip="Current Document">
        <w:r>
          <w:rPr>
            <w:rStyle w:val="CharStyle5"/>
          </w:rPr>
          <w:t>i</w:t>
        </w:r>
        <w:r>
          <w:rPr>
            <w:rStyle w:val="CharStyle5"/>
            <w:vertAlign w:val="superscript"/>
          </w:rPr>
          <w:footnoteReference w:id="7"/>
        </w:r>
        <w:r>
          <w:rPr>
            <w:rStyle w:val="CharStyle5"/>
          </w:rPr>
          <w:t xml:space="preserve"> </w:t>
        </w:r>
      </w:hyperlink>
      <w:r>
        <w:rPr>
          <w:rStyle w:val="CharStyle5"/>
        </w:rPr>
        <w:t>wynika, że art. 16 noweli jest jedynie terminem wykonania obowiązku materialnego, określonego w przepisach art. 45a ust. 7a i 7b Prawa energetycznego.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5"/>
        </w:rPr>
        <w:t>Dodać także należy, że z poruszonego niniejszą petycją § 11 ust. 2 rozporządzenia wykonawczego do art. 45d ust. 1 Prawa energetycznego nie wynika cel takiej regulacji. Kwestia ta – celu umieszczenia w rozporządzeniu § 11 – sygnalizowana była na etapie uzgodnień legislacyjnych. Rządowe Centrum Legislacji w wystąpieniu z dnia 01 grudnia 2021 rok</w:t>
      </w:r>
      <w:hyperlink w:anchor="bookmark6" w:tooltip="Current Document">
        <w:r>
          <w:rPr>
            <w:rStyle w:val="CharStyle5"/>
          </w:rPr>
          <w:t>u</w:t>
        </w:r>
        <w:r>
          <w:rPr>
            <w:rStyle w:val="CharStyle5"/>
            <w:vertAlign w:val="superscript"/>
          </w:rPr>
          <w:footnoteReference w:id="8"/>
        </w:r>
        <w:r>
          <w:rPr>
            <w:rStyle w:val="CharStyle5"/>
          </w:rPr>
          <w:t xml:space="preserve"> </w:t>
        </w:r>
      </w:hyperlink>
      <w:r>
        <w:rPr>
          <w:rStyle w:val="CharStyle5"/>
        </w:rPr>
        <w:t xml:space="preserve">wskazało, że "dodany w obecnej wersji projektu § 11 dotyczy, jak się wydaje, budynków wyposażonych w dniu wejścia w życie projektowanego rozporządzenia w urządzenia nieposiadające funkcji zdalnego odczytu – również zainstalowanych przed 22 maja 2021 r., tj. przed dniem wejścia w życie ustawy z dnia 20 kwietnia 2021 r. o zmianie ustawy o efektywności energetycznej oraz niektórych innych ustaw, których dotyczy określony w art. 16 tej ustawy obowiązek ich wymiany na urządzenia zdalne (do 1 stycznia 2027 r. Wobec wprowadzanego w projekcie wyłączenia brak będzie dla tych budynków regulacji określających warunki ustalania technicznej wykonalności i opłacalności wyposażenia w urządzenia z funkcją zdalnego odczytu (czyli dokonania takiej wymiany). </w:t>
      </w:r>
      <w:r>
        <w:rPr>
          <w:rStyle w:val="CharStyle5"/>
          <w:b/>
          <w:bCs/>
        </w:rPr>
        <w:t xml:space="preserve">Zamierzone skutki prawne tej regulacji nie zostały wyjaśnione w uzasadnieniu projektu </w:t>
      </w:r>
      <w:r>
        <w:rPr>
          <w:rStyle w:val="CharStyle5"/>
        </w:rPr>
        <w:t>– również w odniesieniu do budynków, w których takie urządzenia nieposiadające funkcji zdalnego odczytu zostałyby zainstalowane w okresie od 22 maja 2021 r. do dnia wejścia w życie projektowanego rozporządzenia.".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5"/>
        </w:rPr>
        <w:t>Zestawienie zatem powołanych powyżej norm (prawa unijnego, krajowego i rozporządzenia wykonawczego) prowadzi do sytuacji, w której nie wiadomo, czy w budynkach wielorodzinnych wyposażonych w konwencjonalne wodomierze ciepłej wody użytkowej należy dokonywać montażu liczników takich z funkcją odczytu mimo, że nie jest to opłacalne. Zastąpienie wodomierzy konwencjonalnych tymi z funkcją zdalnego odczytu nie prowadzi do oszczędności energii zużywanej do podgrzania ciepłej wody użytkowej, skoro koszty jej podgrzania są już rozliczane w oparciu o zużycie wody na podstawie wskazań wodomierzy konwencjonalnych. Również trudno mówić o opłacalności finansowej takiej wymiany w małych spółdzielniach i wspólnotach mieszkaniowych - dotychczasowe koszty odczytów wodomierzy konwencjonalnych są mniejsze niż nakład środków na wymianę liczników z funkcją zdalnego odczytu. Ten finansowy aspekt opłacalności może się ziścić w dużych spółdzielniach mieszkaniowych, gdzie każdorazowa potrzeba odczytu liczników dotyczy setek lub nawet tysięcy lokali.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40"/>
        <w:jc w:val="both"/>
      </w:pPr>
      <w:r>
        <w:rPr>
          <w:rStyle w:val="CharStyle5"/>
        </w:rPr>
        <w:t>Omawiany § 11 rozporządzenia nie określa celu wyłączenia ze stosowania §§ 3 i 6 wobec budynków z zamontowanymi już wodomierzami (konwencjonalnymi, jak i tymi z funkcją zdalnego odczytu). To zaś rodzi wątpliwości w jaki sposób właściciele lub zarządcy budynków takich mają określić warunek opłacalności (nawet rozumiany szeroko, jako opłacalność energetyczną, ale także finansową związaną z obsługą wodomierzy). Innymi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słowy, czy w świetle obowiązujących, przywołanych wyżej przepisów, w szczególności art. 16 oraz art. 45a ust. 7a, 7b Ustawy Prawo Energetyczne w zestawieniu z § 11 ust. 2 rozporządzenia, obowiązek wyposażenia lokali mieszkalnych, w budynkach wielolokalowych, w wodomierze do pomiaru ciepłej wody użytkowej z funkcją zdalnego odczytu, obejmuje także przypadki, w których analiza technicznej wykonalności i opłacalności wskazuje na to, że o ile ich zastosowanie jest w danym przypadku technicznie wykonalne, to jednak nie jest opłacalne, a dodatkowo nie przyczyni się do oszczędności energii? Czy może jednak w takich przypadkach nadal dopuszczalne będzie stosowanie konwencjonalnych wodomierzy do pomiaru ciepłej wody użytkowej dla poszczególnych lokali mieszkalnych.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720"/>
        <w:jc w:val="both"/>
      </w:pPr>
      <w:r>
        <w:rPr>
          <w:rStyle w:val="CharStyle5"/>
        </w:rPr>
        <w:t>Żądana niniejszą petycją zmiana przepisów wspomnianego rozporządzenia pozwoli na jednoznaczny odczyt tego aktu wykonawczego w omawianym zakresie.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rStyle w:val="CharStyle5"/>
        </w:rPr>
        <w:t>Mając na uwadze powyższe, zważywszy że problem wymiany wodomierzy w opisanych okolicznościach dotyczy w skali Kraju znacznej rzeszy osób zamieszkujących w zasobach spółdzielni mieszkaniowych lub wspólnot mieszkaniowych, petycja niniejsza wydaje się być uzasadniona i konieczna. Będę jednocześnie wdzięczny za jej rozważenie i podjęcie zmiany legislacyjnej rozporządzenia wykonawczego do art. 45d ust. 1 Prawa energetycznego w zakresie omówionym niniejszą petycją.</w:t>
      </w:r>
    </w:p>
    <w:sectPr>
      <w:footerReference w:type="default" r:id="rId5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1412" w:right="1358" w:bottom="1188" w:left="1368" w:header="98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3502660</wp:posOffset>
              </wp:positionH>
              <wp:positionV relativeFrom="page">
                <wp:posOffset>10125710</wp:posOffset>
              </wp:positionV>
              <wp:extent cx="533400" cy="793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40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7"/>
                              <w:sz w:val="18"/>
                              <w:szCs w:val="18"/>
                            </w:rPr>
                            <w:t xml:space="preserve">Strona </w:t>
                          </w:r>
                          <w:fldSimple w:instr=" PAGE \* MERGEFORMAT ">
                            <w:r>
                              <w:rPr>
                                <w:rStyle w:val="CharStyle7"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7"/>
                              <w:sz w:val="18"/>
                              <w:szCs w:val="18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80000000000001pt;margin-top:797.30000000000007pt;width:42.pt;height:6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7"/>
                        <w:sz w:val="18"/>
                        <w:szCs w:val="18"/>
                      </w:rPr>
                      <w:t xml:space="preserve">Strona </w:t>
                    </w:r>
                    <w:fldSimple w:instr=" PAGE \* MERGEFORMAT ">
                      <w:r>
                        <w:rPr>
                          <w:rStyle w:val="CharStyle7"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7"/>
                        <w:sz w:val="18"/>
                        <w:szCs w:val="18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tekst jednolity Dz. U. z 2018 roku, poz. 870</w:t>
      </w:r>
      <w:bookmarkEnd w:id="0"/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bookmarkStart w:id="2" w:name="bookmark2"/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dyrektywa Parlamentu Europejskiego i Rady (UE) 2018/2002 z dnia 11 grudnia 2018 r. zmieniającej dyrektywę 2012/27/UE w sprawie efektywności energetycznej (Dz. Urz. UE L 328 z 21.12.2018, str. 210)</w:t>
      </w:r>
      <w:bookmarkEnd w:id="1"/>
      <w:bookmarkEnd w:id="2"/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ustawa z dnia 10 kwietnia 1997 roku – Prawo energetyczne (t.j. Dz. U. z 2024r., poz. 266)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" w:name="bookmark3"/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art. 3 ustawy z dnia 20 kwietnia 2021 roku o zmianie ustawy o efektywności energetycznej oraz niektórych innych ustaw (Dz. U. z 2021r., poz. 868)</w:t>
      </w:r>
      <w:bookmarkEnd w:id="3"/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" w:name="bookmark4"/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rozporządzenie Ministra Klimatu i Środowiska z dnia 7 grudnia 2021 roku w sprawie warunków ustalania technicznej możliwości i opłacalności zastosowania ciepłomierzy, podzielników kosztów ogrzewania oraz wodomierzy do pomiaru ciepłej wody użytkowej, warunków wyboru metody rozliczania kosztów zakupu ciepła oraz zakresu informacji zawartych w indywidualnych rozliczeniach (Dz. U. z 2021r., poz. 2273)</w:t>
      </w:r>
      <w:bookmarkEnd w:id="4"/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" w:name="bookmark5"/>
      <w:bookmarkStart w:id="6" w:name="bookmark6"/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</w:t>
      </w:r>
      <w:r>
        <w:fldChar w:fldCharType="begin"/>
      </w:r>
      <w:r>
        <w:rPr/>
        <w:instrText> HYPERLINK "https://www.sejm.gov.pl/Sejm9.nsf/druk.xsp?nr=957" </w:instrText>
      </w:r>
      <w:r>
        <w:fldChar w:fldCharType="separate"/>
      </w:r>
      <w:r>
        <w:rPr>
          <w:rStyle w:val="CharStyle3"/>
        </w:rPr>
        <w:t>https://www.sejm.gov.pl/Sejm9.nsf/druk.xsp?nr=957</w:t>
      </w:r>
      <w:bookmarkEnd w:id="5"/>
      <w:bookmarkEnd w:id="6"/>
      <w:r>
        <w:fldChar w:fldCharType="end"/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</w:t>
      </w:r>
      <w:r>
        <w:fldChar w:fldCharType="begin"/>
      </w:r>
      <w:r>
        <w:rPr/>
        <w:instrText> HYPERLINK "https://legislacja.rcl.gov.pl/projekt/12351001/katalog/12813687%2312813687" </w:instrText>
      </w:r>
      <w:r>
        <w:fldChar w:fldCharType="separate"/>
      </w:r>
      <w:r>
        <w:rPr>
          <w:rStyle w:val="CharStyle3"/>
        </w:rPr>
        <w:t>https://legislacja.rcl.gov.pl/projekt/12351001/katalog/12813687#12813687</w:t>
      </w:r>
      <w:r>
        <w:fldChar w:fldCharType="end"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Stopka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Tekst treści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główek lub stopka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auto"/>
      <w:spacing w:after="140"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główek lub stopka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Uprzejmie proszę o złożenie interpelacji do Ministra Klimatu i Środowiska, w sprawie wyjaśnienia wątpliwości interpretacyjnych dot</dc:title>
  <dc:subject/>
  <dc:creator>Piotr Urbański</dc:creator>
  <cp:keywords/>
</cp:coreProperties>
</file>