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13B49" w14:textId="63DC9AF4" w:rsidR="003E4537" w:rsidRDefault="00EC57A3" w:rsidP="00EC57A3">
      <w:pPr>
        <w:pStyle w:val="Teksttreci30"/>
      </w:pPr>
      <w:r>
        <w:rPr>
          <w:noProof/>
        </w:rPr>
        <w:drawing>
          <wp:anchor distT="0" distB="423545" distL="120650" distR="2275205" simplePos="0" relativeHeight="125829378" behindDoc="0" locked="0" layoutInCell="1" allowOverlap="1" wp14:anchorId="7A48D0D7" wp14:editId="5680BE57">
            <wp:simplePos x="0" y="0"/>
            <wp:positionH relativeFrom="page">
              <wp:posOffset>1395095</wp:posOffset>
            </wp:positionH>
            <wp:positionV relativeFrom="paragraph">
              <wp:posOffset>12700</wp:posOffset>
            </wp:positionV>
            <wp:extent cx="694690" cy="38989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94690" cy="38989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41301B9" wp14:editId="0835E230">
                <wp:simplePos x="0" y="0"/>
                <wp:positionH relativeFrom="page">
                  <wp:posOffset>1388745</wp:posOffset>
                </wp:positionH>
                <wp:positionV relativeFrom="paragraph">
                  <wp:posOffset>390525</wp:posOffset>
                </wp:positionV>
                <wp:extent cx="999490" cy="435610"/>
                <wp:effectExtent l="0" t="0" r="0" b="0"/>
                <wp:wrapNone/>
                <wp:docPr id="3" name="Shape 3"/>
                <wp:cNvGraphicFramePr/>
                <a:graphic xmlns:a="http://schemas.openxmlformats.org/drawingml/2006/main">
                  <a:graphicData uri="http://schemas.microsoft.com/office/word/2010/wordprocessingShape">
                    <wps:wsp>
                      <wps:cNvSpPr txBox="1"/>
                      <wps:spPr>
                        <a:xfrm>
                          <a:off x="0" y="0"/>
                          <a:ext cx="999490" cy="435610"/>
                        </a:xfrm>
                        <a:prstGeom prst="rect">
                          <a:avLst/>
                        </a:prstGeom>
                        <a:noFill/>
                      </wps:spPr>
                      <wps:txbx>
                        <w:txbxContent>
                          <w:p w14:paraId="203BFF6F" w14:textId="77777777" w:rsidR="003E4537" w:rsidRDefault="00EC57A3">
                            <w:pPr>
                              <w:pStyle w:val="Podpisobrazu0"/>
                            </w:pPr>
                            <w:r>
                              <w:rPr>
                                <w:rStyle w:val="Podpisobrazu"/>
                                <w:b/>
                                <w:bCs/>
                              </w:rPr>
                              <w:t>RPW/81209/2024 P Data:2024-10-07</w:t>
                            </w:r>
                          </w:p>
                          <w:p w14:paraId="38C30D1B" w14:textId="77777777" w:rsidR="003E4537" w:rsidRDefault="00EC57A3">
                            <w:pPr>
                              <w:pStyle w:val="Podpisobrazu0"/>
                            </w:pPr>
                            <w:r>
                              <w:rPr>
                                <w:rStyle w:val="Podpisobrazu"/>
                                <w:b/>
                                <w:bCs/>
                              </w:rPr>
                              <w:t>MK1S</w:t>
                            </w:r>
                          </w:p>
                        </w:txbxContent>
                      </wps:txbx>
                      <wps:bodyPr lIns="0" tIns="0" rIns="0" bIns="0"/>
                    </wps:wsp>
                  </a:graphicData>
                </a:graphic>
              </wp:anchor>
            </w:drawing>
          </mc:Choice>
          <mc:Fallback>
            <w:pict>
              <v:shapetype w14:anchorId="241301B9" id="_x0000_t202" coordsize="21600,21600" o:spt="202" path="m,l,21600r21600,l21600,xe">
                <v:stroke joinstyle="miter"/>
                <v:path gradientshapeok="t" o:connecttype="rect"/>
              </v:shapetype>
              <v:shape id="Shape 3" o:spid="_x0000_s1026" type="#_x0000_t202" style="position:absolute;left:0;text-align:left;margin-left:109.35pt;margin-top:30.75pt;width:78.7pt;height:34.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" filled="f" stroked="f">
                <v:textbox inset="0,0,0,0">
                  <w:txbxContent>
                    <w:p w14:paraId="203BFF6F" w14:textId="77777777" w:rsidR="003E4537" w:rsidRDefault="00EC57A3">
                      <w:pPr>
                        <w:pStyle w:val="Podpisobrazu0"/>
                      </w:pPr>
                      <w:r>
                        <w:rPr>
                          <w:rStyle w:val="Podpisobrazu"/>
                          <w:b/>
                          <w:bCs/>
                        </w:rPr>
                        <w:t>RPW/81209/2024 P Data:2024-10-07</w:t>
                      </w:r>
                    </w:p>
                    <w:p w14:paraId="38C30D1B" w14:textId="77777777" w:rsidR="003E4537" w:rsidRDefault="00EC57A3">
                      <w:pPr>
                        <w:pStyle w:val="Podpisobrazu0"/>
                      </w:pPr>
                      <w:r>
                        <w:rPr>
                          <w:rStyle w:val="Podpisobrazu"/>
                          <w:b/>
                          <w:bCs/>
                        </w:rPr>
                        <w:t>MK1S</w:t>
                      </w:r>
                    </w:p>
                  </w:txbxContent>
                </v:textbox>
                <w10:wrap anchorx="page"/>
              </v:shape>
            </w:pict>
          </mc:Fallback>
        </mc:AlternateContent>
      </w:r>
      <w:r>
        <w:rPr>
          <w:noProof/>
        </w:rPr>
        <w:drawing>
          <wp:anchor distT="8890" distB="497205" distL="2339340" distR="388620" simplePos="0" relativeHeight="125829379" behindDoc="0" locked="0" layoutInCell="1" allowOverlap="1" wp14:anchorId="163305F6" wp14:editId="3E785C86">
            <wp:simplePos x="0" y="0"/>
            <wp:positionH relativeFrom="page">
              <wp:posOffset>3613785</wp:posOffset>
            </wp:positionH>
            <wp:positionV relativeFrom="paragraph">
              <wp:posOffset>21590</wp:posOffset>
            </wp:positionV>
            <wp:extent cx="365760" cy="311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365760" cy="311150"/>
                    </a:xfrm>
                    <a:prstGeom prst="rect">
                      <a:avLst/>
                    </a:prstGeom>
                  </pic:spPr>
                </pic:pic>
              </a:graphicData>
            </a:graphic>
          </wp:anchor>
        </w:drawing>
      </w:r>
      <w:r>
        <w:rPr>
          <w:noProof/>
        </w:rPr>
        <mc:AlternateContent>
          <mc:Choice Requires="wps">
            <w:drawing>
              <wp:anchor distT="328930" distB="210820" distL="2239010" distR="113665" simplePos="0" relativeHeight="125829380" behindDoc="0" locked="0" layoutInCell="1" allowOverlap="1" wp14:anchorId="2A825653" wp14:editId="6536793B">
                <wp:simplePos x="0" y="0"/>
                <wp:positionH relativeFrom="page">
                  <wp:posOffset>3513455</wp:posOffset>
                </wp:positionH>
                <wp:positionV relativeFrom="paragraph">
                  <wp:posOffset>341630</wp:posOffset>
                </wp:positionV>
                <wp:extent cx="737870" cy="27432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737870" cy="274320"/>
                        </a:xfrm>
                        <a:prstGeom prst="rect">
                          <a:avLst/>
                        </a:prstGeom>
                        <a:noFill/>
                      </wps:spPr>
                      <wps:txbx>
                        <w:txbxContent>
                          <w:p w14:paraId="37165734" w14:textId="77777777" w:rsidR="003E4537" w:rsidRDefault="00EC57A3">
                            <w:pPr>
                              <w:pStyle w:val="Teksttreci40"/>
                            </w:pPr>
                            <w:r>
                              <w:rPr>
                                <w:rStyle w:val="Teksttreci4"/>
                                <w:b/>
                                <w:bCs/>
                              </w:rPr>
                              <w:t>ORLEN</w:t>
                            </w:r>
                          </w:p>
                        </w:txbxContent>
                      </wps:txbx>
                      <wps:bodyPr wrap="none" lIns="0" tIns="0" rIns="0" bIns="0"/>
                    </wps:wsp>
                  </a:graphicData>
                </a:graphic>
              </wp:anchor>
            </w:drawing>
          </mc:Choice>
          <mc:Fallback>
            <w:pict>
              <v:shape w14:anchorId="2A825653" id="Shape 7" o:spid="_x0000_s1027" type="#_x0000_t202" style="position:absolute;left:0;text-align:left;margin-left:276.65pt;margin-top:26.9pt;width:58.1pt;height:21.6pt;z-index:125829380;visibility:visible;mso-wrap-style:none;mso-wrap-distance-left:176.3pt;mso-wrap-distance-top:25.9pt;mso-wrap-distance-right:8.95pt;mso-wrap-distance-bottom:1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" filled="f" stroked="f">
                <v:textbox inset="0,0,0,0">
                  <w:txbxContent>
                    <w:p w14:paraId="37165734" w14:textId="77777777" w:rsidR="003E4537" w:rsidRDefault="00EC57A3">
                      <w:pPr>
                        <w:pStyle w:val="Teksttreci40"/>
                      </w:pPr>
                      <w:r>
                        <w:rPr>
                          <w:rStyle w:val="Teksttreci4"/>
                          <w:b/>
                          <w:bCs/>
                        </w:rPr>
                        <w:t>ORLEN</w:t>
                      </w:r>
                    </w:p>
                  </w:txbxContent>
                </v:textbox>
                <w10:wrap type="square" side="right" anchorx="page"/>
              </v:shape>
            </w:pict>
          </mc:Fallback>
        </mc:AlternateContent>
      </w:r>
    </w:p>
    <w:p w14:paraId="3D4C20A2" w14:textId="77777777" w:rsidR="003E4537" w:rsidRDefault="00EC57A3">
      <w:pPr>
        <w:pStyle w:val="Teksttreci0"/>
        <w:spacing w:after="2000" w:line="240" w:lineRule="auto"/>
        <w:ind w:right="380"/>
        <w:jc w:val="right"/>
      </w:pPr>
      <w:r>
        <w:rPr>
          <w:rStyle w:val="Teksttreci"/>
        </w:rPr>
        <w:t>W</w:t>
      </w:r>
      <w:r>
        <w:rPr>
          <w:rStyle w:val="Teksttreci"/>
        </w:rPr>
        <w:t>arszawa, dnia 3 października 2024 roku</w:t>
      </w:r>
    </w:p>
    <w:p w14:paraId="2C8CBAC6" w14:textId="77777777" w:rsidR="003E4537" w:rsidRDefault="00EC57A3">
      <w:pPr>
        <w:pStyle w:val="Teksttreci0"/>
        <w:spacing w:after="0" w:line="403" w:lineRule="auto"/>
        <w:ind w:left="5680"/>
        <w:jc w:val="both"/>
        <w:rPr>
          <w:sz w:val="18"/>
          <w:szCs w:val="18"/>
        </w:rPr>
      </w:pPr>
      <w:r>
        <w:rPr>
          <w:rStyle w:val="Teksttreci"/>
          <w:b/>
          <w:bCs/>
          <w:sz w:val="18"/>
          <w:szCs w:val="18"/>
        </w:rPr>
        <w:t>Ministerstwo Klimatu i Środowiska</w:t>
      </w:r>
    </w:p>
    <w:p w14:paraId="2DE60231" w14:textId="77777777" w:rsidR="003E4537" w:rsidRDefault="00EC57A3">
      <w:pPr>
        <w:pStyle w:val="Teksttreci0"/>
        <w:spacing w:after="0"/>
        <w:ind w:left="5680"/>
        <w:jc w:val="both"/>
      </w:pPr>
      <w:r>
        <w:rPr>
          <w:rStyle w:val="Teksttreci"/>
          <w:u w:val="single"/>
        </w:rPr>
        <w:t>ul. Wawelska 52/54</w:t>
      </w:r>
    </w:p>
    <w:p w14:paraId="6BEED77B" w14:textId="77777777" w:rsidR="003E4537" w:rsidRDefault="00EC57A3">
      <w:pPr>
        <w:pStyle w:val="Teksttreci0"/>
        <w:spacing w:after="700"/>
        <w:ind w:left="5680"/>
        <w:jc w:val="both"/>
      </w:pPr>
      <w:r>
        <w:rPr>
          <w:rStyle w:val="Teksttreci"/>
          <w:u w:val="single"/>
        </w:rPr>
        <w:t>00-922 Warszawa</w:t>
      </w:r>
    </w:p>
    <w:p w14:paraId="44CD870A" w14:textId="77777777" w:rsidR="003E4537" w:rsidRDefault="00EC57A3">
      <w:pPr>
        <w:pStyle w:val="Teksttreci0"/>
        <w:spacing w:after="480" w:line="406" w:lineRule="auto"/>
        <w:jc w:val="both"/>
        <w:rPr>
          <w:sz w:val="18"/>
          <w:szCs w:val="18"/>
        </w:rPr>
      </w:pPr>
      <w:r>
        <w:rPr>
          <w:rStyle w:val="Teksttreci"/>
          <w:b/>
          <w:bCs/>
          <w:sz w:val="18"/>
          <w:szCs w:val="18"/>
        </w:rPr>
        <w:t xml:space="preserve">Dotyczy: Stanowiska ORLEN S.A. w </w:t>
      </w:r>
      <w:r>
        <w:rPr>
          <w:rStyle w:val="Teksttreci"/>
          <w:b/>
          <w:bCs/>
          <w:sz w:val="18"/>
          <w:szCs w:val="18"/>
        </w:rPr>
        <w:t>zakresie postulatów dotyczących statusu prawnego odpadu destruktu asfaltowego.</w:t>
      </w:r>
    </w:p>
    <w:p w14:paraId="1BC26021" w14:textId="77777777" w:rsidR="003E4537" w:rsidRDefault="00EC57A3">
      <w:pPr>
        <w:pStyle w:val="Teksttreci0"/>
        <w:spacing w:line="379" w:lineRule="auto"/>
        <w:jc w:val="both"/>
      </w:pPr>
      <w:r>
        <w:rPr>
          <w:rStyle w:val="Teksttreci"/>
        </w:rPr>
        <w:t>W nawiązaniu do spotkania, które odbyło się 24 września 2024 r. pomiędzy przedstawicielami Departamentu Gospodarki Opadami Ministerstwa Klimatu i Środowiska a przedstawicielami ORLEN S.A., kierujemy niniejsze pismo z postulatami dotyczącymi statusu prawnego odpadu destruktu asfaltowego</w:t>
      </w:r>
      <w:r>
        <w:rPr>
          <w:rStyle w:val="Teksttreci"/>
          <w:vertAlign w:val="superscript"/>
        </w:rPr>
        <w:footnoteReference w:id="1"/>
      </w:r>
      <w:r>
        <w:rPr>
          <w:rStyle w:val="Teksttreci"/>
        </w:rPr>
        <w:t>.</w:t>
      </w:r>
    </w:p>
    <w:p w14:paraId="0AEE8F22" w14:textId="77777777" w:rsidR="003E4537" w:rsidRDefault="00EC57A3">
      <w:pPr>
        <w:pStyle w:val="Teksttreci0"/>
        <w:jc w:val="both"/>
      </w:pPr>
      <w:r>
        <w:rPr>
          <w:rStyle w:val="Teksttreci"/>
        </w:rPr>
        <w:t xml:space="preserve">W listopadzie oraz grudniu 2021 r. w odpowiedzi na zgłaszaną przez branżę budownictwa drogowego potrzebę doregulowania statusu destruktu asfaltowego Minister Klimatu i Środowiska </w:t>
      </w:r>
      <w:r>
        <w:rPr>
          <w:rStyle w:val="Teksttreci"/>
          <w:b/>
          <w:bCs/>
          <w:sz w:val="18"/>
          <w:szCs w:val="18"/>
        </w:rPr>
        <w:t>(„</w:t>
      </w:r>
      <w:proofErr w:type="spellStart"/>
      <w:r>
        <w:rPr>
          <w:rStyle w:val="Teksttreci"/>
          <w:b/>
          <w:bCs/>
          <w:sz w:val="18"/>
          <w:szCs w:val="18"/>
        </w:rPr>
        <w:t>MKiŚ</w:t>
      </w:r>
      <w:proofErr w:type="spellEnd"/>
      <w:r>
        <w:rPr>
          <w:rStyle w:val="Teksttreci"/>
          <w:b/>
          <w:bCs/>
          <w:sz w:val="18"/>
          <w:szCs w:val="18"/>
        </w:rPr>
        <w:t xml:space="preserve">”) </w:t>
      </w:r>
      <w:r>
        <w:rPr>
          <w:rStyle w:val="Teksttreci"/>
        </w:rPr>
        <w:t xml:space="preserve">wydał Rozporządzenie w sprawie określenia szczegółowych warunków utraty statusu odpadów dla odpadów destruktu </w:t>
      </w:r>
      <w:r>
        <w:rPr>
          <w:rStyle w:val="Teksttreci"/>
          <w:b/>
          <w:bCs/>
          <w:sz w:val="18"/>
          <w:szCs w:val="18"/>
        </w:rPr>
        <w:t xml:space="preserve">(„Rozporządzenie </w:t>
      </w:r>
      <w:proofErr w:type="spellStart"/>
      <w:r>
        <w:rPr>
          <w:rStyle w:val="Teksttreci"/>
          <w:b/>
          <w:bCs/>
          <w:sz w:val="18"/>
          <w:szCs w:val="18"/>
        </w:rPr>
        <w:t>ws</w:t>
      </w:r>
      <w:proofErr w:type="spellEnd"/>
      <w:r>
        <w:rPr>
          <w:rStyle w:val="Teksttreci"/>
          <w:b/>
          <w:bCs/>
          <w:sz w:val="18"/>
          <w:szCs w:val="18"/>
        </w:rPr>
        <w:t xml:space="preserve">. destruktu asfaltowego”). </w:t>
      </w:r>
      <w:r>
        <w:rPr>
          <w:rStyle w:val="Teksttreci"/>
        </w:rPr>
        <w:t xml:space="preserve">Rozporządzenie w myśl zapowiedzi </w:t>
      </w:r>
      <w:proofErr w:type="spellStart"/>
      <w:r>
        <w:rPr>
          <w:rStyle w:val="Teksttreci"/>
        </w:rPr>
        <w:t>MKiŚ</w:t>
      </w:r>
      <w:proofErr w:type="spellEnd"/>
      <w:r>
        <w:rPr>
          <w:rStyle w:val="Teksttreci"/>
        </w:rPr>
        <w:t xml:space="preserve"> miało spowodować legalizację destruktu asfaltowego jako materiału budowlanego, co z kolei miało skutkować oszczędnościami branży w wysokości ok. 400 min zł</w:t>
      </w:r>
      <w:r>
        <w:rPr>
          <w:rStyle w:val="Teksttreci"/>
          <w:vertAlign w:val="superscript"/>
        </w:rPr>
        <w:footnoteReference w:id="2"/>
      </w:r>
      <w:r>
        <w:rPr>
          <w:rStyle w:val="Teksttreci"/>
        </w:rPr>
        <w:t xml:space="preserve">. Niestety, pomimo zawarcia w Rozporządzeniu </w:t>
      </w:r>
      <w:proofErr w:type="spellStart"/>
      <w:r>
        <w:rPr>
          <w:rStyle w:val="Teksttreci"/>
        </w:rPr>
        <w:t>ws</w:t>
      </w:r>
      <w:proofErr w:type="spellEnd"/>
      <w:r>
        <w:rPr>
          <w:rStyle w:val="Teksttreci"/>
        </w:rPr>
        <w:t>. destruktu asfaltowego procedury utraty statusu odpadu wciąż potencjał tego materiału budowlanego nie jest w pełni wykorzystywany, dlatego zwracamy się z wnioskiem o dodatkowe działania legislacyjne w tym zakresie.</w:t>
      </w:r>
    </w:p>
    <w:p w14:paraId="7CF5C737" w14:textId="77777777" w:rsidR="003E4537" w:rsidRDefault="00EC57A3">
      <w:pPr>
        <w:pStyle w:val="Teksttreci0"/>
        <w:spacing w:after="0" w:line="379" w:lineRule="auto"/>
        <w:jc w:val="both"/>
        <w:sectPr w:rsidR="003E4537">
          <w:pgSz w:w="11900" w:h="16840"/>
          <w:pgMar w:top="937" w:right="1035" w:bottom="411" w:left="1400" w:header="509" w:footer="3" w:gutter="0"/>
          <w:pgNumType w:start="1"/>
          <w:cols w:space="720"/>
          <w:noEndnote/>
          <w:docGrid w:linePitch="360"/>
          <w15:footnoteColumns w:val="1"/>
        </w:sectPr>
      </w:pPr>
      <w:r>
        <w:rPr>
          <w:rStyle w:val="Teksttreci"/>
        </w:rPr>
        <w:t xml:space="preserve">Jednocześnie zwracamy uwagę, że ponowne wykorzystanie destruktu </w:t>
      </w:r>
      <w:r>
        <w:rPr>
          <w:rStyle w:val="Teksttreci"/>
        </w:rPr>
        <w:t>asfaltowego wpisuje się w koncepcję gospodarki obiegu zamkniętego. Realizacja tej koncepcji jest jednym z filarów unijnego Zielonego Ładu. Przechodzenie na procesy produkcyjne i konsumpcyjne o obiegu zamkniętym ma kluczowe znaczenie dla osiągnięcia przez UE neutralności klimatycznej do 2050 r. Koncepcja gospodarki o obiegu zamkniętym została również przyjęta przez Radę Ministrów w dniu 10 września 2019 r. w uchwale</w:t>
      </w:r>
    </w:p>
    <w:p w14:paraId="7BE88E33" w14:textId="77777777" w:rsidR="003E4537" w:rsidRDefault="00EC57A3">
      <w:pPr>
        <w:spacing w:line="1" w:lineRule="exact"/>
      </w:pPr>
      <w:r>
        <w:rPr>
          <w:noProof/>
        </w:rPr>
        <w:lastRenderedPageBreak/>
        <mc:AlternateContent>
          <mc:Choice Requires="wps">
            <w:drawing>
              <wp:anchor distT="0" distB="0" distL="114300" distR="114300" simplePos="0" relativeHeight="2" behindDoc="1" locked="0" layoutInCell="1" allowOverlap="1" wp14:anchorId="75D5A66B" wp14:editId="205E5CD8">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14:paraId="23A4393C" w14:textId="77777777" w:rsidR="003E4537" w:rsidRDefault="00EC57A3">
      <w:pPr>
        <w:pStyle w:val="Teksttreci0"/>
        <w:spacing w:after="660" w:line="377" w:lineRule="auto"/>
        <w:jc w:val="both"/>
      </w:pPr>
      <w:r>
        <w:rPr>
          <w:rStyle w:val="Teksttreci"/>
          <w:color w:val="212121"/>
        </w:rPr>
        <w:t>w sprawie przyjęcia „Mapy drogowej transformacji w kierunku gospodarki o obiegu zamkniętym”, stanowiąc jeden z projektów strategicznych Strategii na rzecz Odpowiedzialnego Rozwoju, wpisuje się w całościową wizję rozwoju kraju.</w:t>
      </w:r>
    </w:p>
    <w:p w14:paraId="6E346C44" w14:textId="77777777" w:rsidR="003E4537" w:rsidRDefault="00EC57A3">
      <w:pPr>
        <w:pStyle w:val="Teksttreci0"/>
        <w:numPr>
          <w:ilvl w:val="0"/>
          <w:numId w:val="1"/>
        </w:numPr>
        <w:tabs>
          <w:tab w:val="left" w:pos="762"/>
        </w:tabs>
        <w:spacing w:after="660" w:line="403" w:lineRule="auto"/>
        <w:ind w:firstLine="380"/>
        <w:jc w:val="both"/>
        <w:rPr>
          <w:sz w:val="18"/>
          <w:szCs w:val="18"/>
        </w:rPr>
      </w:pPr>
      <w:r>
        <w:rPr>
          <w:rStyle w:val="Teksttreci"/>
          <w:b/>
          <w:bCs/>
          <w:color w:val="212121"/>
          <w:sz w:val="18"/>
          <w:szCs w:val="18"/>
        </w:rPr>
        <w:t>Destrukt asfaltowy jako pełnowartościowy materiał, nie odpad</w:t>
      </w:r>
    </w:p>
    <w:p w14:paraId="6C2A52C1" w14:textId="77777777" w:rsidR="003E4537" w:rsidRDefault="00EC57A3">
      <w:pPr>
        <w:pStyle w:val="Teksttreci0"/>
        <w:spacing w:after="140" w:line="386" w:lineRule="auto"/>
        <w:jc w:val="both"/>
      </w:pPr>
      <w:r>
        <w:rPr>
          <w:rStyle w:val="Teksttreci"/>
          <w:color w:val="212121"/>
        </w:rPr>
        <w:t xml:space="preserve">W pierwszej kolejności pragniemy zwrócić uwagę, że </w:t>
      </w:r>
      <w:r>
        <w:rPr>
          <w:rStyle w:val="Teksttreci"/>
          <w:b/>
          <w:bCs/>
          <w:color w:val="212121"/>
          <w:sz w:val="18"/>
          <w:szCs w:val="18"/>
        </w:rPr>
        <w:t xml:space="preserve">destrukt asfaltowy </w:t>
      </w:r>
      <w:r>
        <w:rPr>
          <w:rStyle w:val="Teksttreci"/>
          <w:color w:val="212121"/>
        </w:rPr>
        <w:t xml:space="preserve">(co do którego jest pewność, że nie zawiera smoły) powinien być traktowany jako pełnowartościowy materiał, d </w:t>
      </w:r>
      <w:proofErr w:type="spellStart"/>
      <w:r>
        <w:rPr>
          <w:rStyle w:val="Teksttreci"/>
          <w:color w:val="212121"/>
        </w:rPr>
        <w:t>atego</w:t>
      </w:r>
      <w:proofErr w:type="spellEnd"/>
      <w:r>
        <w:rPr>
          <w:rStyle w:val="Teksttreci"/>
          <w:color w:val="212121"/>
        </w:rPr>
        <w:t xml:space="preserve"> w naszej ocenie </w:t>
      </w:r>
      <w:r>
        <w:rPr>
          <w:rStyle w:val="Teksttreci"/>
          <w:b/>
          <w:bCs/>
          <w:color w:val="212121"/>
          <w:sz w:val="18"/>
          <w:szCs w:val="18"/>
        </w:rPr>
        <w:t xml:space="preserve">w ogóle nie powinien stawać się odpadem. </w:t>
      </w:r>
      <w:r>
        <w:rPr>
          <w:rStyle w:val="Teksttreci"/>
          <w:color w:val="212121"/>
        </w:rPr>
        <w:t>Byłby to jednocześnie najbardziej pożądany sposób postępowania z odpadami zgodnie z hierarchią zawartą w Ustawie o odpadach</w:t>
      </w:r>
      <w:r>
        <w:rPr>
          <w:rStyle w:val="Teksttreci"/>
          <w:color w:val="212121"/>
          <w:vertAlign w:val="superscript"/>
        </w:rPr>
        <w:footnoteReference w:id="3"/>
      </w:r>
      <w:r>
        <w:rPr>
          <w:rStyle w:val="Teksttreci"/>
          <w:color w:val="212121"/>
        </w:rPr>
        <w:t>. Zgodnie z art. 17 Ustawy o odpadach sposób postępowania z odpadami powinien być oparty o następującą hierarchię:</w:t>
      </w:r>
    </w:p>
    <w:p w14:paraId="2EB59F3D" w14:textId="77777777" w:rsidR="003E4537" w:rsidRDefault="00EC57A3">
      <w:pPr>
        <w:pStyle w:val="Teksttreci0"/>
        <w:numPr>
          <w:ilvl w:val="0"/>
          <w:numId w:val="2"/>
        </w:numPr>
        <w:tabs>
          <w:tab w:val="left" w:pos="743"/>
        </w:tabs>
        <w:spacing w:after="0"/>
        <w:ind w:firstLine="440"/>
        <w:jc w:val="both"/>
        <w:rPr>
          <w:sz w:val="18"/>
          <w:szCs w:val="18"/>
        </w:rPr>
      </w:pPr>
      <w:r>
        <w:rPr>
          <w:rStyle w:val="Teksttreci"/>
          <w:b/>
          <w:bCs/>
          <w:color w:val="212121"/>
          <w:sz w:val="18"/>
          <w:szCs w:val="18"/>
        </w:rPr>
        <w:t>zapobieganie powstawaniu odpadów,</w:t>
      </w:r>
    </w:p>
    <w:p w14:paraId="08AABB02" w14:textId="77777777" w:rsidR="003E4537" w:rsidRDefault="00EC57A3">
      <w:pPr>
        <w:pStyle w:val="Teksttreci0"/>
        <w:numPr>
          <w:ilvl w:val="0"/>
          <w:numId w:val="2"/>
        </w:numPr>
        <w:tabs>
          <w:tab w:val="left" w:pos="748"/>
        </w:tabs>
        <w:spacing w:after="0"/>
        <w:ind w:firstLine="440"/>
        <w:jc w:val="both"/>
      </w:pPr>
      <w:r>
        <w:rPr>
          <w:rStyle w:val="Teksttreci"/>
          <w:color w:val="212121"/>
        </w:rPr>
        <w:t>przygotowywanie do ponownego użycia,</w:t>
      </w:r>
    </w:p>
    <w:p w14:paraId="18D4F905" w14:textId="77777777" w:rsidR="003E4537" w:rsidRDefault="00EC57A3">
      <w:pPr>
        <w:pStyle w:val="Teksttreci0"/>
        <w:numPr>
          <w:ilvl w:val="0"/>
          <w:numId w:val="2"/>
        </w:numPr>
        <w:tabs>
          <w:tab w:val="left" w:pos="748"/>
        </w:tabs>
        <w:spacing w:after="0"/>
        <w:ind w:firstLine="440"/>
        <w:jc w:val="both"/>
      </w:pPr>
      <w:r>
        <w:rPr>
          <w:rStyle w:val="Teksttreci"/>
          <w:color w:val="212121"/>
        </w:rPr>
        <w:t>recykling,</w:t>
      </w:r>
    </w:p>
    <w:p w14:paraId="3D61FE9F" w14:textId="77777777" w:rsidR="003E4537" w:rsidRDefault="00EC57A3">
      <w:pPr>
        <w:pStyle w:val="Teksttreci0"/>
        <w:numPr>
          <w:ilvl w:val="0"/>
          <w:numId w:val="2"/>
        </w:numPr>
        <w:tabs>
          <w:tab w:val="left" w:pos="752"/>
        </w:tabs>
        <w:spacing w:after="0"/>
        <w:ind w:firstLine="440"/>
        <w:jc w:val="both"/>
      </w:pPr>
      <w:r>
        <w:rPr>
          <w:rStyle w:val="Teksttreci"/>
          <w:color w:val="212121"/>
        </w:rPr>
        <w:t>inne procesy odzysku,</w:t>
      </w:r>
    </w:p>
    <w:p w14:paraId="7371F060" w14:textId="77777777" w:rsidR="003E4537" w:rsidRDefault="00EC57A3">
      <w:pPr>
        <w:pStyle w:val="Teksttreci0"/>
        <w:numPr>
          <w:ilvl w:val="0"/>
          <w:numId w:val="2"/>
        </w:numPr>
        <w:tabs>
          <w:tab w:val="left" w:pos="752"/>
        </w:tabs>
        <w:spacing w:after="140"/>
        <w:ind w:firstLine="440"/>
        <w:jc w:val="both"/>
      </w:pPr>
      <w:r>
        <w:rPr>
          <w:rStyle w:val="Teksttreci"/>
          <w:color w:val="212121"/>
        </w:rPr>
        <w:t>unieszkodliwianie.</w:t>
      </w:r>
    </w:p>
    <w:p w14:paraId="751F922D" w14:textId="77777777" w:rsidR="003E4537" w:rsidRDefault="00EC57A3">
      <w:pPr>
        <w:pStyle w:val="Teksttreci0"/>
        <w:spacing w:after="140"/>
        <w:jc w:val="both"/>
      </w:pPr>
      <w:r>
        <w:rPr>
          <w:rStyle w:val="Teksttreci"/>
          <w:color w:val="212121"/>
        </w:rPr>
        <w:t>Przez zapobieganie powstawaniu odpadów w rozumieniu Ustawy o odpadach rozumie się środki zastosowane w odniesieniu do produktu, materiału lub substancji, zanim staną się one odpadami, zmniejszające:</w:t>
      </w:r>
    </w:p>
    <w:p w14:paraId="5737B990" w14:textId="77777777" w:rsidR="003E4537" w:rsidRDefault="00EC57A3">
      <w:pPr>
        <w:pStyle w:val="Teksttreci0"/>
        <w:numPr>
          <w:ilvl w:val="0"/>
          <w:numId w:val="3"/>
        </w:numPr>
        <w:tabs>
          <w:tab w:val="left" w:pos="815"/>
        </w:tabs>
        <w:spacing w:after="0" w:line="394" w:lineRule="auto"/>
        <w:ind w:left="860" w:hanging="400"/>
        <w:jc w:val="both"/>
        <w:rPr>
          <w:sz w:val="18"/>
          <w:szCs w:val="18"/>
        </w:rPr>
      </w:pPr>
      <w:r>
        <w:rPr>
          <w:rStyle w:val="Teksttreci"/>
          <w:color w:val="212121"/>
        </w:rPr>
        <w:t xml:space="preserve">ilość odpadów, w tym również przez ponowne użycie lub </w:t>
      </w:r>
      <w:r>
        <w:rPr>
          <w:rStyle w:val="Teksttreci"/>
          <w:b/>
          <w:bCs/>
          <w:color w:val="212121"/>
          <w:sz w:val="18"/>
          <w:szCs w:val="18"/>
        </w:rPr>
        <w:t>wydłużenie okresu dalszego używania produktu,</w:t>
      </w:r>
    </w:p>
    <w:p w14:paraId="0FD6B4D6" w14:textId="77777777" w:rsidR="003E4537" w:rsidRDefault="00EC57A3">
      <w:pPr>
        <w:pStyle w:val="Teksttreci0"/>
        <w:numPr>
          <w:ilvl w:val="0"/>
          <w:numId w:val="3"/>
        </w:numPr>
        <w:tabs>
          <w:tab w:val="left" w:pos="815"/>
        </w:tabs>
        <w:spacing w:after="140"/>
        <w:ind w:left="440" w:firstLine="20"/>
      </w:pPr>
      <w:r>
        <w:rPr>
          <w:rStyle w:val="Teksttreci"/>
          <w:color w:val="212121"/>
        </w:rPr>
        <w:t>negatywne oddziaływanie wytworzonych odpadów na środowisko i zdrowie ludzi, c) zawartość substancji szkodliwych w produkcie i materiale.</w:t>
      </w:r>
    </w:p>
    <w:p w14:paraId="3AE44252" w14:textId="77777777" w:rsidR="003E4537" w:rsidRDefault="00EC57A3">
      <w:pPr>
        <w:pStyle w:val="Teksttreci0"/>
        <w:spacing w:after="660" w:line="379" w:lineRule="auto"/>
        <w:jc w:val="both"/>
      </w:pPr>
      <w:r>
        <w:rPr>
          <w:rStyle w:val="Teksttreci"/>
          <w:color w:val="212121"/>
        </w:rPr>
        <w:t>Mając na uwadze powyższe należy w odniesieniu do odpadu destruktu asfaltowego niezawierającego smoły dopuścić takie środki, które pozwoliłyby uniknąć kwalifikacji destruktu jako odpadu ze względu na właściwości destruktu pozwalające na dalsze stosowanie jako materiału budowlanego do określonych zastosowań.</w:t>
      </w:r>
    </w:p>
    <w:p w14:paraId="61D10FB1" w14:textId="77777777" w:rsidR="003E4537" w:rsidRDefault="00EC57A3">
      <w:pPr>
        <w:pStyle w:val="Teksttreci0"/>
        <w:numPr>
          <w:ilvl w:val="0"/>
          <w:numId w:val="1"/>
        </w:numPr>
        <w:tabs>
          <w:tab w:val="left" w:pos="762"/>
        </w:tabs>
        <w:spacing w:after="140" w:line="403" w:lineRule="auto"/>
        <w:ind w:firstLine="380"/>
        <w:jc w:val="both"/>
        <w:rPr>
          <w:sz w:val="18"/>
          <w:szCs w:val="18"/>
        </w:rPr>
        <w:sectPr w:rsidR="003E4537">
          <w:pgSz w:w="11900" w:h="16840"/>
          <w:pgMar w:top="2575" w:right="1102" w:bottom="563" w:left="1371" w:header="2147" w:footer="3" w:gutter="0"/>
          <w:cols w:space="720"/>
          <w:noEndnote/>
          <w:docGrid w:linePitch="360"/>
          <w15:footnoteColumns w:val="1"/>
        </w:sectPr>
      </w:pPr>
      <w:r>
        <w:rPr>
          <w:rStyle w:val="Teksttreci"/>
          <w:b/>
          <w:bCs/>
          <w:color w:val="212121"/>
          <w:sz w:val="18"/>
          <w:szCs w:val="18"/>
        </w:rPr>
        <w:t>Destrukt asfaltowy jako produkt uboczny</w:t>
      </w:r>
    </w:p>
    <w:p w14:paraId="2C53D337" w14:textId="77777777" w:rsidR="003E4537" w:rsidRDefault="00EC57A3">
      <w:pPr>
        <w:jc w:val="center"/>
        <w:rPr>
          <w:sz w:val="2"/>
          <w:szCs w:val="2"/>
        </w:rPr>
      </w:pPr>
      <w:r>
        <w:rPr>
          <w:noProof/>
        </w:rPr>
        <w:lastRenderedPageBreak/>
        <w:drawing>
          <wp:inline distT="0" distB="0" distL="0" distR="0" wp14:anchorId="5F1C9B9D" wp14:editId="678ACB5F">
            <wp:extent cx="567055" cy="42672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off x="0" y="0"/>
                      <a:ext cx="567055" cy="426720"/>
                    </a:xfrm>
                    <a:prstGeom prst="rect">
                      <a:avLst/>
                    </a:prstGeom>
                  </pic:spPr>
                </pic:pic>
              </a:graphicData>
            </a:graphic>
          </wp:inline>
        </w:drawing>
      </w:r>
    </w:p>
    <w:p w14:paraId="26DABD9F" w14:textId="77777777" w:rsidR="003E4537" w:rsidRDefault="00EC57A3">
      <w:pPr>
        <w:pStyle w:val="Nagwek10"/>
        <w:keepNext/>
        <w:keepLines/>
      </w:pPr>
      <w:bookmarkStart w:id="0" w:name="bookmark2"/>
      <w:r>
        <w:rPr>
          <w:rStyle w:val="Nagwek1"/>
          <w:b/>
          <w:bCs/>
        </w:rPr>
        <w:t>ORLEN</w:t>
      </w:r>
      <w:bookmarkEnd w:id="0"/>
    </w:p>
    <w:p w14:paraId="30A95208" w14:textId="77777777" w:rsidR="003E4537" w:rsidRDefault="00EC57A3">
      <w:pPr>
        <w:pStyle w:val="Teksttreci0"/>
        <w:spacing w:line="398" w:lineRule="auto"/>
        <w:jc w:val="both"/>
      </w:pPr>
      <w:r>
        <w:rPr>
          <w:rStyle w:val="Teksttreci"/>
        </w:rPr>
        <w:t xml:space="preserve">W przypadku </w:t>
      </w:r>
      <w:proofErr w:type="gramStart"/>
      <w:r>
        <w:rPr>
          <w:rStyle w:val="Teksttreci"/>
        </w:rPr>
        <w:t>nie uwzględnienia</w:t>
      </w:r>
      <w:proofErr w:type="gramEnd"/>
      <w:r>
        <w:rPr>
          <w:rStyle w:val="Teksttreci"/>
        </w:rPr>
        <w:t xml:space="preserve"> naszej argumentacji wskazującej na brak zasadności kwalifikacji destruktu asfaltowego niezawierającego smoły jako odpadu zwracamy uwagę, że destrukt (niezawierający smoły) mógłby być także kwalifikowany jako produkt uboczny w rozumieniu Ustawy o odpadach.</w:t>
      </w:r>
    </w:p>
    <w:p w14:paraId="6ABCCB81" w14:textId="77777777" w:rsidR="003E4537" w:rsidRDefault="00EC57A3">
      <w:pPr>
        <w:pStyle w:val="Teksttreci0"/>
        <w:spacing w:line="396" w:lineRule="auto"/>
        <w:jc w:val="both"/>
      </w:pPr>
      <w:r>
        <w:rPr>
          <w:rStyle w:val="Teksttreci"/>
        </w:rPr>
        <w:t>Zgodnie z art. 10 Ustawy o odpadach - po spełnieniu warunków określonych w tym przepisie - produktem ubocznym jest przedmiot lub substancja, powstająca w wyniku procesu produkcyjnego, którego podstawowym celem nie jest ich produkcja, jeżeli są łącznie spełnione następujące warunki:</w:t>
      </w:r>
    </w:p>
    <w:p w14:paraId="67D80275" w14:textId="77777777" w:rsidR="003E4537" w:rsidRDefault="00EC57A3">
      <w:pPr>
        <w:pStyle w:val="Teksttreci0"/>
        <w:numPr>
          <w:ilvl w:val="0"/>
          <w:numId w:val="4"/>
        </w:numPr>
        <w:tabs>
          <w:tab w:val="left" w:pos="735"/>
        </w:tabs>
        <w:spacing w:after="0" w:line="396" w:lineRule="auto"/>
        <w:ind w:firstLine="380"/>
        <w:jc w:val="both"/>
      </w:pPr>
      <w:r>
        <w:rPr>
          <w:rStyle w:val="Teksttreci"/>
        </w:rPr>
        <w:t>dalsze wykorzystywanie przedmiotu lub substancji jest pewne;</w:t>
      </w:r>
    </w:p>
    <w:p w14:paraId="64E3203D" w14:textId="77777777" w:rsidR="003E4537" w:rsidRDefault="00EC57A3">
      <w:pPr>
        <w:pStyle w:val="Teksttreci0"/>
        <w:numPr>
          <w:ilvl w:val="0"/>
          <w:numId w:val="4"/>
        </w:numPr>
        <w:tabs>
          <w:tab w:val="left" w:pos="730"/>
        </w:tabs>
        <w:spacing w:after="0" w:line="396" w:lineRule="auto"/>
        <w:ind w:left="740" w:hanging="360"/>
        <w:jc w:val="both"/>
      </w:pPr>
      <w:r>
        <w:rPr>
          <w:rStyle w:val="Teksttreci"/>
        </w:rPr>
        <w:t>przedmiot lub substancja mogą być wykorzystywane bezpośrednio bez dalszego przetwarzania, innego niż normalna praktyka przemysłowa;</w:t>
      </w:r>
    </w:p>
    <w:p w14:paraId="7858A6EA" w14:textId="77777777" w:rsidR="003E4537" w:rsidRDefault="00EC57A3">
      <w:pPr>
        <w:pStyle w:val="Teksttreci0"/>
        <w:numPr>
          <w:ilvl w:val="0"/>
          <w:numId w:val="4"/>
        </w:numPr>
        <w:tabs>
          <w:tab w:val="left" w:pos="735"/>
        </w:tabs>
        <w:spacing w:after="0" w:line="396" w:lineRule="auto"/>
        <w:ind w:firstLine="380"/>
        <w:jc w:val="both"/>
      </w:pPr>
      <w:r>
        <w:rPr>
          <w:rStyle w:val="Teksttreci"/>
        </w:rPr>
        <w:t>dany przedmiot lub substancja są produkowane jako integralna część procesu produkcyjnego;</w:t>
      </w:r>
    </w:p>
    <w:p w14:paraId="7C084847" w14:textId="77777777" w:rsidR="003E4537" w:rsidRDefault="00EC57A3">
      <w:pPr>
        <w:pStyle w:val="Teksttreci0"/>
        <w:numPr>
          <w:ilvl w:val="0"/>
          <w:numId w:val="4"/>
        </w:numPr>
        <w:tabs>
          <w:tab w:val="left" w:pos="730"/>
        </w:tabs>
        <w:spacing w:line="396" w:lineRule="auto"/>
        <w:ind w:left="740" w:hanging="360"/>
        <w:jc w:val="both"/>
      </w:pPr>
      <w:r>
        <w:rPr>
          <w:rStyle w:val="Teksttreci"/>
        </w:rPr>
        <w:t xml:space="preserve">dana substancja lub przedmiot spełniają wszystkie istotne </w:t>
      </w:r>
      <w:r>
        <w:rPr>
          <w:rStyle w:val="Teksttreci"/>
        </w:rPr>
        <w:t>wymagania, w tym prawne, w zakresie produktu, ochrony środowiska oraz życia i zdrowia ludzi, dla określonego wykorzystania tych substancji lub przedmiotów i wykorzystanie takie nie doprowadzi do ogólnych negatywnych oddziaływań na środowisko, życie lub zdrowie ludzi.</w:t>
      </w:r>
    </w:p>
    <w:p w14:paraId="64C9D3F0" w14:textId="77777777" w:rsidR="003E4537" w:rsidRDefault="00EC57A3">
      <w:pPr>
        <w:pStyle w:val="Teksttreci0"/>
        <w:spacing w:after="680" w:line="394" w:lineRule="auto"/>
        <w:jc w:val="both"/>
      </w:pPr>
      <w:r>
        <w:rPr>
          <w:rStyle w:val="Teksttreci"/>
        </w:rPr>
        <w:t>W ocenie branży warunki te spełnia destrukt asfaltowy, co do którego jest pewność, że nie zawiera smoły, co jednak różnie jest intepretowane przez marszałków województw. Uznanie za produkt uboczny nie odbywa się w drodze autonomicznej decyzji wytwórcy, lecz wymaga przedłożenia marszałkowi województwa właściwemu ze względu na miejsce wytwarzania zgłoszenia uznania przedmiotu lub substancji za produkt uboczny. Zarzewiem sporu interpretacyjnego pomiędzy organami samorządowymi a wytwórcami jest nieuzasadniona w</w:t>
      </w:r>
      <w:r>
        <w:rPr>
          <w:rStyle w:val="Teksttreci"/>
        </w:rPr>
        <w:t xml:space="preserve"> naszej ocenie odmowa organów Inspekcji Ochrony Środowiska uznania procesu budowlanego za proces produkcyjny, o którym mowa w art. 10 pkt 3 Ustawy o odpadach.</w:t>
      </w:r>
    </w:p>
    <w:p w14:paraId="2DD479AD" w14:textId="77777777" w:rsidR="003E4537" w:rsidRDefault="00EC57A3">
      <w:pPr>
        <w:pStyle w:val="Teksttreci0"/>
        <w:numPr>
          <w:ilvl w:val="0"/>
          <w:numId w:val="1"/>
        </w:numPr>
        <w:tabs>
          <w:tab w:val="left" w:pos="735"/>
        </w:tabs>
        <w:spacing w:after="680" w:line="415" w:lineRule="auto"/>
        <w:ind w:firstLine="380"/>
        <w:jc w:val="both"/>
        <w:rPr>
          <w:sz w:val="18"/>
          <w:szCs w:val="18"/>
        </w:rPr>
      </w:pPr>
      <w:r>
        <w:rPr>
          <w:rStyle w:val="Teksttreci"/>
          <w:b/>
          <w:bCs/>
          <w:sz w:val="18"/>
          <w:szCs w:val="18"/>
        </w:rPr>
        <w:t>Wnioski. Postulaty</w:t>
      </w:r>
    </w:p>
    <w:p w14:paraId="4B4CB35F" w14:textId="77777777" w:rsidR="003E4537" w:rsidRDefault="00EC57A3">
      <w:pPr>
        <w:pStyle w:val="Teksttreci0"/>
        <w:spacing w:line="391" w:lineRule="auto"/>
        <w:jc w:val="both"/>
      </w:pPr>
      <w:r>
        <w:rPr>
          <w:rStyle w:val="Teksttreci"/>
        </w:rPr>
        <w:t>Mając na uwadze powyższe zwracamy się z apelem o zmianę przepisów prawa, która pozwoliłaby zaprzestać kwalifikacji destruktu asfaltowego niezawierającego smoły jako odpadu.</w:t>
      </w:r>
    </w:p>
    <w:p w14:paraId="588A0EF7" w14:textId="77777777" w:rsidR="003E4537" w:rsidRDefault="00EC57A3">
      <w:pPr>
        <w:pStyle w:val="Teksttreci0"/>
        <w:spacing w:line="384" w:lineRule="auto"/>
        <w:jc w:val="both"/>
      </w:pPr>
      <w:r>
        <w:rPr>
          <w:rStyle w:val="Teksttreci"/>
        </w:rPr>
        <w:t>Jednocześnie zwracamy uwagę, że oczekiwanym ułatwieniem regulacyjnym dla branży budownictwa drogowego byłaby zmiana podejścia względem traktowania destruktu asfaltowego w zakresie możliwości swobodnego wykorzystania tego materiału w obrębie np. jednej inwestycji bez konieczności uzyskiwania zgód wymaganych dla odpadów lub przejścia procedury utraty statusu odpadu. Dlatego pożądana jest zmiana prawa w tym zakresie lub wyraźny sygnał ze strony prawodawcy w zakresie zmiany interpretacji przepisów prawa wyrażon</w:t>
      </w:r>
      <w:r>
        <w:rPr>
          <w:rStyle w:val="Teksttreci"/>
        </w:rPr>
        <w:t>y np. w formie objaśnień prawnych.</w:t>
      </w:r>
    </w:p>
    <w:p w14:paraId="436CF033" w14:textId="77777777" w:rsidR="003E4537" w:rsidRDefault="00EC57A3">
      <w:pPr>
        <w:pStyle w:val="Teksttreci0"/>
        <w:spacing w:after="0" w:line="324" w:lineRule="auto"/>
        <w:jc w:val="center"/>
        <w:rPr>
          <w:sz w:val="14"/>
          <w:szCs w:val="14"/>
        </w:rPr>
      </w:pPr>
      <w:r>
        <w:rPr>
          <w:rStyle w:val="Teksttreci"/>
        </w:rPr>
        <w:t>Dodatkowo konieczne jest uproszczenie procedur administracyjnych poprzez odstąpienie od obowiązku</w:t>
      </w:r>
      <w:r>
        <w:rPr>
          <w:rStyle w:val="Teksttreci"/>
        </w:rPr>
        <w:br/>
        <w:t xml:space="preserve">uzyskiwania pozwoleń na przetwarzanie i magazynowanie odpadów budowlanych z grupy </w:t>
      </w:r>
      <w:proofErr w:type="gramStart"/>
      <w:r>
        <w:rPr>
          <w:rStyle w:val="Teksttreci"/>
        </w:rPr>
        <w:t>17 03 02</w:t>
      </w:r>
      <w:proofErr w:type="gramEnd"/>
      <w:r>
        <w:rPr>
          <w:rStyle w:val="Teksttreci"/>
        </w:rPr>
        <w:t xml:space="preserve"> dla</w:t>
      </w:r>
      <w:r>
        <w:rPr>
          <w:rStyle w:val="Teksttreci"/>
        </w:rPr>
        <w:br/>
      </w:r>
      <w:r>
        <w:rPr>
          <w:rStyle w:val="Teksttreci"/>
          <w:b/>
          <w:bCs/>
          <w:sz w:val="14"/>
          <w:szCs w:val="14"/>
        </w:rPr>
        <w:t>ORLEN Spółka Akcyjna</w:t>
      </w:r>
    </w:p>
    <w:p w14:paraId="45479F88" w14:textId="77777777" w:rsidR="003E4537" w:rsidRDefault="00EC57A3">
      <w:pPr>
        <w:pStyle w:val="Teksttreci20"/>
        <w:spacing w:after="0"/>
      </w:pPr>
      <w:r>
        <w:rPr>
          <w:rStyle w:val="Teksttreci2"/>
        </w:rPr>
        <w:t>Biuro w Warszawie: ul. Bielańska 12, 00-085 Warszawa, tel. +48 22 778 00 00,</w:t>
      </w:r>
    </w:p>
    <w:p w14:paraId="67BFF76D" w14:textId="77777777" w:rsidR="003E4537" w:rsidRDefault="00EC57A3">
      <w:pPr>
        <w:pStyle w:val="Teksttreci20"/>
        <w:sectPr w:rsidR="003E4537">
          <w:pgSz w:w="11900" w:h="16840"/>
          <w:pgMar w:top="469" w:right="991" w:bottom="221" w:left="1347" w:header="41" w:footer="3" w:gutter="0"/>
          <w:cols w:space="720"/>
          <w:noEndnote/>
          <w:docGrid w:linePitch="360"/>
          <w15:footnoteColumns w:val="1"/>
        </w:sectPr>
      </w:pPr>
      <w:r>
        <w:rPr>
          <w:rStyle w:val="Teksttreci2"/>
        </w:rPr>
        <w:t xml:space="preserve">KRS 0000028860, NIP 774 00 01 454, BDO 000007103, </w:t>
      </w:r>
      <w:proofErr w:type="spellStart"/>
      <w:r>
        <w:rPr>
          <w:rStyle w:val="Teksttreci2"/>
        </w:rPr>
        <w:t>kapitałzakładowy</w:t>
      </w:r>
      <w:proofErr w:type="spellEnd"/>
      <w:r>
        <w:rPr>
          <w:rStyle w:val="Teksttreci2"/>
        </w:rPr>
        <w:t>/kapitał wpłacony: 1 451 177 561,25 zł</w:t>
      </w:r>
      <w:r>
        <w:rPr>
          <w:rStyle w:val="Teksttreci2"/>
        </w:rPr>
        <w:br/>
      </w:r>
      <w:hyperlink r:id="rId10" w:history="1">
        <w:r>
          <w:rPr>
            <w:rStyle w:val="Teksttreci2"/>
            <w:lang w:val="en-US" w:eastAsia="en-US"/>
          </w:rPr>
          <w:t>www.orlen.pl</w:t>
        </w:r>
      </w:hyperlink>
    </w:p>
    <w:p w14:paraId="4A83F454" w14:textId="77777777" w:rsidR="003E4537" w:rsidRDefault="00EC57A3">
      <w:pPr>
        <w:pStyle w:val="Teksttreci0"/>
        <w:spacing w:line="374" w:lineRule="auto"/>
        <w:jc w:val="both"/>
      </w:pPr>
      <w:r>
        <w:rPr>
          <w:rStyle w:val="Teksttreci"/>
        </w:rPr>
        <w:lastRenderedPageBreak/>
        <w:t>ilości wskazanych w przedmiarze robót przy jednoczesnej konieczności ich ewidencji w bazie danych o odpadach.</w:t>
      </w:r>
    </w:p>
    <w:p w14:paraId="43410B4A" w14:textId="77777777" w:rsidR="003E4537" w:rsidRDefault="00EC57A3">
      <w:pPr>
        <w:pStyle w:val="Teksttreci0"/>
        <w:spacing w:after="340" w:line="379" w:lineRule="auto"/>
        <w:jc w:val="both"/>
      </w:pPr>
      <w:r>
        <w:rPr>
          <w:rStyle w:val="Teksttreci"/>
        </w:rPr>
        <w:t>Ze strony ORLEN S.A. zapewniamy o naszej pełnej otwartości na współpracę i udzieleniu niezbędnego wsparcia w rozwiązaniu prezentowanych problemów i wdrożeniu wnioskowanych przepisów.</w:t>
      </w:r>
    </w:p>
    <w:p w14:paraId="315AE861" w14:textId="77777777" w:rsidR="003E4537" w:rsidRDefault="00EC57A3">
      <w:pPr>
        <w:pStyle w:val="Teksttreci0"/>
        <w:spacing w:after="840" w:line="379" w:lineRule="auto"/>
        <w:jc w:val="both"/>
      </w:pPr>
      <w:r>
        <w:rPr>
          <w:rStyle w:val="Teksttreci"/>
        </w:rPr>
        <w:t>Równocześnie, informujemy, że osobą do kontaktu, koordynującą prace nad przedmiotowym zagadnieniem w Grupie Orlen, jest</w:t>
      </w:r>
    </w:p>
    <w:p w14:paraId="0791AA8E" w14:textId="21318039" w:rsidR="003E4537" w:rsidRDefault="003E4537">
      <w:pPr>
        <w:pStyle w:val="Teksttreci0"/>
        <w:spacing w:after="340" w:line="240" w:lineRule="auto"/>
        <w:jc w:val="center"/>
      </w:pPr>
    </w:p>
    <w:sectPr w:rsidR="003E4537">
      <w:pgSz w:w="11900" w:h="16840"/>
      <w:pgMar w:top="2601" w:right="1097" w:bottom="2601" w:left="1404" w:header="2173"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ADCE" w14:textId="77777777" w:rsidR="00EC57A3" w:rsidRDefault="00EC57A3">
      <w:r>
        <w:separator/>
      </w:r>
    </w:p>
  </w:endnote>
  <w:endnote w:type="continuationSeparator" w:id="0">
    <w:p w14:paraId="42B5D01A" w14:textId="77777777" w:rsidR="00EC57A3" w:rsidRDefault="00EC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2D1A0" w14:textId="77777777" w:rsidR="003E4537" w:rsidRDefault="003E4537"/>
  </w:footnote>
  <w:footnote w:type="continuationSeparator" w:id="0">
    <w:p w14:paraId="61E5C4FE" w14:textId="77777777" w:rsidR="003E4537" w:rsidRDefault="003E4537"/>
  </w:footnote>
  <w:footnote w:id="1">
    <w:p w14:paraId="41F9322A" w14:textId="77777777" w:rsidR="003E4537" w:rsidRDefault="00EC57A3">
      <w:pPr>
        <w:pStyle w:val="Stopka1"/>
        <w:jc w:val="both"/>
      </w:pPr>
      <w:r>
        <w:rPr>
          <w:rStyle w:val="Stopka"/>
          <w:vertAlign w:val="superscript"/>
        </w:rPr>
        <w:footnoteRef/>
      </w:r>
      <w:r>
        <w:rPr>
          <w:rStyle w:val="Stopka"/>
        </w:rPr>
        <w:t xml:space="preserve"> Zgodnie z Rozporządzeniem </w:t>
      </w:r>
      <w:proofErr w:type="spellStart"/>
      <w:r>
        <w:rPr>
          <w:rStyle w:val="Stopka"/>
        </w:rPr>
        <w:t>ws</w:t>
      </w:r>
      <w:proofErr w:type="spellEnd"/>
      <w:r>
        <w:rPr>
          <w:rStyle w:val="Stopka"/>
        </w:rPr>
        <w:t xml:space="preserve">. destruktu asfaltowego: Odpad destruktu asfaltowego to mieszanka mineralno-asfaltowa uzyskiwana w wyniku frezowania na zimno warstw asfaltowych, lub rozkruszenia płyt wyciętych z nawierzchni asfaltowej lub brył uzyskiwanych z tych płyt, albo z odrzutów lub nadwyżek powstałych przy produkcji mieszanki mineralno-asfaltowej stanowiąca odpady o kodzie </w:t>
      </w:r>
      <w:proofErr w:type="gramStart"/>
      <w:r>
        <w:rPr>
          <w:rStyle w:val="Stopka"/>
        </w:rPr>
        <w:t>17 03 02</w:t>
      </w:r>
      <w:proofErr w:type="gramEnd"/>
      <w:r>
        <w:rPr>
          <w:rStyle w:val="Stopka"/>
        </w:rPr>
        <w:t>.</w:t>
      </w:r>
    </w:p>
  </w:footnote>
  <w:footnote w:id="2">
    <w:p w14:paraId="10064655" w14:textId="77777777" w:rsidR="003E4537" w:rsidRDefault="00EC57A3">
      <w:pPr>
        <w:pStyle w:val="Stopka1"/>
        <w:spacing w:line="221" w:lineRule="auto"/>
      </w:pPr>
      <w:r>
        <w:rPr>
          <w:rStyle w:val="Stopka"/>
          <w:vertAlign w:val="superscript"/>
        </w:rPr>
        <w:footnoteRef/>
      </w:r>
      <w:r>
        <w:rPr>
          <w:rStyle w:val="Stopka"/>
        </w:rPr>
        <w:t xml:space="preserve"> Strona </w:t>
      </w:r>
      <w:proofErr w:type="spellStart"/>
      <w:r>
        <w:rPr>
          <w:rStyle w:val="Stopka"/>
        </w:rPr>
        <w:t>MKiŚ</w:t>
      </w:r>
      <w:proofErr w:type="spellEnd"/>
      <w:r>
        <w:rPr>
          <w:rStyle w:val="Stopka"/>
        </w:rPr>
        <w:t xml:space="preserve">: </w:t>
      </w:r>
      <w:hyperlink r:id="rId1" w:history="1">
        <w:r>
          <w:rPr>
            <w:rStyle w:val="Stopka"/>
            <w:u w:val="single"/>
            <w:lang w:val="en-US" w:eastAsia="en-US"/>
          </w:rPr>
          <w:t>https://www.qov.pl/web/klimat/rozporzadzenie-o-destrukcie-asfaltowYm-opublikowane-w-dzienniku-ustaw</w:t>
        </w:r>
      </w:hyperlink>
      <w:r>
        <w:rPr>
          <w:rStyle w:val="Stopka"/>
          <w:lang w:val="en-US" w:eastAsia="en-US"/>
        </w:rPr>
        <w:t>.</w:t>
      </w:r>
    </w:p>
    <w:p w14:paraId="5BC4F2E2" w14:textId="77777777" w:rsidR="003E4537" w:rsidRDefault="00EC57A3">
      <w:pPr>
        <w:pStyle w:val="Stopka1"/>
        <w:spacing w:line="240" w:lineRule="auto"/>
        <w:jc w:val="center"/>
        <w:rPr>
          <w:sz w:val="14"/>
          <w:szCs w:val="14"/>
        </w:rPr>
      </w:pPr>
      <w:r>
        <w:rPr>
          <w:rStyle w:val="Stopka"/>
          <w:b/>
          <w:bCs/>
          <w:sz w:val="14"/>
          <w:szCs w:val="14"/>
        </w:rPr>
        <w:t>ORLEN Spółka Akcyjna</w:t>
      </w:r>
    </w:p>
    <w:p w14:paraId="2DA6B74C" w14:textId="77777777" w:rsidR="003E4537" w:rsidRDefault="00EC57A3">
      <w:pPr>
        <w:pStyle w:val="Stopka1"/>
        <w:spacing w:line="240" w:lineRule="auto"/>
        <w:jc w:val="center"/>
        <w:rPr>
          <w:sz w:val="14"/>
          <w:szCs w:val="14"/>
        </w:rPr>
      </w:pPr>
      <w:r>
        <w:rPr>
          <w:rStyle w:val="Stopka"/>
          <w:sz w:val="14"/>
          <w:szCs w:val="14"/>
        </w:rPr>
        <w:t xml:space="preserve">Biuro w Warszawie: ul. Bielańska 12, 00-085 Warszawa, </w:t>
      </w:r>
      <w:proofErr w:type="spellStart"/>
      <w:r>
        <w:rPr>
          <w:rStyle w:val="Stopka"/>
          <w:sz w:val="14"/>
          <w:szCs w:val="14"/>
        </w:rPr>
        <w:t>tei</w:t>
      </w:r>
      <w:proofErr w:type="spellEnd"/>
      <w:r>
        <w:rPr>
          <w:rStyle w:val="Stopka"/>
          <w:sz w:val="14"/>
          <w:szCs w:val="14"/>
        </w:rPr>
        <w:t>. +48 22 778 00 00,</w:t>
      </w:r>
    </w:p>
    <w:p w14:paraId="6FD2A75D" w14:textId="77777777" w:rsidR="003E4537" w:rsidRDefault="00EC57A3">
      <w:pPr>
        <w:pStyle w:val="Stopka1"/>
        <w:spacing w:line="240" w:lineRule="auto"/>
        <w:jc w:val="center"/>
        <w:rPr>
          <w:sz w:val="14"/>
          <w:szCs w:val="14"/>
        </w:rPr>
      </w:pPr>
      <w:r>
        <w:rPr>
          <w:rStyle w:val="Stopka"/>
          <w:sz w:val="14"/>
          <w:szCs w:val="14"/>
        </w:rPr>
        <w:t xml:space="preserve">KRS 0000028860, NIP 774 00 01 454, BDO 000007103, </w:t>
      </w:r>
      <w:proofErr w:type="spellStart"/>
      <w:r>
        <w:rPr>
          <w:rStyle w:val="Stopka"/>
          <w:sz w:val="14"/>
          <w:szCs w:val="14"/>
        </w:rPr>
        <w:t>kapitałzakładowy</w:t>
      </w:r>
      <w:proofErr w:type="spellEnd"/>
      <w:r>
        <w:rPr>
          <w:rStyle w:val="Stopka"/>
          <w:sz w:val="14"/>
          <w:szCs w:val="14"/>
        </w:rPr>
        <w:t>/kapitał wpłacony: 1 451 177 561,25 zł</w:t>
      </w:r>
      <w:r>
        <w:rPr>
          <w:rStyle w:val="Stopka"/>
          <w:sz w:val="14"/>
          <w:szCs w:val="14"/>
        </w:rPr>
        <w:br/>
      </w:r>
      <w:hyperlink r:id="rId2" w:history="1">
        <w:r>
          <w:rPr>
            <w:rStyle w:val="Stopka"/>
            <w:sz w:val="14"/>
            <w:szCs w:val="14"/>
            <w:lang w:val="en-US" w:eastAsia="en-US"/>
          </w:rPr>
          <w:t>www.orlen.pl</w:t>
        </w:r>
      </w:hyperlink>
    </w:p>
  </w:footnote>
  <w:footnote w:id="3">
    <w:p w14:paraId="7F6B82EF" w14:textId="77777777" w:rsidR="003E4537" w:rsidRDefault="00EC57A3">
      <w:pPr>
        <w:pStyle w:val="Stopka1"/>
        <w:spacing w:line="276" w:lineRule="auto"/>
      </w:pPr>
      <w:r>
        <w:rPr>
          <w:rStyle w:val="Stopka"/>
          <w:color w:val="212121"/>
          <w:vertAlign w:val="superscript"/>
        </w:rPr>
        <w:footnoteRef/>
      </w:r>
      <w:r>
        <w:rPr>
          <w:rStyle w:val="Stopka"/>
          <w:color w:val="212121"/>
        </w:rPr>
        <w:t xml:space="preserve"> Ustawa o odpadach z dnia 14 grudnia 2012 r. (Dz.U. z 2013 r. poz. 21, </w:t>
      </w:r>
      <w:proofErr w:type="spellStart"/>
      <w:r>
        <w:rPr>
          <w:rStyle w:val="Stopka"/>
          <w:color w:val="212121"/>
        </w:rPr>
        <w:t>t.j</w:t>
      </w:r>
      <w:proofErr w:type="spellEnd"/>
      <w:r>
        <w:rPr>
          <w:rStyle w:val="Stopka"/>
          <w:color w:val="212121"/>
        </w:rPr>
        <w:t xml:space="preserve">. Dz.U. z 2023 r. poz. 1587 </w:t>
      </w:r>
      <w:r>
        <w:rPr>
          <w:rStyle w:val="Stopka"/>
          <w:color w:val="676767"/>
        </w:rPr>
        <w:t xml:space="preserve">z </w:t>
      </w:r>
      <w:proofErr w:type="spellStart"/>
      <w:r>
        <w:rPr>
          <w:rStyle w:val="Stopka"/>
          <w:color w:val="212121"/>
        </w:rPr>
        <w:t>późn</w:t>
      </w:r>
      <w:proofErr w:type="spellEnd"/>
      <w:r>
        <w:rPr>
          <w:rStyle w:val="Stopka"/>
          <w:color w:val="212121"/>
        </w:rPr>
        <w:t xml:space="preserve">. zm.) dalej jako </w:t>
      </w:r>
      <w:r>
        <w:rPr>
          <w:rStyle w:val="Stopka"/>
          <w:b/>
          <w:bCs/>
          <w:color w:val="212121"/>
        </w:rPr>
        <w:t>„Ustawa o odpadach”.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C004E"/>
    <w:multiLevelType w:val="multilevel"/>
    <w:tmpl w:val="D1B0FB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B5012"/>
    <w:multiLevelType w:val="multilevel"/>
    <w:tmpl w:val="EF82E234"/>
    <w:lvl w:ilvl="0">
      <w:start w:val="1"/>
      <w:numFmt w:val="decimal"/>
      <w:lvlText w:val="%1)"/>
      <w:lvlJc w:val="left"/>
      <w:rPr>
        <w:rFonts w:ascii="Arial" w:eastAsia="Arial" w:hAnsi="Arial" w:cs="Arial"/>
        <w:b w:val="0"/>
        <w:bCs w:val="0"/>
        <w:i w:val="0"/>
        <w:iCs w:val="0"/>
        <w:smallCaps w:val="0"/>
        <w:strike w:val="0"/>
        <w:color w:val="212121"/>
        <w:spacing w:val="0"/>
        <w:w w:val="100"/>
        <w:position w:val="0"/>
        <w:sz w:val="19"/>
        <w:szCs w:val="19"/>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DC1DD3"/>
    <w:multiLevelType w:val="multilevel"/>
    <w:tmpl w:val="E286D62E"/>
    <w:lvl w:ilvl="0">
      <w:start w:val="1"/>
      <w:numFmt w:val="lowerLetter"/>
      <w:lvlText w:val="%1)"/>
      <w:lvlJc w:val="left"/>
      <w:rPr>
        <w:rFonts w:ascii="Arial" w:eastAsia="Arial" w:hAnsi="Arial" w:cs="Arial"/>
        <w:b w:val="0"/>
        <w:bCs w:val="0"/>
        <w:i w:val="0"/>
        <w:iCs w:val="0"/>
        <w:smallCaps w:val="0"/>
        <w:strike w:val="0"/>
        <w:color w:val="212121"/>
        <w:spacing w:val="0"/>
        <w:w w:val="100"/>
        <w:position w:val="0"/>
        <w:sz w:val="19"/>
        <w:szCs w:val="19"/>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A5495C"/>
    <w:multiLevelType w:val="multilevel"/>
    <w:tmpl w:val="4A228C5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8579079">
    <w:abstractNumId w:val="3"/>
  </w:num>
  <w:num w:numId="2" w16cid:durableId="46103124">
    <w:abstractNumId w:val="1"/>
  </w:num>
  <w:num w:numId="3" w16cid:durableId="1740055879">
    <w:abstractNumId w:val="2"/>
  </w:num>
  <w:num w:numId="4" w16cid:durableId="133334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37"/>
    <w:rsid w:val="003E4537"/>
    <w:rsid w:val="00415AF0"/>
    <w:rsid w:val="00EC57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0DDE"/>
  <w15:docId w15:val="{B837E270-6E3B-4696-94C0-7DC23B98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5"/>
      <w:szCs w:val="15"/>
      <w:u w:val="none"/>
    </w:rPr>
  </w:style>
  <w:style w:type="character" w:customStyle="1" w:styleId="Podpisobrazu">
    <w:name w:val="Podpis obrazu_"/>
    <w:basedOn w:val="Domylnaczcionkaakapitu"/>
    <w:link w:val="Podpisobrazu0"/>
    <w:rPr>
      <w:rFonts w:ascii="Arial" w:eastAsia="Arial" w:hAnsi="Arial" w:cs="Arial"/>
      <w:b/>
      <w:bCs/>
      <w:i w:val="0"/>
      <w:iCs w:val="0"/>
      <w:smallCaps w:val="0"/>
      <w:strike w:val="0"/>
      <w:sz w:val="15"/>
      <w:szCs w:val="15"/>
      <w:u w:val="none"/>
    </w:rPr>
  </w:style>
  <w:style w:type="character" w:customStyle="1" w:styleId="Teksttreci4">
    <w:name w:val="Tekst treści (4)_"/>
    <w:basedOn w:val="Domylnaczcionkaakapitu"/>
    <w:link w:val="Teksttreci40"/>
    <w:rPr>
      <w:rFonts w:ascii="Corbel" w:eastAsia="Corbel" w:hAnsi="Corbel" w:cs="Corbel"/>
      <w:b/>
      <w:bCs/>
      <w:i w:val="0"/>
      <w:iCs w:val="0"/>
      <w:smallCaps w:val="0"/>
      <w:strike w:val="0"/>
      <w:sz w:val="34"/>
      <w:szCs w:val="34"/>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6"/>
      <w:szCs w:val="16"/>
      <w:u w:val="none"/>
    </w:rPr>
  </w:style>
  <w:style w:type="character" w:customStyle="1" w:styleId="Nagwek2">
    <w:name w:val="Nagłówek #2_"/>
    <w:basedOn w:val="Domylnaczcionkaakapitu"/>
    <w:link w:val="Nagwek20"/>
    <w:rPr>
      <w:rFonts w:ascii="Arial" w:eastAsia="Arial" w:hAnsi="Arial" w:cs="Arial"/>
      <w:b w:val="0"/>
      <w:bCs w:val="0"/>
      <w:i w:val="0"/>
      <w:iCs w:val="0"/>
      <w:smallCaps w:val="0"/>
      <w:strike w:val="0"/>
      <w:w w:val="60"/>
      <w:sz w:val="28"/>
      <w:szCs w:val="28"/>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19"/>
      <w:szCs w:val="19"/>
      <w:u w:val="none"/>
    </w:rPr>
  </w:style>
  <w:style w:type="character" w:customStyle="1" w:styleId="Nagwek1">
    <w:name w:val="Nagłówek #1_"/>
    <w:basedOn w:val="Domylnaczcionkaakapitu"/>
    <w:link w:val="Nagwek10"/>
    <w:rPr>
      <w:rFonts w:ascii="Corbel" w:eastAsia="Corbel" w:hAnsi="Corbel" w:cs="Corbel"/>
      <w:b/>
      <w:bCs/>
      <w:i w:val="0"/>
      <w:iCs w:val="0"/>
      <w:smallCaps w:val="0"/>
      <w:strike w:val="0"/>
      <w:sz w:val="34"/>
      <w:szCs w:val="34"/>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4"/>
      <w:szCs w:val="14"/>
      <w:u w:val="none"/>
    </w:rPr>
  </w:style>
  <w:style w:type="paragraph" w:customStyle="1" w:styleId="Stopka1">
    <w:name w:val="Stopka1"/>
    <w:basedOn w:val="Normalny"/>
    <w:link w:val="Stopka"/>
    <w:pPr>
      <w:spacing w:line="262" w:lineRule="auto"/>
    </w:pPr>
    <w:rPr>
      <w:rFonts w:ascii="Arial" w:eastAsia="Arial" w:hAnsi="Arial" w:cs="Arial"/>
      <w:sz w:val="15"/>
      <w:szCs w:val="15"/>
    </w:rPr>
  </w:style>
  <w:style w:type="paragraph" w:customStyle="1" w:styleId="Podpisobrazu0">
    <w:name w:val="Podpis obrazu"/>
    <w:basedOn w:val="Normalny"/>
    <w:link w:val="Podpisobrazu"/>
    <w:pPr>
      <w:spacing w:line="300" w:lineRule="auto"/>
    </w:pPr>
    <w:rPr>
      <w:rFonts w:ascii="Arial" w:eastAsia="Arial" w:hAnsi="Arial" w:cs="Arial"/>
      <w:b/>
      <w:bCs/>
      <w:sz w:val="15"/>
      <w:szCs w:val="15"/>
    </w:rPr>
  </w:style>
  <w:style w:type="paragraph" w:customStyle="1" w:styleId="Teksttreci40">
    <w:name w:val="Tekst treści (4)"/>
    <w:basedOn w:val="Normalny"/>
    <w:link w:val="Teksttreci4"/>
    <w:rPr>
      <w:rFonts w:ascii="Corbel" w:eastAsia="Corbel" w:hAnsi="Corbel" w:cs="Corbel"/>
      <w:b/>
      <w:bCs/>
      <w:sz w:val="34"/>
      <w:szCs w:val="34"/>
    </w:rPr>
  </w:style>
  <w:style w:type="paragraph" w:customStyle="1" w:styleId="Teksttreci30">
    <w:name w:val="Tekst treści (3)"/>
    <w:basedOn w:val="Normalny"/>
    <w:link w:val="Teksttreci3"/>
    <w:pPr>
      <w:spacing w:after="40" w:line="338" w:lineRule="auto"/>
      <w:ind w:left="1080"/>
    </w:pPr>
    <w:rPr>
      <w:rFonts w:ascii="Times New Roman" w:eastAsia="Times New Roman" w:hAnsi="Times New Roman" w:cs="Times New Roman"/>
      <w:sz w:val="16"/>
      <w:szCs w:val="16"/>
    </w:rPr>
  </w:style>
  <w:style w:type="paragraph" w:customStyle="1" w:styleId="Nagwek20">
    <w:name w:val="Nagłówek #2"/>
    <w:basedOn w:val="Normalny"/>
    <w:link w:val="Nagwek2"/>
    <w:pPr>
      <w:spacing w:after="920"/>
      <w:ind w:right="380"/>
      <w:jc w:val="right"/>
      <w:outlineLvl w:val="1"/>
    </w:pPr>
    <w:rPr>
      <w:rFonts w:ascii="Arial" w:eastAsia="Arial" w:hAnsi="Arial" w:cs="Arial"/>
      <w:w w:val="60"/>
      <w:sz w:val="28"/>
      <w:szCs w:val="28"/>
    </w:rPr>
  </w:style>
  <w:style w:type="paragraph" w:customStyle="1" w:styleId="Teksttreci0">
    <w:name w:val="Tekst treści"/>
    <w:basedOn w:val="Normalny"/>
    <w:link w:val="Teksttreci"/>
    <w:pPr>
      <w:spacing w:after="160" w:line="382" w:lineRule="auto"/>
    </w:pPr>
    <w:rPr>
      <w:rFonts w:ascii="Arial" w:eastAsia="Arial" w:hAnsi="Arial" w:cs="Arial"/>
      <w:sz w:val="19"/>
      <w:szCs w:val="19"/>
    </w:rPr>
  </w:style>
  <w:style w:type="paragraph" w:customStyle="1" w:styleId="Nagwek10">
    <w:name w:val="Nagłówek #1"/>
    <w:basedOn w:val="Normalny"/>
    <w:link w:val="Nagwek1"/>
    <w:pPr>
      <w:spacing w:after="600"/>
      <w:jc w:val="center"/>
      <w:outlineLvl w:val="0"/>
    </w:pPr>
    <w:rPr>
      <w:rFonts w:ascii="Corbel" w:eastAsia="Corbel" w:hAnsi="Corbel" w:cs="Corbel"/>
      <w:b/>
      <w:bCs/>
      <w:sz w:val="34"/>
      <w:szCs w:val="34"/>
    </w:rPr>
  </w:style>
  <w:style w:type="paragraph" w:customStyle="1" w:styleId="Teksttreci20">
    <w:name w:val="Tekst treści (2)"/>
    <w:basedOn w:val="Normalny"/>
    <w:link w:val="Teksttreci2"/>
    <w:pPr>
      <w:spacing w:after="160"/>
      <w:jc w:val="center"/>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rlen.pl"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orlen.pl" TargetMode="External"/><Relationship Id="rId1" Type="http://schemas.openxmlformats.org/officeDocument/2006/relationships/hyperlink" Target="https://www.qov.pl/web/klimat/rozporzadzenie-o-destrukcie-asfaltowYm-opublikowane-w-dzienniku-usta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5941</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 Software )</dc:creator>
  <cp:keywords/>
  <cp:lastModifiedBy>Zygadlewicz Małgorzata</cp:lastModifiedBy>
  <cp:revision>2</cp:revision>
  <dcterms:created xsi:type="dcterms:W3CDTF">2024-10-09T08:16:00Z</dcterms:created>
  <dcterms:modified xsi:type="dcterms:W3CDTF">2024-10-09T08:16:00Z</dcterms:modified>
</cp:coreProperties>
</file>