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399415" distL="120650" distR="410210" simplePos="0" relativeHeight="125829378" behindDoc="0" locked="0" layoutInCell="1" allowOverlap="1">
            <wp:simplePos x="0" y="0"/>
            <wp:positionH relativeFrom="page">
              <wp:posOffset>3199765</wp:posOffset>
            </wp:positionH>
            <wp:positionV relativeFrom="paragraph">
              <wp:posOffset>12700</wp:posOffset>
            </wp:positionV>
            <wp:extent cx="707390" cy="39624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07390" cy="39624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3193415</wp:posOffset>
                </wp:positionH>
                <wp:positionV relativeFrom="paragraph">
                  <wp:posOffset>400050</wp:posOffset>
                </wp:positionV>
                <wp:extent cx="1005840" cy="40513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5840" cy="4051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RPW/63734/2024 P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Data:2024-08-02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MKiS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51.45000000000002pt;margin-top:31.5pt;width:79.200000000000003pt;height:31.900000000000002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RPW/63734/2024 P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Data:2024-08-02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MKiS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335" w:right="1442" w:bottom="975" w:left="7708" w:header="0" w:footer="547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5"/>
          <w:color w:val="000000"/>
        </w:rPr>
        <w:t>Warszawa, sierpnia 2024 r.</w:t>
      </w:r>
    </w:p>
    <w:p>
      <w:pPr>
        <w:pStyle w:val="Style4"/>
        <w:keepNext w:val="0"/>
        <w:keepLines w:val="0"/>
        <w:framePr w:w="1954" w:h="274" w:wrap="none" w:vAnchor="text" w:hAnchor="page" w:x="121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Style w:val="CharStyle5"/>
          <w:b/>
          <w:bCs/>
          <w:color w:val="000000"/>
          <w:sz w:val="22"/>
          <w:szCs w:val="22"/>
        </w:rPr>
        <w:t>Wnoszący petycje:</w:t>
      </w:r>
    </w:p>
    <w:p>
      <w:pPr>
        <w:pStyle w:val="Style2"/>
        <w:keepNext w:val="0"/>
        <w:keepLines w:val="0"/>
        <w:framePr w:w="1368" w:h="312" w:wrap="none" w:vAnchor="text" w:hAnchor="page" w:x="8799" w:y="20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3"/>
          <w:sz w:val="19"/>
          <w:szCs w:val="19"/>
        </w:rPr>
        <w:t>2024 -08- 0 2</w:t>
      </w:r>
    </w:p>
    <w:p>
      <w:pPr>
        <w:pStyle w:val="Style2"/>
        <w:keepNext w:val="0"/>
        <w:keepLines w:val="0"/>
        <w:framePr w:w="2002" w:h="384" w:wrap="none" w:vAnchor="text" w:hAnchor="page" w:x="8165" w:y="1379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center"/>
        <w:rPr>
          <w:sz w:val="22"/>
          <w:szCs w:val="22"/>
        </w:rPr>
      </w:pPr>
      <w:r>
        <w:rPr>
          <w:rStyle w:val="CharStyle3"/>
          <w:sz w:val="12"/>
          <w:szCs w:val="12"/>
        </w:rPr>
        <w:t xml:space="preserve">MINISTERSTWO KLIMT" &lt;R. </w:t>
      </w:r>
      <w:r>
        <w:rPr>
          <w:rStyle w:val="CharStyle3"/>
          <w:rFonts w:ascii="Times New Roman" w:eastAsia="Times New Roman" w:hAnsi="Times New Roman" w:cs="Times New Roman"/>
          <w:smallCaps/>
          <w:sz w:val="22"/>
          <w:szCs w:val="22"/>
        </w:rPr>
        <w:t>kanch \r''</w:t>
      </w:r>
    </w:p>
    <w:p>
      <w:pPr>
        <w:widowControl w:val="0"/>
        <w:spacing w:line="360" w:lineRule="exact"/>
      </w:pPr>
      <w:r>
        <w:drawing>
          <wp:anchor distT="0" distB="0" distL="0" distR="1048385" simplePos="0" relativeHeight="62914690" behindDoc="1" locked="0" layoutInCell="1" allowOverlap="1">
            <wp:simplePos x="0" y="0"/>
            <wp:positionH relativeFrom="page">
              <wp:posOffset>5184140</wp:posOffset>
            </wp:positionH>
            <wp:positionV relativeFrom="paragraph">
              <wp:posOffset>1121410</wp:posOffset>
            </wp:positionV>
            <wp:extent cx="225425" cy="44513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25425" cy="4451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45720" distB="0" distL="1289050" distR="0" simplePos="0" relativeHeight="62914691" behindDoc="1" locked="0" layoutInCell="1" allowOverlap="1">
            <wp:simplePos x="0" y="0"/>
            <wp:positionH relativeFrom="page">
              <wp:posOffset>6473190</wp:posOffset>
            </wp:positionH>
            <wp:positionV relativeFrom="paragraph">
              <wp:posOffset>920750</wp:posOffset>
            </wp:positionV>
            <wp:extent cx="438785" cy="42672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438785" cy="4267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35" w:right="986" w:bottom="975" w:left="1204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widowControl w:val="0"/>
        <w:shd w:val="clear" w:color="auto" w:fill="auto"/>
        <w:tabs>
          <w:tab w:leader="dot" w:pos="8467" w:val="left"/>
        </w:tabs>
        <w:bidi w:val="0"/>
        <w:spacing w:before="0" w:after="1820" w:line="240" w:lineRule="auto"/>
        <w:ind w:left="6960" w:right="0" w:firstLine="0"/>
        <w:jc w:val="left"/>
        <w:rPr>
          <w:sz w:val="20"/>
          <w:szCs w:val="20"/>
        </w:rPr>
      </w:pPr>
      <w:r>
        <w:rPr>
          <w:rStyle w:val="CharStyle12"/>
          <w:sz w:val="20"/>
          <w:szCs w:val="20"/>
        </w:rPr>
        <w:t>L. dz</w:t>
        <w:tab/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rStyle w:val="CharStyle12"/>
          <w:b/>
          <w:bCs/>
        </w:rPr>
        <w:t>Ministerstwo Klimatu i Środowiska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  <w:rPr>
          <w:sz w:val="24"/>
          <w:szCs w:val="24"/>
        </w:rPr>
      </w:pPr>
      <w:r>
        <w:rPr>
          <w:rStyle w:val="CharStyle12"/>
          <w:sz w:val="24"/>
          <w:szCs w:val="24"/>
        </w:rPr>
        <w:t>ul. Wawelska 52/54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right="0" w:firstLine="0"/>
        <w:jc w:val="left"/>
        <w:rPr>
          <w:sz w:val="24"/>
          <w:szCs w:val="24"/>
        </w:rPr>
      </w:pPr>
      <w:r>
        <w:rPr>
          <w:rStyle w:val="CharStyle12"/>
          <w:sz w:val="24"/>
          <w:szCs w:val="24"/>
        </w:rPr>
        <w:t>00-922, Warszawa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800" w:line="240" w:lineRule="auto"/>
        <w:ind w:left="0" w:right="0" w:firstLine="0"/>
        <w:jc w:val="left"/>
      </w:pPr>
      <w:r>
        <w:rPr>
          <w:rStyle w:val="CharStyle12"/>
          <w:b/>
          <w:bCs/>
        </w:rPr>
        <w:t>Dot. Powołania Społecznej Straży Leśnej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  <w:rPr>
          <w:sz w:val="26"/>
          <w:szCs w:val="26"/>
        </w:rPr>
      </w:pPr>
      <w:r>
        <w:rPr>
          <w:rStyle w:val="CharStyle5"/>
          <w:b/>
          <w:bCs/>
          <w:color w:val="000000"/>
          <w:sz w:val="26"/>
          <w:szCs w:val="26"/>
        </w:rPr>
        <w:t>PETYCJA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740"/>
        <w:jc w:val="both"/>
      </w:pPr>
      <w:r>
        <w:rPr>
          <w:rStyle w:val="CharStyle5"/>
          <w:color w:val="000000"/>
        </w:rPr>
        <w:t xml:space="preserve">Działając w interesie publicznym, składamy niniejszą petycje, wnosząc o inicjacje procesu legislacyjnego mającego na celu zmianę Ustawy z dnia 28 września 1991 r o lasach ( Dz.U. 1991 nr 101 poz. 444), w celu powołania </w:t>
      </w:r>
      <w:r>
        <w:rPr>
          <w:rStyle w:val="CharStyle5"/>
          <w:b/>
          <w:bCs/>
          <w:color w:val="000000"/>
          <w:sz w:val="22"/>
          <w:szCs w:val="22"/>
        </w:rPr>
        <w:t xml:space="preserve">Społecznej Straży Leśnej </w:t>
      </w:r>
      <w:r>
        <w:rPr>
          <w:rStyle w:val="CharStyle5"/>
          <w:color w:val="000000"/>
        </w:rPr>
        <w:t>jako formacji wspierającej Straż Leśną w zwalczaniu szkodnictwa leśnego.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center"/>
        <w:rPr>
          <w:sz w:val="26"/>
          <w:szCs w:val="26"/>
        </w:rPr>
      </w:pPr>
      <w:r>
        <w:rPr>
          <w:rStyle w:val="CharStyle5"/>
          <w:b/>
          <w:bCs/>
          <w:color w:val="000000"/>
          <w:sz w:val="26"/>
          <w:szCs w:val="26"/>
        </w:rPr>
        <w:t>UZASADNIENIE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rStyle w:val="CharStyle5"/>
          <w:color w:val="000000"/>
        </w:rPr>
        <w:t xml:space="preserve">Zwracamy się do Pani Minister z uprzejmą prośbą o podjęcie inicjatywy ustawodawczej mającej na celu powołanie </w:t>
      </w:r>
      <w:r>
        <w:rPr>
          <w:rStyle w:val="CharStyle5"/>
          <w:b/>
          <w:bCs/>
          <w:color w:val="000000"/>
          <w:sz w:val="22"/>
          <w:szCs w:val="22"/>
        </w:rPr>
        <w:t xml:space="preserve">Społecznej Straży Leśnej (SSL) </w:t>
      </w:r>
      <w:r>
        <w:rPr>
          <w:rStyle w:val="CharStyle5"/>
          <w:color w:val="000000"/>
        </w:rPr>
        <w:t>w Polsce. Propozycja ta wynika z głębokiej troski o nasze dziedzictwo przyrodnicze oraz potrzebę wzmocnienia działań na rzecz ochrony lasów. Zasadność powołania takiej instytucji jest poparta zarówno analizą prawną, jak i praktycznymi przykładami z innych krajów, gdzie społeczne formy nadzoru nad lasami przynoszą wymierne korzyści.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  <w:color w:val="000000"/>
        </w:rPr>
        <w:t>Proponujemy dokonanie nowelizacji ustawy z dnia 28 września 1991 r. o lasach (Dz.U. 1991 Nr 101 poz. 444 z późn. zm.) poprzez utworzenie Społecznej Straży Leśnej jako formacji społecznej wspierającej Straż Leśną, wskazanie sposobu powoływania takich formacji, nadzoru oraz uprawnień jakie by przysługiwało strażnikom SSL . Zgodnie z art. 3 tej ustawy, lasy w Polsce są dobrem narodowym, które powinno być chronione i zarządzane w sposób zrównoważony. Dodanie przepisów umożliwiających funkcjonowanie Społecznej Straży Leśnej w ramach istniejącej ustawy pozwoli na wzmocnienie ochrony tego dobra, przy jednoczesnym zaangażowaniu obywateli w działania proekologiczne.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740"/>
        <w:jc w:val="both"/>
      </w:pPr>
      <w:r>
        <w:rPr>
          <w:rStyle w:val="CharStyle5"/>
          <w:color w:val="000000"/>
        </w:rPr>
        <w:t>W celu realizacji tej inicjatywy proponujemy dodanie rozdziału do Ustawy o Lasach, który umożliwił by powoływanie i określał sposób funkcjonowania Społecznej Straży Leśnej. Wnosimy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  <w:color w:val="000000"/>
        </w:rPr>
        <w:t>aby zgodnie z nowymi przepisami, SSL powoływane byłyby przez Rady Powiatów na wniosek starosty lub przez organizacje pozarządowe za zgodą Rady Powiatu, a nadzór nad jej działalnością sprawowałaby Straż Leśna.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740"/>
        <w:jc w:val="both"/>
      </w:pPr>
      <w:r>
        <w:rPr>
          <w:rStyle w:val="CharStyle5"/>
          <w:color w:val="000000"/>
        </w:rPr>
        <w:t>Do zadań SSL należałoby monitorowanie stanu lasów, informowanie odpowiednich służb o przypadkach nielegalnej wycinki drzew, kłusownictwa i innych przestępstw przeciwko przyrodzie, edukacja społeczności lokalnych na temat ochrony środowiska oraz interweniowanie w przypadku zauważenia złamania przepisów Ustawy o Lasach i innych ustaw. Członkowie SSL, zwani dalej strażnikami, powinni mieć prawo do noszenia oznak identyfikacyjnych oraz munduru zgodnie z wzorem określonym przez ministra właściwego do spraw środowiska, interweniowania w przypadku zauważenia popełnienia wykroczenia na terenach leśnych, oraz współpracy z organami ścigania w zakresie ochrony lasów.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740"/>
        <w:jc w:val="both"/>
      </w:pPr>
      <w:r>
        <w:rPr>
          <w:rStyle w:val="CharStyle5"/>
          <w:color w:val="000000"/>
        </w:rPr>
        <w:t>Społeczne formacje ochrony przyrody funkcjonują z powodzeniem w wielu krajach, m.in. w Niemczech, Szwecji oraz Kanadzie. W Niemczech przykładem efektywnej społecznej formacji ochrony przyrody jest "Freiwillige Naturschutzwacht" (Ochomicza Straż Ochrony Przyrody). Działa ona w ramach lokalnych jednostek administracyjnych, co pozwala na dostosowanie działań do specyficznych potrzeb danego regionu. Strażnicy ochomicy współpracują z państwowymi służbami leśnymi, monitorują tereny chronione oraz aktywnie angażują się w edukację ekologiczną społeczeństwa. Ich zadania obejmują m.in. patrolowanie obszarów leśnych, zbieranie danych na temat stanu przyrody oraz informowanie odpowiednich służb o wszelkich nieprawidłowościach. Dzięki ich działalności lokalne społeczności są bardziej świadome znaczenia ochrony przyrody, a wykrywalność przestępstw ekologicznych znacznie się poprawia.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  <w:color w:val="000000"/>
        </w:rPr>
        <w:t>W Szwecji społeczna straż leśna, znana jako "Naturvardsverket", pełni rolę monitorującą i doradczą. Działa ona w ścisłej współpracy z państwowymi agencjami ochrony środowiska. Strażnicy w Szwecji zajmują się nie tylko kontrolą terenów leśnych, ale również prowadzą działania edukacyjne oraz doradcze dla rolników, leśników i właścicieli gruntów. Ich praca jest skoordynowana z rządowymi programami ochrony przyrody, co zapewnia spójność działań na różnych poziomach administracyjnych. "Naturvardsverket" pomaga również w realizacji międzynarodowych zobowiązań Szwecji w zakresie ochrony środowiska, co jest przykładem skutecznej integracji lokalnych działań z globalnymi celami.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  <w:color w:val="000000"/>
        </w:rPr>
        <w:t>Kanadyjski model "Community Forest Watch" zasługuje na szczególną uwagę ze względu na skuteczne angażowanie lokalnych społeczności w zarządzanie i ochronę lasów. Integruje on tradycyjną wiedzę z nowoczesnymi metodami zarządzania zasobami leśnymi. Członkowie "Community Forest Watch" monitorują stan lasów, prowadzą badania nad bioróżnorodnością oraz organizują działania edukacyjne dla mieszkańców. Współpracują oni z rządowymi agencjami oraz organizacjami pozarządowymi, co pozwala na wymianę doświadczeń i najlepszych praktyk. Model ten pokazuje, jak skuteczne może być łączenie lokalnych inicjatyw z państwowymi programami ochrony przyrody, co może być inspiracją dla polskich rozwiązań.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310" w:lineRule="auto"/>
        <w:ind w:left="0" w:right="0" w:firstLine="0"/>
        <w:jc w:val="both"/>
        <w:rPr>
          <w:sz w:val="22"/>
          <w:szCs w:val="22"/>
        </w:rPr>
      </w:pPr>
      <w:r>
        <w:rPr>
          <w:rStyle w:val="CharStyle5"/>
          <w:b/>
          <w:bCs/>
          <w:color w:val="000000"/>
          <w:sz w:val="22"/>
          <w:szCs w:val="22"/>
        </w:rPr>
        <w:t>Proponujemy aby strażnicy SSL po przejściu odpowiednich szkoleń posiadali następujące uprawnienia: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13" w:val="left"/>
        </w:tabs>
        <w:bidi w:val="0"/>
        <w:spacing w:before="0"/>
        <w:ind w:left="0" w:right="0" w:firstLine="0"/>
        <w:jc w:val="both"/>
      </w:pPr>
      <w:r>
        <w:rPr>
          <w:rStyle w:val="CharStyle5"/>
          <w:color w:val="000000"/>
        </w:rPr>
        <w:t>prawo do kontrolowania przestrzegania przepisów prawa,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27" w:val="left"/>
        </w:tabs>
        <w:bidi w:val="0"/>
        <w:spacing w:before="0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37" w:right="975" w:bottom="973" w:left="1205" w:header="0" w:footer="545" w:gutter="0"/>
          <w:cols w:space="720"/>
          <w:noEndnote/>
          <w:rtlGutter w:val="0"/>
          <w:docGrid w:linePitch="360"/>
        </w:sectPr>
      </w:pPr>
      <w:r>
        <w:rPr>
          <w:rStyle w:val="CharStyle5"/>
          <w:color w:val="000000"/>
        </w:rPr>
        <w:t>prawo do legitymowania osób popełniających wykroczenie celem ustalenia ich tożsamości,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18" w:val="left"/>
        </w:tabs>
        <w:bidi w:val="0"/>
        <w:spacing w:before="0" w:after="140" w:line="271" w:lineRule="auto"/>
        <w:ind w:left="0" w:right="0" w:firstLine="0"/>
        <w:jc w:val="both"/>
      </w:pPr>
      <w:r>
        <w:rPr>
          <w:rStyle w:val="CharStyle5"/>
        </w:rPr>
        <w:t>prawo do informowania i współpracy z Policją oraz Strażą Leśną w przypadkach naruszenia przepisów ochrony przyrody,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2" w:val="left"/>
        </w:tabs>
        <w:bidi w:val="0"/>
        <w:spacing w:before="0" w:after="140" w:line="266" w:lineRule="auto"/>
        <w:ind w:left="0" w:right="0" w:firstLine="0"/>
        <w:jc w:val="both"/>
      </w:pPr>
      <w:r>
        <w:rPr>
          <w:rStyle w:val="CharStyle5"/>
        </w:rPr>
        <w:t>prawo do przeprowadzania akcji edukacyjnych oraz kampanii społecznych na temat ochrony lasów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22" w:val="left"/>
        </w:tabs>
        <w:bidi w:val="0"/>
        <w:spacing w:before="0" w:after="140" w:line="271" w:lineRule="auto"/>
        <w:ind w:left="0" w:right="0" w:firstLine="0"/>
        <w:jc w:val="both"/>
      </w:pPr>
      <w:r>
        <w:rPr>
          <w:rStyle w:val="CharStyle5"/>
        </w:rPr>
        <w:t>prawo do zgłaszania projektów oraz inicjatyw związanych z ochroną środowiska lokalnym władzom oraz jednostkom administracyjnym.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720"/>
        <w:jc w:val="both"/>
      </w:pPr>
      <w:r>
        <w:rPr>
          <w:rStyle w:val="CharStyle5"/>
        </w:rPr>
        <w:t>Statystyki pokazują, że potrzeba wzmocnienia nadzoru nad polskimi lasami jest niezbędna. Według raportu Najwyższej Izby Kontroli (NIK) z 2019 roku, w latach 2016-2018 odnotowano znaczący wzrost liczby przypadków nielegalnej wycinki drzew, sięgający łącznie 1500 przypadków rocznie. Dodatkowo, w 2020 roku Straż Leśna przeprowadziła ponad 30 tysięcy kontroli, w wyniku których ujawniono prawie 10 tysięcy przypadków naruszeń przepisów ochrony przyrody. Takie statystyki wskazują na konieczność dodatkowych działań mających na celu poprawę skuteczności nadzoru i kontroli nad terenami leśnymi.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720"/>
        <w:jc w:val="both"/>
      </w:pPr>
      <w:r>
        <w:rPr>
          <w:rStyle w:val="CharStyle5"/>
        </w:rPr>
        <w:t>Powołanie Społecznej Straży Leśnej jest zgodne z dyrektywami Unii Europejskiej oraz polityką ochrony środowiska UE.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14" w:val="left"/>
        </w:tabs>
        <w:bidi w:val="0"/>
        <w:spacing w:before="0" w:after="140"/>
        <w:ind w:left="0" w:right="0" w:firstLine="0"/>
        <w:jc w:val="both"/>
      </w:pPr>
      <w:r>
        <w:rPr>
          <w:rStyle w:val="CharStyle5"/>
        </w:rPr>
        <w:t>Dyrektywa Siedliskowa (92/43/EWG) zobowiązuje państwa członkowskie do ochrony siedlisk przyrodniczych oraz dzikiej fauny i flory. Społeczna Straż Leśna może efektywnie wspierać monitorowanie i ochronę tych obszarów.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14" w:val="left"/>
        </w:tabs>
        <w:bidi w:val="0"/>
        <w:spacing w:before="0" w:after="140"/>
        <w:ind w:left="0" w:right="0" w:firstLine="0"/>
        <w:jc w:val="both"/>
      </w:pPr>
      <w:r>
        <w:rPr>
          <w:rStyle w:val="CharStyle5"/>
        </w:rPr>
        <w:t>Dyrektywa Ptasia (2009/147/WE) wymaga ochrony dzikiego ptactwa oraz ich siedlisk. Działania Społecznej Straży Leśnej mogą wspierać realizację tych celów poprzez monitorowanie oraz interwencje na terenach leśnych.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14" w:val="left"/>
        </w:tabs>
        <w:bidi w:val="0"/>
        <w:spacing w:before="0" w:after="140"/>
        <w:ind w:left="0" w:right="0" w:firstLine="0"/>
        <w:jc w:val="both"/>
      </w:pPr>
      <w:r>
        <w:rPr>
          <w:rStyle w:val="CharStyle5"/>
        </w:rPr>
        <w:t>Strategia UE na rzecz bioróżnorodności 2030 zakłada zwiększenie ochrony terenów zielonych oraz bioróżnorodności. Społeczna Straż Leśna mogłaby wspierać realizację celów tej strategii poprzez lokalne działania na rzecz ochrony przyrody.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14" w:val="left"/>
        </w:tabs>
        <w:bidi w:val="0"/>
        <w:spacing w:before="0" w:after="140"/>
        <w:ind w:left="0" w:right="0" w:firstLine="0"/>
        <w:jc w:val="both"/>
      </w:pPr>
      <w:r>
        <w:rPr>
          <w:rStyle w:val="CharStyle5"/>
        </w:rPr>
        <w:t>Dyrektywa w sprawie odpowiedzialności za środowisko (2004/35/WE) wymaga podjęcia środków naprawczych w przypadku szkód w środowisku. Społeczna Straż Leśna mogłaby pełnić rolę prewencyjną oraz wspierać działania naprawcze.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720"/>
        <w:jc w:val="left"/>
      </w:pPr>
      <w:r>
        <w:rPr>
          <w:rStyle w:val="CharStyle5"/>
        </w:rPr>
        <w:t>Warto również przywołać orzecznictwo Trybunału Sprawiedliwości Unii Europejskiej (TSUE), które potwierdza zgodność takich inicjatyw z unijnym prawem. Na przykład, w sprawie C-240/09 Lesoochranarske zoskupenie VLK przeciwko Słowacji, TSUE uznał, że organizacje ekologiczne mają prawo uczestniczyć w postępowaniach dotyczących ochrony środowiska, co podkreśla znaczenie społecznych inicjatyw w realizacji celów środowiskowych. Ponadto, w sprawie C-263/08 Djurgarden-Lilla Vartans Fiskevardsomradesfórening przeciwko Szwecji, TSUE orzekł, że państwa członkowskie mają obowiązek zapewnić organizacjom ekologicznym dostęp do wymiaru sprawiedliwości w sprawach dotyczących ochrony środowiska. Powołanie Społecznej Straży Leśnej jest zatem zgodne z unijnymi regulacjami oraz wspiera kluczowe cele polityki ochrony środowiska, przyczyniając się do ochrony przyrody oraz zrównoważonego rozwoju.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0" w:line="286" w:lineRule="auto"/>
        <w:ind w:left="0" w:right="0" w:firstLine="72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994" w:right="943" w:bottom="994" w:left="1236" w:header="0" w:footer="566" w:gutter="0"/>
          <w:cols w:space="720"/>
          <w:noEndnote/>
          <w:rtlGutter w:val="0"/>
          <w:docGrid w:linePitch="360"/>
        </w:sectPr>
      </w:pPr>
      <w:r>
        <w:rPr>
          <w:rStyle w:val="CharStyle5"/>
          <w:b/>
          <w:bCs/>
          <w:sz w:val="22"/>
          <w:szCs w:val="22"/>
        </w:rPr>
        <w:t xml:space="preserve">Argumenty na rzecz powołania Społecznej Straży Leśnej są liczne i niezwykle społecznie uzasadnione. </w:t>
      </w:r>
      <w:r>
        <w:rPr>
          <w:rStyle w:val="CharStyle5"/>
        </w:rPr>
        <w:t>Przede wszystkim, lasy w Polsce stanowią istomy element naszego dziedzictwa narodowego. Zwiększona ochrona poprzez zaangażowanie społeczne pomoże w zachowaniu tych zasobów dla przyszłych pokoleń. Państwowe służby leśne, mimo dużego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0" fillcolor="#FEFEFE" stroked="f"/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zaangażowania, nie są w stanie samodzielnie monitorować wszystkich terenów leśnych w Polsce. Społeczna Straż Leśna, działając jako dodatkowe wsparcie, może znacząco zwiększyć efektywność nadzoru i kontroli. Społeczna Straż Leśna, poprzez działania edukacyjne, może podnosić świadomość ekologiczną wśród obywateli, promując proekologiczne postawy oraz zachowania. Włączenie obywateli w procesy ochrony przyrody może przyczynić się do zwiększenia ich zaangażowania w sprawy lokalne oraz budowania poczucia odpowiedzialności za stan środowiska naturalnego. Transparenmość działań oraz aktywne włączanie społeczeństwa w ochronę lasów mogą zwiększyć zaufanie publiczne do instytucji państwowych oraz organizacji zajmujących się ochroną przyrody.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Warto tutaj wskazać przykład Społecznej Straży Rybackiej (SSR) to skuteczna społeczna formacja ochrony przyrody w Polsce, działająca na zasadzie wolontariatu i współpracująca z Państwową Strażą Rybacką (PSR) oraz Policją. Członkowie SSR monitorują zbiorniki wodne, zgłaszają przypadki kłusownictwa i prowadzą edukację na temat ochrony ryb i środowiska wodnego.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720"/>
        <w:jc w:val="left"/>
      </w:pPr>
      <w:r>
        <w:rPr>
          <w:rStyle w:val="CharStyle5"/>
        </w:rPr>
        <w:t>Edukacyjne inicjatywy SSR zwiększyły świadomość ekologiczną wśród wędkarzy i lokalnych społeczności. Podobne inicjatywy SSL mogłyby promować proekologiczne postawy, zgodnie z ustawą o ochronie przyrody. SSR wspiera PSR, zwiększając efektywność kontroli nad wodami śródlądowymi, co mogłoby być zastosowane w SSL dla ochrony lasów. Obecność strażników SSR działa prewencyjnie, zniechęcając do kłusownictwa; podobne działania SSL mogłyby zniechęcać do nielegalnej wycinki drzew i innych naruszeń przepisów leśnych.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0" w:right="0" w:firstLine="720"/>
        <w:jc w:val="both"/>
      </w:pPr>
      <w:r>
        <w:rPr>
          <w:rStyle w:val="CharStyle5"/>
          <w:b/>
          <w:bCs/>
          <w:sz w:val="22"/>
          <w:szCs w:val="22"/>
        </w:rPr>
        <w:t xml:space="preserve">Powołanie Społecznej Straży Leśnej w Polsce przyniosłoby liczne korzyści, </w:t>
      </w:r>
      <w:r>
        <w:rPr>
          <w:rStyle w:val="CharStyle5"/>
        </w:rPr>
        <w:t>takie jak zwiększenie skuteczności ochrony lasów, aktywizacja społeczeństwa oraz promocja postaw proekologicznych. Wzorce z innych krajów pokazują, że zaangażowanie obywateli w ochronę przyrody jest nie tylko możliwe, ale i niezbędne w kontekście zrównoważonego zarządzania zasobami leśnymi.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720"/>
        <w:jc w:val="both"/>
      </w:pPr>
      <w:r>
        <w:rPr>
          <w:rStyle w:val="CharStyle5"/>
        </w:rPr>
        <w:t>W związku z powyższym, zwracamy się do Pani Minister z prośbą o podjęcie inicjatywy ustawodawczej mającej na celu powołanie Społecznej Straży Leśnej, poprzez odpowiednią nowelizację ustawy o lasach.</w:t>
      </w:r>
      <w:r>
        <w:br w:type="page"/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34910" cy="10680065"/>
                <wp:wrapNone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34910" cy="10680065"/>
                        </a:xfrm>
                        <a:prstGeom prst="rect"/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3.30000000000007pt;height:840.95000000000005pt;z-index:-251658240;mso-position-horizontal-relative:page;mso-position-vertical-relative:page;z-index:-251658749" fillcolor="#FEFEFE" stroked="f"/>
            </w:pict>
          </mc:Fallback>
        </mc:AlternateConten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1014" w:right="924" w:bottom="1014" w:left="1260" w:header="586" w:footer="586" w:gutter="0"/>
      <w:pgNumType w:start="5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B3B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B3B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Podpis obrazu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Tekst treści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B3B3B"/>
      <w:u w:val="none"/>
    </w:rPr>
  </w:style>
  <w:style w:type="character" w:customStyle="1" w:styleId="CharStyle12">
    <w:name w:val="Tekst treści (2)_"/>
    <w:basedOn w:val="DefaultParagraphFont"/>
    <w:link w:val="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Podpis obrazu"/>
    <w:basedOn w:val="Normal"/>
    <w:link w:val="CharStyle3"/>
    <w:pPr>
      <w:widowControl w:val="0"/>
      <w:shd w:val="clear" w:color="auto" w:fill="auto"/>
      <w:spacing w:after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Tekst treści"/>
    <w:basedOn w:val="Normal"/>
    <w:link w:val="CharStyle5"/>
    <w:pPr>
      <w:widowControl w:val="0"/>
      <w:shd w:val="clear" w:color="auto" w:fill="auto"/>
      <w:spacing w:after="120" w:line="276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B3B3B"/>
      <w:u w:val="none"/>
    </w:rPr>
  </w:style>
  <w:style w:type="paragraph" w:customStyle="1" w:styleId="Style11">
    <w:name w:val="Tekst treści (2)"/>
    <w:basedOn w:val="Normal"/>
    <w:link w:val="CharStyle12"/>
    <w:pPr>
      <w:widowControl w:val="0"/>
      <w:shd w:val="clear" w:color="auto" w:fill="auto"/>
      <w:spacing w:after="530"/>
      <w:ind w:left="578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Kodak Capture Pro Software</dc:title>
  <dc:subject/>
  <dc:creator>Kodak Capture Pro ( Software )</dc:creator>
  <cp:keywords/>
</cp:coreProperties>
</file>