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541655</wp:posOffset>
            </wp:positionH>
            <wp:positionV relativeFrom="paragraph">
              <wp:posOffset>-25400</wp:posOffset>
            </wp:positionV>
            <wp:extent cx="682625" cy="74358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82625" cy="743585"/>
                    </a:xfrm>
                    <a:prstGeom prst="rect"/>
                  </pic:spPr>
                </pic:pic>
              </a:graphicData>
            </a:graphic>
          </wp:anchor>
        </w:drawing>
      </w:r>
      <w:bookmarkStart w:id="0" w:name="bookmark0"/>
      <w:r>
        <w:rPr>
          <w:rStyle w:val="CharStyle7"/>
        </w:rPr>
        <w:t>Minister</w:t>
      </w:r>
      <w:bookmarkEnd w:id="0"/>
    </w:p>
    <w:p>
      <w:pPr>
        <w:pStyle w:val="Style6"/>
        <w:keepNext/>
        <w:keepLines/>
        <w:widowControl w:val="0"/>
        <w:shd w:val="clear" w:color="auto" w:fill="auto"/>
        <w:bidi w:val="0"/>
        <w:spacing w:before="0" w:after="1320" w:line="216" w:lineRule="auto"/>
        <w:ind w:left="0" w:right="0" w:firstLine="0"/>
        <w:jc w:val="left"/>
      </w:pPr>
      <w:r>
        <w:rPr>
          <w:rStyle w:val="CharStyle7"/>
        </w:rPr>
        <w:t>Klimatu i Środowiska</w:t>
      </w:r>
    </w:p>
    <w:p>
      <w:pPr>
        <w:pStyle w:val="Style8"/>
        <w:keepNext w:val="0"/>
        <w:keepLines w:val="0"/>
        <w:widowControl w:val="0"/>
        <w:shd w:val="clear" w:color="auto" w:fill="auto"/>
        <w:bidi w:val="0"/>
        <w:spacing w:before="0" w:after="2420" w:line="240" w:lineRule="auto"/>
        <w:ind w:left="0" w:right="0" w:firstLine="0"/>
        <w:jc w:val="left"/>
      </w:pPr>
      <w:r>
        <w:rPr>
          <w:rStyle w:val="CharStyle9"/>
        </w:rPr>
        <w:t>Warszawa, 30-09-2024</w:t>
      </w:r>
    </w:p>
    <w:p>
      <w:pPr>
        <w:pStyle w:val="Style8"/>
        <w:keepNext w:val="0"/>
        <w:keepLines w:val="0"/>
        <w:widowControl w:val="0"/>
        <w:shd w:val="clear" w:color="auto" w:fill="auto"/>
        <w:bidi w:val="0"/>
        <w:spacing w:before="0" w:after="640" w:line="240" w:lineRule="auto"/>
        <w:ind w:left="0" w:right="0" w:firstLine="0"/>
        <w:jc w:val="left"/>
      </w:pPr>
      <w:r>
        <w:rPr>
          <w:rStyle w:val="CharStyle9"/>
        </w:rPr>
        <w:t xml:space="preserve">Szanowny </w:t>
      </w:r>
      <w:r>
        <w:rPr>
          <w:rStyle w:val="CharStyle9"/>
          <w:i/>
          <w:iCs/>
        </w:rPr>
        <w:t>Panie,</w:t>
      </w:r>
    </w:p>
    <w:p>
      <w:pPr>
        <w:pStyle w:val="Style8"/>
        <w:keepNext w:val="0"/>
        <w:keepLines w:val="0"/>
        <w:widowControl w:val="0"/>
        <w:shd w:val="clear" w:color="auto" w:fill="auto"/>
        <w:bidi w:val="0"/>
        <w:spacing w:before="0"/>
        <w:ind w:left="0" w:right="0" w:firstLine="0"/>
        <w:jc w:val="both"/>
      </w:pPr>
      <w:r>
        <w:rPr>
          <w:rStyle w:val="CharStyle9"/>
        </w:rPr>
        <w:t>w odpowiedzi na petycję z dnia 27 czerwca 2024 r. w sprawie zmian w prawie, tj. nowelizacji art. 184d ust. 1 ustawy z dnia 20 lutego 2015 r. o odnawialnych źródłach energii (Dz. U. z 2024 r. poz. 1361), dalej „uOZE”, poprzez zmianę terminu na dostarczenie energii elektrycznej po raz pierwszy do sieci wskazanego w tym ustępie z dnia 16 lipca 2024 r. na dzień 16 lipca 2027 r. informuje, co następuje.</w:t>
      </w:r>
    </w:p>
    <w:p>
      <w:pPr>
        <w:pStyle w:val="Style8"/>
        <w:keepNext w:val="0"/>
        <w:keepLines w:val="0"/>
        <w:widowControl w:val="0"/>
        <w:shd w:val="clear" w:color="auto" w:fill="auto"/>
        <w:bidi w:val="0"/>
        <w:spacing w:before="0"/>
        <w:ind w:left="0" w:right="0" w:firstLine="0"/>
        <w:jc w:val="both"/>
      </w:pPr>
      <w:r>
        <w:rPr>
          <w:rStyle w:val="CharStyle9"/>
        </w:rPr>
        <w:t>Zgodnie z art. 184d w brzmieniu nadanym nowelizacją uOZE z dnia 9 czerwca 2022 r. (Dz.U. z 2022 r. poz. 1260), umowy o przyłączenie do sieci, które nie zostały wcześniej wypowiedziane z przyczyn wskazanych w tym artykule, można było przedłużyć do dnia 16 lipca 2024 r. Przedsiębiorstwo energetyczne było zobowiązane do przedłużenia terminu dostarczenia po raz pierwszy do sieci energii elektrycznej zgodnie z wnioskiem wytwórcy, w terminie 30 dni od dnia złożenia takiego wniosku, jednak termin na dostarczenie po raz pierwszy energii elektrycznej musiał przypadać nie później niż do dnia 16 lipca 2024 r.</w:t>
      </w:r>
    </w:p>
    <w:p>
      <w:pPr>
        <w:pStyle w:val="Style8"/>
        <w:keepNext w:val="0"/>
        <w:keepLines w:val="0"/>
        <w:widowControl w:val="0"/>
        <w:shd w:val="clear" w:color="auto" w:fill="auto"/>
        <w:bidi w:val="0"/>
        <w:spacing w:before="0" w:line="266" w:lineRule="auto"/>
        <w:ind w:left="0" w:right="0" w:firstLine="0"/>
        <w:jc w:val="both"/>
      </w:pPr>
      <w:r>
        <w:rPr>
          <w:rStyle w:val="CharStyle9"/>
        </w:rPr>
        <w:t>W roku 2022 wydłużenie o 2 lata obowiązywania umów o przyłączenie do sieci, w których termin na dostarczenie po raz pierwszy energii elektrycznej do sieci przypadał przed dniem 30 czerwca 2022 r. postrzegane było jako:</w:t>
      </w:r>
    </w:p>
    <w:p>
      <w:pPr>
        <w:pStyle w:val="Style8"/>
        <w:keepNext w:val="0"/>
        <w:keepLines w:val="0"/>
        <w:widowControl w:val="0"/>
        <w:numPr>
          <w:ilvl w:val="0"/>
          <w:numId w:val="1"/>
        </w:numPr>
        <w:shd w:val="clear" w:color="auto" w:fill="auto"/>
        <w:tabs>
          <w:tab w:pos="730" w:val="left"/>
        </w:tabs>
        <w:bidi w:val="0"/>
        <w:spacing w:before="0" w:after="0"/>
        <w:ind w:left="0" w:right="0" w:firstLine="360"/>
        <w:jc w:val="both"/>
      </w:pPr>
      <w:r>
        <w:rPr>
          <w:rStyle w:val="CharStyle9"/>
        </w:rPr>
        <w:t>niezbędne dla realizacji inwestycji, które wygrały aukcje w 2018 i 2019 r.,</w:t>
      </w:r>
    </w:p>
    <w:p>
      <w:pPr>
        <w:pStyle w:val="Style8"/>
        <w:keepNext w:val="0"/>
        <w:keepLines w:val="0"/>
        <w:widowControl w:val="0"/>
        <w:numPr>
          <w:ilvl w:val="0"/>
          <w:numId w:val="1"/>
        </w:numPr>
        <w:shd w:val="clear" w:color="auto" w:fill="auto"/>
        <w:tabs>
          <w:tab w:pos="750" w:val="left"/>
        </w:tabs>
        <w:bidi w:val="0"/>
        <w:spacing w:before="0" w:after="0"/>
        <w:ind w:left="720" w:right="0" w:hanging="340"/>
        <w:jc w:val="both"/>
      </w:pPr>
      <w:r>
        <w:rPr>
          <w:rStyle w:val="CharStyle9"/>
        </w:rPr>
        <w:t>wymagane ze względu na zmiany wprowadzone w art. 45 ustawy z dnia 31 marca 2020 r. o zmianie ustawy o szczególnych rozwiązaniach związanych z zapobieganiem, przeciwdziałaniem i zwalczaniem COVID-19, innych chorób zakaźnych oraz wywołanych nimi sytuacji kryzysowych oraz niektórych innych ustaw (Dz. U. poz. 568), które polegały na wydłużeniu terminu realizacji zobowiązania uczestnika aukcji do sprzedaży po raz pierwszy energii elektrycznej w ramach systemu aukcyjnego oraz wydłużeniu analogicznych terminów w odniesieniu do wytwórców korzystających z systemów: taryf gwarantowanych - feed-in tariff (FiT) oraz dopłat do ceny rynkowej - feed-in premium (FiP),</w:t>
      </w:r>
    </w:p>
    <w:p>
      <w:pPr>
        <w:pStyle w:val="Style8"/>
        <w:keepNext w:val="0"/>
        <w:keepLines w:val="0"/>
        <w:widowControl w:val="0"/>
        <w:numPr>
          <w:ilvl w:val="0"/>
          <w:numId w:val="1"/>
        </w:numPr>
        <w:shd w:val="clear" w:color="auto" w:fill="auto"/>
        <w:tabs>
          <w:tab w:pos="750" w:val="left"/>
        </w:tabs>
        <w:bidi w:val="0"/>
        <w:spacing w:before="0" w:after="0"/>
        <w:ind w:left="720" w:right="0" w:hanging="340"/>
        <w:jc w:val="both"/>
      </w:pPr>
      <w:r>
        <w:rPr>
          <w:rStyle w:val="CharStyle9"/>
        </w:rPr>
        <w:t>zwiększające pewność inwestorów, co do możliwości realizacji inwestycji, poprzez ograniczenie ryzyka związanego z przyłączeniem tych instalacji do sieci,</w:t>
      </w:r>
    </w:p>
    <w:p>
      <w:pPr>
        <w:pStyle w:val="Style8"/>
        <w:keepNext w:val="0"/>
        <w:keepLines w:val="0"/>
        <w:widowControl w:val="0"/>
        <w:numPr>
          <w:ilvl w:val="0"/>
          <w:numId w:val="1"/>
        </w:numPr>
        <w:shd w:val="clear" w:color="auto" w:fill="auto"/>
        <w:tabs>
          <w:tab w:pos="750" w:val="left"/>
        </w:tabs>
        <w:bidi w:val="0"/>
        <w:spacing w:before="0" w:after="1240"/>
        <w:ind w:left="720" w:right="0" w:hanging="340"/>
        <w:jc w:val="both"/>
      </w:pPr>
      <w:r>
        <w:rPr>
          <w:rStyle w:val="CharStyle9"/>
        </w:rPr>
        <w:t>oczekiwane przez instytucje finansujące te przedsięwzięcia, dla których zaproponowane rozwiązanie zmniejszało ryzyko w procesie inwestycyjnym.</w:t>
      </w:r>
    </w:p>
    <w:p>
      <w:pPr>
        <w:pStyle w:val="Style2"/>
        <w:keepNext w:val="0"/>
        <w:keepLines w:val="0"/>
        <w:widowControl w:val="0"/>
        <w:shd w:val="clear" w:color="auto" w:fill="auto"/>
        <w:bidi w:val="0"/>
        <w:spacing w:before="0" w:after="0"/>
        <w:ind w:left="0" w:right="0" w:firstLine="0"/>
        <w:jc w:val="left"/>
      </w:pPr>
      <w:r>
        <mc:AlternateContent>
          <mc:Choice Requires="wps">
            <w:drawing>
              <wp:anchor distT="0" distB="0" distL="114300" distR="114300" simplePos="0" relativeHeight="125829379" behindDoc="0" locked="0" layoutInCell="1" allowOverlap="1">
                <wp:simplePos x="0" y="0"/>
                <wp:positionH relativeFrom="page">
                  <wp:posOffset>4522470</wp:posOffset>
                </wp:positionH>
                <wp:positionV relativeFrom="paragraph">
                  <wp:posOffset>12700</wp:posOffset>
                </wp:positionV>
                <wp:extent cx="1795145" cy="259080"/>
                <wp:wrapSquare wrapText="left"/>
                <wp:docPr id="3" name="Shape 3"/>
                <a:graphic xmlns:a="http://schemas.openxmlformats.org/drawingml/2006/main">
                  <a:graphicData uri="http://schemas.microsoft.com/office/word/2010/wordprocessingShape">
                    <wps:wsp>
                      <wps:cNvSpPr txBox="1"/>
                      <wps:spPr>
                        <a:xfrm>
                          <a:ext cx="1795145" cy="259080"/>
                        </a:xfrm>
                        <a:prstGeom prst="rect"/>
                        <a:noFill/>
                      </wps:spPr>
                      <wps:txbx>
                        <w:txbxContent>
                          <w:p>
                            <w:pPr>
                              <w:pStyle w:val="Style2"/>
                              <w:keepNext w:val="0"/>
                              <w:keepLines w:val="0"/>
                              <w:widowControl w:val="0"/>
                              <w:shd w:val="clear" w:color="auto" w:fill="auto"/>
                              <w:bidi w:val="0"/>
                              <w:spacing w:before="0" w:after="0"/>
                              <w:ind w:left="300" w:right="0" w:hanging="300"/>
                              <w:jc w:val="left"/>
                            </w:pPr>
                            <w:r>
                              <w:rPr>
                                <w:rStyle w:val="CharStyle3"/>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6.10000000000002pt;margin-top:1.pt;width:141.34999999999999pt;height:20.400000000000002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300" w:right="0" w:hanging="300"/>
                        <w:jc w:val="left"/>
                      </w:pPr>
                      <w:r>
                        <w:rPr>
                          <w:rStyle w:val="CharStyle3"/>
                        </w:rPr>
                        <w:t>ul. Wawelska 52/54, 00-922 Warszawa Ministerstwo Klimatu i Środowiska</w:t>
                      </w:r>
                    </w:p>
                  </w:txbxContent>
                </v:textbox>
                <w10:wrap type="square" side="left" anchorx="page"/>
              </v:shape>
            </w:pict>
          </mc:Fallback>
        </mc:AlternateContent>
      </w:r>
      <w:r>
        <w:rPr>
          <w:rStyle w:val="CharStyle3"/>
        </w:rPr>
        <w:t>Telefon: (+48) 22 369 29 00</w:t>
      </w:r>
    </w:p>
    <w:p>
      <w:pPr>
        <w:pStyle w:val="Style2"/>
        <w:keepNext w:val="0"/>
        <w:keepLines w:val="0"/>
        <w:widowControl w:val="0"/>
        <w:shd w:val="clear" w:color="auto" w:fill="auto"/>
        <w:bidi w:val="0"/>
        <w:spacing w:before="0" w:after="0"/>
        <w:ind w:left="0" w:right="0" w:firstLine="0"/>
        <w:jc w:val="left"/>
        <w:sectPr>
          <w:footnotePr>
            <w:pos w:val="pageBottom"/>
            <w:numFmt w:val="decimal"/>
            <w:numRestart w:val="continuous"/>
          </w:footnotePr>
          <w:pgSz w:w="11900" w:h="16840"/>
          <w:pgMar w:top="836" w:right="1889" w:bottom="507" w:left="2005" w:header="408" w:footer="79" w:gutter="0"/>
          <w:pgNumType w:start="1"/>
          <w:cols w:space="720"/>
          <w:noEndnote/>
          <w:rtlGutter w:val="0"/>
          <w:docGrid w:linePitch="360"/>
        </w:sectPr>
      </w:pPr>
      <w:r>
        <mc:AlternateContent>
          <mc:Choice Requires="wps">
            <w:drawing>
              <wp:anchor distT="0" distB="0" distL="114300" distR="114300" simplePos="0" relativeHeight="125829381" behindDoc="0" locked="0" layoutInCell="1" allowOverlap="1">
                <wp:simplePos x="0" y="0"/>
                <wp:positionH relativeFrom="page">
                  <wp:posOffset>2413000</wp:posOffset>
                </wp:positionH>
                <wp:positionV relativeFrom="paragraph">
                  <wp:posOffset>241300</wp:posOffset>
                </wp:positionV>
                <wp:extent cx="2813050" cy="121920"/>
                <wp:wrapTopAndBottom/>
                <wp:docPr id="5" name="Shape 5"/>
                <a:graphic xmlns:a="http://schemas.openxmlformats.org/drawingml/2006/main">
                  <a:graphicData uri="http://schemas.microsoft.com/office/word/2010/wordprocessingShape">
                    <wps:wsp>
                      <wps:cNvSpPr txBox="1"/>
                      <wps:spPr>
                        <a:xfrm>
                          <a:ext cx="2813050" cy="1219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90.pt;margin-top:19.pt;width:221.5pt;height:9.5999999999999996pt;z-index:-12582937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v:textbox>
                <w10:wrap type="topAndBottom" anchorx="page"/>
              </v:shape>
            </w:pict>
          </mc:Fallback>
        </mc:AlternateContent>
      </w:r>
      <w:r>
        <w:fldChar w:fldCharType="begin"/>
      </w:r>
      <w:r>
        <w:rPr/>
        <w:instrText> HYPERLINK "mailto:info@klimat.gov.pl" </w:instrText>
      </w:r>
      <w:r>
        <w:fldChar w:fldCharType="separate"/>
      </w:r>
      <w:r>
        <w:rPr>
          <w:rStyle w:val="CharStyle3"/>
          <w:lang w:val="en-US" w:eastAsia="en-US"/>
        </w:rPr>
        <w:t>info@klimat.gov.pl</w:t>
      </w:r>
      <w:r>
        <w:fldChar w:fldCharType="end"/>
      </w:r>
      <w:r>
        <w:rPr>
          <w:rStyle w:val="CharStyle3"/>
          <w:lang w:val="en-US" w:eastAsia="en-US"/>
        </w:rPr>
        <w:t xml:space="preserve"> </w:t>
      </w:r>
      <w:r>
        <w:fldChar w:fldCharType="begin"/>
      </w:r>
      <w:r>
        <w:rPr/>
        <w:instrText> HYPERLINK "http://www.gov.pl/klimat" </w:instrText>
      </w:r>
      <w:r>
        <w:fldChar w:fldCharType="separate"/>
      </w:r>
      <w:r>
        <w:rPr>
          <w:rStyle w:val="CharStyle3"/>
          <w:lang w:val="en-US" w:eastAsia="en-US"/>
        </w:rPr>
        <w:t>www.gov.pl/klimat</w:t>
      </w:r>
      <w:r>
        <w:fldChar w:fldCharType="end"/>
      </w:r>
    </w:p>
    <w:p>
      <w:pPr>
        <w:pStyle w:val="Style8"/>
        <w:keepNext w:val="0"/>
        <w:keepLines w:val="0"/>
        <w:widowControl w:val="0"/>
        <w:shd w:val="clear" w:color="auto" w:fill="auto"/>
        <w:bidi w:val="0"/>
        <w:spacing w:before="0" w:after="160"/>
        <w:ind w:left="0" w:right="0" w:firstLine="0"/>
        <w:jc w:val="both"/>
      </w:pPr>
      <w:r>
        <w:rPr>
          <w:rStyle w:val="CharStyle9"/>
        </w:rPr>
        <w:t>W chwili obecnej mamy do czynienia z sytuacją, w której nierealizowane inwestycje blokują moce przyłączeniowe dla inwestycji, które mogłyby zostać zrealizowane, gdyby uzyskały warunki przyłączenia.</w:t>
      </w:r>
    </w:p>
    <w:p>
      <w:pPr>
        <w:pStyle w:val="Style8"/>
        <w:keepNext w:val="0"/>
        <w:keepLines w:val="0"/>
        <w:widowControl w:val="0"/>
        <w:shd w:val="clear" w:color="auto" w:fill="auto"/>
        <w:bidi w:val="0"/>
        <w:spacing w:before="0" w:after="600"/>
        <w:ind w:left="0" w:right="0" w:firstLine="0"/>
        <w:jc w:val="both"/>
      </w:pPr>
      <w:r>
        <w:rPr>
          <w:rStyle w:val="CharStyle9"/>
        </w:rPr>
        <w:t>Przedłużenie już zawartych umów przyłączeniowych do dnia 16 lipca 2027 roku nie spowoduje szerokiego impulsu do powstania instalacji OZE, których budowa nie została rozpoczęta, a jedynie zablokuje moce przyłączeniowe dla nowoczesnych oraz efektywnych instalacji, które mogłyby wystartować w aukcjach OZE oraz zostać wybudowana po uzyskaniu finansowania.</w:t>
      </w:r>
    </w:p>
    <w:p>
      <w:pPr>
        <w:pStyle w:val="Style8"/>
        <w:keepNext w:val="0"/>
        <w:keepLines w:val="0"/>
        <w:widowControl w:val="0"/>
        <w:shd w:val="clear" w:color="auto" w:fill="auto"/>
        <w:bidi w:val="0"/>
        <w:spacing w:before="0" w:after="660" w:line="240" w:lineRule="auto"/>
        <w:ind w:left="0" w:right="0" w:firstLine="0"/>
        <w:jc w:val="both"/>
      </w:pPr>
      <w:r>
        <w:rPr>
          <w:rStyle w:val="CharStyle9"/>
        </w:rPr>
        <w:t>Z wyrazami szacunku</w:t>
      </w:r>
    </w:p>
    <w:p>
      <w:pPr>
        <w:pStyle w:val="Style8"/>
        <w:keepNext w:val="0"/>
        <w:keepLines w:val="0"/>
        <w:widowControl w:val="0"/>
        <w:shd w:val="clear" w:color="auto" w:fill="auto"/>
        <w:bidi w:val="0"/>
        <w:spacing w:before="0" w:after="600"/>
        <w:ind w:left="0" w:right="0" w:firstLine="0"/>
        <w:jc w:val="both"/>
      </w:pPr>
      <w:r>
        <w:rPr>
          <w:rStyle w:val="CharStyle9"/>
        </w:rPr>
        <w:t>Ministerstwo Klimatu i Środowiska / – podpisany cyfrowo/</w:t>
      </w:r>
    </w:p>
    <w:sectPr>
      <w:footnotePr>
        <w:pos w:val="pageBottom"/>
        <w:numFmt w:val="decimal"/>
        <w:numRestart w:val="continuous"/>
      </w:footnotePr>
      <w:pgSz w:w="11900" w:h="16840"/>
      <w:pgMar w:top="2094" w:right="1956" w:bottom="2094" w:left="1956" w:header="1666" w:footer="166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 (2)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Tekst treści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Nagłówek #1_"/>
    <w:basedOn w:val="DefaultParagraphFont"/>
    <w:link w:val="Style6"/>
    <w:rPr>
      <w:rFonts w:ascii="Corbel" w:eastAsia="Corbel" w:hAnsi="Corbel" w:cs="Corbel"/>
      <w:b w:val="0"/>
      <w:bCs w:val="0"/>
      <w:i w:val="0"/>
      <w:iCs w:val="0"/>
      <w:smallCaps w:val="0"/>
      <w:strike w:val="0"/>
      <w:sz w:val="36"/>
      <w:szCs w:val="36"/>
      <w:u w:val="none"/>
    </w:rPr>
  </w:style>
  <w:style w:type="character" w:customStyle="1" w:styleId="CharStyle9">
    <w:name w:val="Tekst treści_"/>
    <w:basedOn w:val="DefaultParagraphFont"/>
    <w:link w:val="Style8"/>
    <w:rPr>
      <w:rFonts w:ascii="Arial" w:eastAsia="Arial" w:hAnsi="Arial" w:cs="Arial"/>
      <w:b w:val="0"/>
      <w:bCs w:val="0"/>
      <w:i w:val="0"/>
      <w:iCs w:val="0"/>
      <w:smallCaps w:val="0"/>
      <w:strike w:val="0"/>
      <w:sz w:val="19"/>
      <w:szCs w:val="19"/>
      <w:u w:val="none"/>
    </w:rPr>
  </w:style>
  <w:style w:type="paragraph" w:customStyle="1" w:styleId="Style2">
    <w:name w:val="Tekst treści (2)"/>
    <w:basedOn w:val="Normal"/>
    <w:link w:val="CharStyle3"/>
    <w:pPr>
      <w:widowControl w:val="0"/>
      <w:shd w:val="clear" w:color="auto" w:fill="auto"/>
      <w:spacing w:line="266" w:lineRule="auto"/>
      <w:ind w:left="150"/>
    </w:pPr>
    <w:rPr>
      <w:rFonts w:ascii="Arial" w:eastAsia="Arial" w:hAnsi="Arial" w:cs="Arial"/>
      <w:b w:val="0"/>
      <w:bCs w:val="0"/>
      <w:i w:val="0"/>
      <w:iCs w:val="0"/>
      <w:smallCaps w:val="0"/>
      <w:strike w:val="0"/>
      <w:sz w:val="15"/>
      <w:szCs w:val="15"/>
      <w:u w:val="none"/>
    </w:rPr>
  </w:style>
  <w:style w:type="paragraph" w:customStyle="1" w:styleId="Style4">
    <w:name w:val="Tekst treści (3)"/>
    <w:basedOn w:val="Normal"/>
    <w:link w:val="CharStyle5"/>
    <w:pPr>
      <w:widowControl w:val="0"/>
      <w:shd w:val="clear" w:color="auto" w:fill="auto"/>
    </w:pPr>
    <w:rPr>
      <w:rFonts w:ascii="Arial" w:eastAsia="Arial" w:hAnsi="Arial" w:cs="Arial"/>
      <w:b w:val="0"/>
      <w:bCs w:val="0"/>
      <w:i w:val="0"/>
      <w:iCs w:val="0"/>
      <w:smallCaps w:val="0"/>
      <w:strike w:val="0"/>
      <w:sz w:val="13"/>
      <w:szCs w:val="13"/>
      <w:u w:val="none"/>
    </w:rPr>
  </w:style>
  <w:style w:type="paragraph" w:customStyle="1" w:styleId="Style6">
    <w:name w:val="Nagłówek #1"/>
    <w:basedOn w:val="Normal"/>
    <w:link w:val="CharStyle7"/>
    <w:pPr>
      <w:widowControl w:val="0"/>
      <w:shd w:val="clear" w:color="auto" w:fill="auto"/>
      <w:spacing w:after="660" w:line="228" w:lineRule="auto"/>
      <w:outlineLvl w:val="0"/>
    </w:pPr>
    <w:rPr>
      <w:rFonts w:ascii="Corbel" w:eastAsia="Corbel" w:hAnsi="Corbel" w:cs="Corbel"/>
      <w:b w:val="0"/>
      <w:bCs w:val="0"/>
      <w:i w:val="0"/>
      <w:iCs w:val="0"/>
      <w:smallCaps w:val="0"/>
      <w:strike w:val="0"/>
      <w:sz w:val="36"/>
      <w:szCs w:val="36"/>
      <w:u w:val="none"/>
    </w:rPr>
  </w:style>
  <w:style w:type="paragraph" w:customStyle="1" w:styleId="Style8">
    <w:name w:val="Tekst treści"/>
    <w:basedOn w:val="Normal"/>
    <w:link w:val="CharStyle9"/>
    <w:pPr>
      <w:widowControl w:val="0"/>
      <w:shd w:val="clear" w:color="auto" w:fill="auto"/>
      <w:spacing w:after="180" w:line="264"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Minister Klimatu i Środowiska kolor</dc:title>
  <dc:subject/>
  <dc:creator/>
  <cp:keywords>PL, KOLOR</cp:keywords>
</cp:coreProperties>
</file>