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0880" w14:textId="77777777" w:rsidR="007572A4" w:rsidRDefault="007F0047">
      <w:pPr>
        <w:spacing w:after="435" w:line="273" w:lineRule="auto"/>
        <w:ind w:left="144" w:right="0" w:hanging="5"/>
      </w:pPr>
      <w:r>
        <w:rPr>
          <w:noProof/>
        </w:rPr>
        <w:drawing>
          <wp:anchor distT="0" distB="0" distL="114300" distR="114300" simplePos="0" relativeHeight="251658240" behindDoc="0" locked="0" layoutInCell="1" allowOverlap="0" wp14:anchorId="675C6D5C" wp14:editId="5FDC4BB2">
            <wp:simplePos x="0" y="0"/>
            <wp:positionH relativeFrom="column">
              <wp:posOffset>896112</wp:posOffset>
            </wp:positionH>
            <wp:positionV relativeFrom="paragraph">
              <wp:posOffset>437577</wp:posOffset>
            </wp:positionV>
            <wp:extent cx="688848" cy="374913"/>
            <wp:effectExtent l="0" t="0" r="0" b="0"/>
            <wp:wrapSquare wrapText="bothSides"/>
            <wp:docPr id="5979" name="Picture 5979"/>
            <wp:cNvGraphicFramePr/>
            <a:graphic xmlns:a="http://schemas.openxmlformats.org/drawingml/2006/main">
              <a:graphicData uri="http://schemas.openxmlformats.org/drawingml/2006/picture">
                <pic:pic xmlns:pic="http://schemas.openxmlformats.org/drawingml/2006/picture">
                  <pic:nvPicPr>
                    <pic:cNvPr id="5979" name="Picture 5979"/>
                    <pic:cNvPicPr/>
                  </pic:nvPicPr>
                  <pic:blipFill>
                    <a:blip r:embed="rId7"/>
                    <a:stretch>
                      <a:fillRect/>
                    </a:stretch>
                  </pic:blipFill>
                  <pic:spPr>
                    <a:xfrm>
                      <a:off x="0" y="0"/>
                      <a:ext cx="688848" cy="374913"/>
                    </a:xfrm>
                    <a:prstGeom prst="rect">
                      <a:avLst/>
                    </a:prstGeom>
                  </pic:spPr>
                </pic:pic>
              </a:graphicData>
            </a:graphic>
          </wp:anchor>
        </w:drawing>
      </w:r>
      <w:r>
        <w:rPr>
          <w:noProof/>
        </w:rPr>
        <w:drawing>
          <wp:anchor distT="0" distB="0" distL="114300" distR="114300" simplePos="0" relativeHeight="251659264" behindDoc="0" locked="0" layoutInCell="1" allowOverlap="0" wp14:anchorId="2150CD5F" wp14:editId="33E389F5">
            <wp:simplePos x="0" y="0"/>
            <wp:positionH relativeFrom="column">
              <wp:posOffset>-3063239</wp:posOffset>
            </wp:positionH>
            <wp:positionV relativeFrom="paragraph">
              <wp:posOffset>501586</wp:posOffset>
            </wp:positionV>
            <wp:extent cx="1088136" cy="1103402"/>
            <wp:effectExtent l="0" t="0" r="0" b="0"/>
            <wp:wrapSquare wrapText="bothSides"/>
            <wp:docPr id="15399" name="Picture 15399"/>
            <wp:cNvGraphicFramePr/>
            <a:graphic xmlns:a="http://schemas.openxmlformats.org/drawingml/2006/main">
              <a:graphicData uri="http://schemas.openxmlformats.org/drawingml/2006/picture">
                <pic:pic xmlns:pic="http://schemas.openxmlformats.org/drawingml/2006/picture">
                  <pic:nvPicPr>
                    <pic:cNvPr id="15399" name="Picture 15399"/>
                    <pic:cNvPicPr/>
                  </pic:nvPicPr>
                  <pic:blipFill>
                    <a:blip r:embed="rId8"/>
                    <a:stretch>
                      <a:fillRect/>
                    </a:stretch>
                  </pic:blipFill>
                  <pic:spPr>
                    <a:xfrm>
                      <a:off x="0" y="0"/>
                      <a:ext cx="1088136" cy="1103402"/>
                    </a:xfrm>
                    <a:prstGeom prst="rect">
                      <a:avLst/>
                    </a:prstGeom>
                  </pic:spPr>
                </pic:pic>
              </a:graphicData>
            </a:graphic>
          </wp:anchor>
        </w:drawing>
      </w:r>
      <w:r>
        <w:t>Wrocław, dnia 18 stycznia 2024 r.</w:t>
      </w:r>
    </w:p>
    <w:p w14:paraId="59130385" w14:textId="77777777" w:rsidR="007572A4" w:rsidRDefault="007F0047">
      <w:pPr>
        <w:spacing w:before="10" w:after="0" w:line="259" w:lineRule="auto"/>
        <w:ind w:left="1421" w:right="0" w:firstLine="0"/>
        <w:jc w:val="left"/>
      </w:pPr>
      <w:r>
        <w:rPr>
          <w:rFonts w:ascii="Calibri" w:eastAsia="Calibri" w:hAnsi="Calibri" w:cs="Calibri"/>
          <w:sz w:val="18"/>
        </w:rPr>
        <w:t>RPW/6107/2024 P</w:t>
      </w:r>
    </w:p>
    <w:p w14:paraId="497AEA2B" w14:textId="77777777" w:rsidR="007572A4" w:rsidRDefault="007F0047">
      <w:pPr>
        <w:spacing w:after="3" w:line="259" w:lineRule="auto"/>
        <w:ind w:left="1416" w:right="0" w:firstLine="9"/>
        <w:jc w:val="left"/>
      </w:pPr>
      <w:r>
        <w:rPr>
          <w:rFonts w:ascii="Calibri" w:eastAsia="Calibri" w:hAnsi="Calibri" w:cs="Calibri"/>
          <w:sz w:val="20"/>
        </w:rPr>
        <w:t>Data : 2024-01-24</w:t>
      </w:r>
    </w:p>
    <w:p w14:paraId="0B766032" w14:textId="77777777" w:rsidR="007572A4" w:rsidRDefault="007F0047">
      <w:pPr>
        <w:spacing w:after="489" w:line="259" w:lineRule="auto"/>
        <w:ind w:left="0" w:right="283" w:firstLine="0"/>
        <w:jc w:val="center"/>
      </w:pPr>
      <w:proofErr w:type="spellStart"/>
      <w:r>
        <w:rPr>
          <w:rFonts w:ascii="Courier New" w:eastAsia="Courier New" w:hAnsi="Courier New" w:cs="Courier New"/>
          <w:sz w:val="16"/>
        </w:rPr>
        <w:t>MKiS</w:t>
      </w:r>
      <w:proofErr w:type="spellEnd"/>
    </w:p>
    <w:p w14:paraId="57551935" w14:textId="77777777" w:rsidR="007572A4" w:rsidRDefault="007F0047">
      <w:pPr>
        <w:spacing w:after="27" w:line="259" w:lineRule="auto"/>
        <w:ind w:left="-5" w:right="0" w:hanging="10"/>
        <w:jc w:val="left"/>
      </w:pPr>
      <w:r>
        <w:rPr>
          <w:sz w:val="28"/>
        </w:rPr>
        <w:t>Szanowna Pani</w:t>
      </w:r>
    </w:p>
    <w:p w14:paraId="76B4E52F" w14:textId="77777777" w:rsidR="007572A4" w:rsidRDefault="007F0047">
      <w:pPr>
        <w:spacing w:after="27" w:line="259" w:lineRule="auto"/>
        <w:ind w:left="-5" w:right="0" w:hanging="10"/>
        <w:jc w:val="left"/>
      </w:pPr>
      <w:r>
        <w:rPr>
          <w:sz w:val="28"/>
        </w:rPr>
        <w:t xml:space="preserve">Paulina </w:t>
      </w:r>
      <w:proofErr w:type="spellStart"/>
      <w:r>
        <w:rPr>
          <w:sz w:val="28"/>
        </w:rPr>
        <w:t>Hennig</w:t>
      </w:r>
      <w:proofErr w:type="spellEnd"/>
      <w:r>
        <w:rPr>
          <w:sz w:val="28"/>
        </w:rPr>
        <w:t>-Kloska</w:t>
      </w:r>
    </w:p>
    <w:p w14:paraId="14C94199" w14:textId="77777777" w:rsidR="007572A4" w:rsidRDefault="007F0047">
      <w:pPr>
        <w:spacing w:after="27" w:line="259" w:lineRule="auto"/>
        <w:ind w:left="-5" w:right="0" w:hanging="10"/>
        <w:jc w:val="left"/>
      </w:pPr>
      <w:r>
        <w:rPr>
          <w:sz w:val="28"/>
        </w:rPr>
        <w:t xml:space="preserve">Ministra Klimatu i </w:t>
      </w:r>
      <w:proofErr w:type="spellStart"/>
      <w:r>
        <w:rPr>
          <w:sz w:val="28"/>
        </w:rPr>
        <w:t>Srodowiska</w:t>
      </w:r>
      <w:proofErr w:type="spellEnd"/>
    </w:p>
    <w:p w14:paraId="07E65870" w14:textId="77777777" w:rsidR="007572A4" w:rsidRDefault="007F0047">
      <w:pPr>
        <w:spacing w:after="27" w:line="259" w:lineRule="auto"/>
        <w:ind w:left="-5" w:right="0" w:hanging="10"/>
        <w:jc w:val="left"/>
      </w:pPr>
      <w:r>
        <w:rPr>
          <w:sz w:val="28"/>
        </w:rPr>
        <w:t>Wawelska 52/54</w:t>
      </w:r>
    </w:p>
    <w:p w14:paraId="2ADB699A" w14:textId="77777777" w:rsidR="007572A4" w:rsidRDefault="007F0047">
      <w:pPr>
        <w:spacing w:after="27" w:line="440" w:lineRule="auto"/>
        <w:ind w:left="-3509" w:right="269" w:firstLine="3509"/>
        <w:jc w:val="left"/>
      </w:pPr>
      <w:r>
        <w:rPr>
          <w:sz w:val="28"/>
        </w:rPr>
        <w:t xml:space="preserve">00-922 Warszawa </w:t>
      </w:r>
      <w:r>
        <w:rPr>
          <w:noProof/>
        </w:rPr>
        <w:drawing>
          <wp:inline distT="0" distB="0" distL="0" distR="0" wp14:anchorId="3B304AAE" wp14:editId="46ADC469">
            <wp:extent cx="2048256" cy="307855"/>
            <wp:effectExtent l="0" t="0" r="0" b="0"/>
            <wp:docPr id="15401" name="Picture 15401"/>
            <wp:cNvGraphicFramePr/>
            <a:graphic xmlns:a="http://schemas.openxmlformats.org/drawingml/2006/main">
              <a:graphicData uri="http://schemas.openxmlformats.org/drawingml/2006/picture">
                <pic:pic xmlns:pic="http://schemas.openxmlformats.org/drawingml/2006/picture">
                  <pic:nvPicPr>
                    <pic:cNvPr id="15401" name="Picture 15401"/>
                    <pic:cNvPicPr/>
                  </pic:nvPicPr>
                  <pic:blipFill>
                    <a:blip r:embed="rId9"/>
                    <a:stretch>
                      <a:fillRect/>
                    </a:stretch>
                  </pic:blipFill>
                  <pic:spPr>
                    <a:xfrm>
                      <a:off x="0" y="0"/>
                      <a:ext cx="2048256" cy="307855"/>
                    </a:xfrm>
                    <a:prstGeom prst="rect">
                      <a:avLst/>
                    </a:prstGeom>
                  </pic:spPr>
                </pic:pic>
              </a:graphicData>
            </a:graphic>
          </wp:inline>
        </w:drawing>
      </w:r>
      <w:r>
        <w:rPr>
          <w:sz w:val="28"/>
        </w:rPr>
        <w:t>in/64ro</w:t>
      </w:r>
    </w:p>
    <w:p w14:paraId="3E6EF32A" w14:textId="77777777" w:rsidR="007572A4" w:rsidRDefault="007572A4">
      <w:pPr>
        <w:sectPr w:rsidR="007572A4">
          <w:footerReference w:type="even" r:id="rId10"/>
          <w:footerReference w:type="default" r:id="rId11"/>
          <w:footerReference w:type="first" r:id="rId12"/>
          <w:footnotePr>
            <w:numRestart w:val="eachPage"/>
          </w:footnotePr>
          <w:pgSz w:w="11808" w:h="16954"/>
          <w:pgMar w:top="622" w:right="1349" w:bottom="2150" w:left="6974" w:header="708" w:footer="989" w:gutter="0"/>
          <w:cols w:space="708"/>
        </w:sectPr>
      </w:pPr>
    </w:p>
    <w:p w14:paraId="41737144" w14:textId="77777777" w:rsidR="007572A4" w:rsidRDefault="007F0047">
      <w:pPr>
        <w:spacing w:after="217" w:line="273" w:lineRule="auto"/>
        <w:ind w:left="28" w:right="0" w:firstLine="72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354C9C3" wp14:editId="36CCFA9C">
                <wp:simplePos x="0" y="0"/>
                <wp:positionH relativeFrom="page">
                  <wp:posOffset>871728</wp:posOffset>
                </wp:positionH>
                <wp:positionV relativeFrom="page">
                  <wp:posOffset>9561802</wp:posOffset>
                </wp:positionV>
                <wp:extent cx="5797296" cy="9144"/>
                <wp:effectExtent l="0" t="0" r="0" b="0"/>
                <wp:wrapTopAndBottom/>
                <wp:docPr id="15404" name="Group 15404"/>
                <wp:cNvGraphicFramePr/>
                <a:graphic xmlns:a="http://schemas.openxmlformats.org/drawingml/2006/main">
                  <a:graphicData uri="http://schemas.microsoft.com/office/word/2010/wordprocessingGroup">
                    <wpg:wgp>
                      <wpg:cNvGrpSpPr/>
                      <wpg:grpSpPr>
                        <a:xfrm>
                          <a:off x="0" y="0"/>
                          <a:ext cx="5797296" cy="9144"/>
                          <a:chOff x="0" y="0"/>
                          <a:chExt cx="5797296" cy="9144"/>
                        </a:xfrm>
                      </wpg:grpSpPr>
                      <wps:wsp>
                        <wps:cNvPr id="15403" name="Shape 15403"/>
                        <wps:cNvSpPr/>
                        <wps:spPr>
                          <a:xfrm>
                            <a:off x="0" y="0"/>
                            <a:ext cx="5797296" cy="9144"/>
                          </a:xfrm>
                          <a:custGeom>
                            <a:avLst/>
                            <a:gdLst/>
                            <a:ahLst/>
                            <a:cxnLst/>
                            <a:rect l="0" t="0" r="0" b="0"/>
                            <a:pathLst>
                              <a:path w="5797296" h="9144">
                                <a:moveTo>
                                  <a:pt x="0" y="4572"/>
                                </a:moveTo>
                                <a:lnTo>
                                  <a:pt x="57972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404" style="width:456.48pt;height:0.719971pt;position:absolute;mso-position-horizontal-relative:page;mso-position-horizontal:absolute;margin-left:68.64pt;mso-position-vertical-relative:page;margin-top:752.898pt;" coordsize="57972,91">
                <v:shape id="Shape 15403" style="position:absolute;width:57972;height:91;left:0;top:0;" coordsize="5797296,9144" path="m0,4572l5797296,4572">
                  <v:stroke weight="0.719971pt" endcap="flat" joinstyle="miter" miterlimit="1" on="true" color="#000000"/>
                  <v:fill on="false" color="#000000"/>
                </v:shape>
                <w10:wrap type="topAndBottom"/>
              </v:group>
            </w:pict>
          </mc:Fallback>
        </mc:AlternateContent>
      </w:r>
      <w:r>
        <w:t xml:space="preserve">W trosce o szeroko pojęty interes Rzeczypospolitej Polskiej oraz bezpieczeństwo obywateli działając w imieniu Polskiego Stowarzyszenia Myślistwa Łuczniczego, niniejszym zwracamy się z prośbą o rozważenie możliwości dokonania zmian ustawowych dopuszczających myśliwski łuk bloczkowy do wykonywania polowania. Chętnie skorzystamy z okazji by podczas spotkania z Panią </w:t>
      </w:r>
      <w:proofErr w:type="spellStart"/>
      <w:r>
        <w:t>Ministrą</w:t>
      </w:r>
      <w:proofErr w:type="spellEnd"/>
      <w:r>
        <w:t xml:space="preserve"> osobiście uzasadnić argumenty, które prezentujemy poniżej.</w:t>
      </w:r>
    </w:p>
    <w:p w14:paraId="04CD23D6" w14:textId="77777777" w:rsidR="007572A4" w:rsidRDefault="007F0047">
      <w:pPr>
        <w:spacing w:after="0" w:line="273" w:lineRule="auto"/>
        <w:ind w:left="33" w:right="0" w:hanging="5"/>
      </w:pPr>
      <w:r>
        <w:t xml:space="preserve">Nasza organizacja Polskie Stowarzyszenie Myślistwa Łuczniczego — </w:t>
      </w:r>
      <w:proofErr w:type="spellStart"/>
      <w:r>
        <w:t>Polish</w:t>
      </w:r>
      <w:proofErr w:type="spellEnd"/>
      <w:r>
        <w:t xml:space="preserve"> </w:t>
      </w:r>
      <w:proofErr w:type="spellStart"/>
      <w:r>
        <w:t>Bowhunting</w:t>
      </w:r>
      <w:proofErr w:type="spellEnd"/>
      <w:r>
        <w:t xml:space="preserve"> </w:t>
      </w:r>
      <w:proofErr w:type="spellStart"/>
      <w:r>
        <w:t>Association</w:t>
      </w:r>
      <w:proofErr w:type="spellEnd"/>
      <w:r>
        <w:t xml:space="preserve"> (PBA) (https://www.bowhunter.pl, https://www.pzlow.pl/lucznictwo) zrzesza 544 myśliwych łuczników z międzynarodowymi uprawnieniami do polowania z łukiem. Od wielu lat z powodzeniem polujemy łuczniczo poza granicami kraju, dowodząc, iż nowoczesny łuk myśliwski jest zarówno skutecznym, precyzyjnym jak i etycznym narzędziem do pozyskiwania zwierzyny, także w porze nocnej — w szczególności dzików. W 2017 roku uzyskaliśmy akredytację Europejskiej Federacji Myślistwa Łuczniczego w ra</w:t>
      </w:r>
      <w:r>
        <w:t xml:space="preserve">mach której 38 członków Stowarzyszenia uzyskało na przestrzeni kolejnych lat uprawnienia Instruktorów Myślistwa Łuczniczego wg. standardów International </w:t>
      </w:r>
      <w:proofErr w:type="spellStart"/>
      <w:r>
        <w:t>Bowhunter</w:t>
      </w:r>
      <w:proofErr w:type="spellEnd"/>
      <w:r>
        <w:t xml:space="preserve"> </w:t>
      </w:r>
      <w:proofErr w:type="spellStart"/>
      <w:r>
        <w:t>Bowhunting</w:t>
      </w:r>
      <w:proofErr w:type="spellEnd"/>
      <w:r>
        <w:t xml:space="preserve"> Program IBEP. W świetle ostatnich wydarzeń jakie miały miejsce w Gdańsku, gdzie w centrum miasta dzik zaatakował kobietę ciężko ją raniąc składamy propozycję nieodpłatnej regulacji populacji zwierzyny dziko żyjącej w aglomeracjach miejskich. Opierając się na doświadczeniach stosowanych w innych krajach Europy </w:t>
      </w:r>
      <w:r>
        <w:rPr>
          <w:vertAlign w:val="superscript"/>
        </w:rPr>
        <w:t xml:space="preserve">I </w:t>
      </w:r>
      <w:r>
        <w:t>przedstawiamy jako przykł</w:t>
      </w:r>
      <w:r>
        <w:t>ad Madryt, gdzie</w:t>
      </w:r>
    </w:p>
    <w:p w14:paraId="4CE46BF5" w14:textId="77777777" w:rsidR="007572A4" w:rsidRDefault="007F0047">
      <w:pPr>
        <w:spacing w:after="139" w:line="259" w:lineRule="auto"/>
        <w:ind w:left="19" w:right="0" w:firstLine="0"/>
        <w:jc w:val="left"/>
      </w:pPr>
      <w:r>
        <w:rPr>
          <w:rFonts w:ascii="Calibri" w:eastAsia="Calibri" w:hAnsi="Calibri" w:cs="Calibri"/>
          <w:noProof/>
          <w:sz w:val="22"/>
        </w:rPr>
        <mc:AlternateContent>
          <mc:Choice Requires="wpg">
            <w:drawing>
              <wp:inline distT="0" distB="0" distL="0" distR="0" wp14:anchorId="70B6F20F" wp14:editId="35711CEA">
                <wp:extent cx="1834896" cy="12192"/>
                <wp:effectExtent l="0" t="0" r="0" b="0"/>
                <wp:docPr id="15406" name="Group 15406"/>
                <wp:cNvGraphicFramePr/>
                <a:graphic xmlns:a="http://schemas.openxmlformats.org/drawingml/2006/main">
                  <a:graphicData uri="http://schemas.microsoft.com/office/word/2010/wordprocessingGroup">
                    <wpg:wgp>
                      <wpg:cNvGrpSpPr/>
                      <wpg:grpSpPr>
                        <a:xfrm>
                          <a:off x="0" y="0"/>
                          <a:ext cx="1834896" cy="12192"/>
                          <a:chOff x="0" y="0"/>
                          <a:chExt cx="1834896" cy="12192"/>
                        </a:xfrm>
                      </wpg:grpSpPr>
                      <wps:wsp>
                        <wps:cNvPr id="15405" name="Shape 15405"/>
                        <wps:cNvSpPr/>
                        <wps:spPr>
                          <a:xfrm>
                            <a:off x="0" y="0"/>
                            <a:ext cx="1834896" cy="12192"/>
                          </a:xfrm>
                          <a:custGeom>
                            <a:avLst/>
                            <a:gdLst/>
                            <a:ahLst/>
                            <a:cxnLst/>
                            <a:rect l="0" t="0" r="0" b="0"/>
                            <a:pathLst>
                              <a:path w="1834896" h="12192">
                                <a:moveTo>
                                  <a:pt x="0" y="6096"/>
                                </a:moveTo>
                                <a:lnTo>
                                  <a:pt x="18348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406" style="width:144.48pt;height:0.960022pt;mso-position-horizontal-relative:char;mso-position-vertical-relative:line" coordsize="18348,121">
                <v:shape id="Shape 15405" style="position:absolute;width:18348;height:121;left:0;top:0;" coordsize="1834896,12192" path="m0,6096l1834896,6096">
                  <v:stroke weight="0.960022pt" endcap="flat" joinstyle="miter" miterlimit="1" on="true" color="#000000"/>
                  <v:fill on="false" color="#000000"/>
                </v:shape>
              </v:group>
            </w:pict>
          </mc:Fallback>
        </mc:AlternateContent>
      </w:r>
    </w:p>
    <w:p w14:paraId="720E7E14" w14:textId="77777777" w:rsidR="007572A4" w:rsidRDefault="007F0047">
      <w:pPr>
        <w:spacing w:after="3" w:line="259" w:lineRule="auto"/>
        <w:ind w:left="18" w:right="0" w:firstLine="9"/>
        <w:jc w:val="left"/>
      </w:pPr>
      <w:r>
        <w:rPr>
          <w:rFonts w:ascii="Calibri" w:eastAsia="Calibri" w:hAnsi="Calibri" w:cs="Calibri"/>
          <w:sz w:val="20"/>
          <w:vertAlign w:val="superscript"/>
        </w:rPr>
        <w:t xml:space="preserve">1 </w:t>
      </w:r>
      <w:r>
        <w:rPr>
          <w:rFonts w:ascii="Calibri" w:eastAsia="Calibri" w:hAnsi="Calibri" w:cs="Calibri"/>
          <w:sz w:val="20"/>
        </w:rPr>
        <w:t>Wg danych opublikowanych na oficjalnej stronie Europejskiej Federacji Myślistwa Łuczniczego</w:t>
      </w:r>
    </w:p>
    <w:p w14:paraId="3107AA92" w14:textId="77777777" w:rsidR="007572A4" w:rsidRDefault="007F0047">
      <w:pPr>
        <w:spacing w:after="3" w:line="259" w:lineRule="auto"/>
        <w:ind w:left="18" w:right="0" w:firstLine="9"/>
        <w:jc w:val="left"/>
      </w:pPr>
      <w:r>
        <w:rPr>
          <w:rFonts w:ascii="Calibri" w:eastAsia="Calibri" w:hAnsi="Calibri" w:cs="Calibri"/>
          <w:sz w:val="20"/>
        </w:rPr>
        <w:t xml:space="preserve">(http://www.europeanbowhunting.org/index.php/nations) na dzień złożenia niniejszego wniosku, łuk myśliwski jako narzędzie łowieckie dopuszczony jest w następujących krajach Europy: </w:t>
      </w:r>
      <w:proofErr w:type="spellStart"/>
      <w:r>
        <w:rPr>
          <w:rFonts w:ascii="Calibri" w:eastAsia="Calibri" w:hAnsi="Calibri" w:cs="Calibri"/>
          <w:sz w:val="20"/>
        </w:rPr>
        <w:t>Alandy</w:t>
      </w:r>
      <w:proofErr w:type="spellEnd"/>
      <w:r>
        <w:rPr>
          <w:rFonts w:ascii="Calibri" w:eastAsia="Calibri" w:hAnsi="Calibri" w:cs="Calibri"/>
          <w:sz w:val="20"/>
        </w:rPr>
        <w:t>, Bułgaria, Chorwacja, Dania, Estonia, Francja, Grenlandia, Hiszpania, Finlandia, Portugalia, Serbia, Słowacja, Turcja, Węgry, Włochy.</w:t>
      </w:r>
    </w:p>
    <w:p w14:paraId="0E276CB2" w14:textId="77777777" w:rsidR="007572A4" w:rsidRDefault="007F0047">
      <w:pPr>
        <w:spacing w:after="224"/>
        <w:ind w:left="34" w:right="34" w:firstLine="10"/>
      </w:pPr>
      <w:r>
        <w:t xml:space="preserve">pięćdziesięcioosobowa grupa hiszpańskich myśliwych łuczników, od 2012 r. z niesłabnącym powodzeniem, w ramach odstrzałów redukcyjnych chroni granice stołecznego miasta przed inwazją dzików. Przedmiotowa metoda, pozwala w skuteczny, a jednocześnie wyjątkowo </w:t>
      </w:r>
      <w:r>
        <w:lastRenderedPageBreak/>
        <w:t>dyskretny sposób, znacząco ograniczać napływ zwierzyny na tereny miejskie, co w efekcie przekłada się na obniżenie kosztów (odstrzał lub odłów i transport zwierzyny), a przez swój dyskrecjonalny, niemal niezauważalny charakter, nie wywołuje negatywnych reakcji na gruncie szeroko rozumianej opinii.</w:t>
      </w:r>
    </w:p>
    <w:p w14:paraId="1981B159" w14:textId="77777777" w:rsidR="007572A4" w:rsidRDefault="007F0047">
      <w:pPr>
        <w:spacing w:after="242"/>
        <w:ind w:left="34" w:right="34" w:firstLine="10"/>
      </w:pPr>
      <w:r>
        <w:t xml:space="preserve">Opisywana metoda kontrolowania populacji zwierzyny na terenach miejskich, została w 2012r. zarekomendowana m.in. przez C.I.C. (The International </w:t>
      </w:r>
      <w:proofErr w:type="spellStart"/>
      <w:r>
        <w:t>Council</w:t>
      </w:r>
      <w:proofErr w:type="spellEnd"/>
      <w:r>
        <w:t xml:space="preserve"> for Game and Wildlife </w:t>
      </w:r>
      <w:proofErr w:type="spellStart"/>
      <w:r>
        <w:t>Conservation</w:t>
      </w:r>
      <w:proofErr w:type="spellEnd"/>
      <w:r>
        <w:t xml:space="preserve">) </w:t>
      </w:r>
      <w:r>
        <w:rPr>
          <w:vertAlign w:val="superscript"/>
        </w:rPr>
        <w:footnoteReference w:id="1"/>
      </w:r>
    </w:p>
    <w:p w14:paraId="1F7D5E27" w14:textId="77777777" w:rsidR="007572A4" w:rsidRDefault="007F0047">
      <w:pPr>
        <w:spacing w:after="246"/>
        <w:ind w:left="34" w:right="34" w:firstLine="5"/>
      </w:pPr>
      <w:r>
        <w:t xml:space="preserve">Deklarowana przez nas pomoc, polegałaby na wykonywaniu polowania łuczniczego przez myśliwych posiadających min. podstawowe uprawnienia łowieckie krajowe, będących jednocześnie członkami Polskiego Związku Łowieckiego. Odstrzał przeprowadzany byłby przez myśliwych posiadających międzynarodowe uprawnienia do wykonywania myślistwa łuczniczego wg. standardu IBEP (uprawnienia International </w:t>
      </w:r>
      <w:proofErr w:type="spellStart"/>
      <w:r>
        <w:t>Bowhunter</w:t>
      </w:r>
      <w:proofErr w:type="spellEnd"/>
      <w:r>
        <w:t xml:space="preserve"> </w:t>
      </w:r>
      <w:proofErr w:type="spellStart"/>
      <w:r>
        <w:t>Education</w:t>
      </w:r>
      <w:proofErr w:type="spellEnd"/>
      <w:r>
        <w:t xml:space="preserve"> Program honorowane są we wszystkich stanach USA, w Kanadzie, Australii oraz w tych krajach Europy, w których dopuszcza się łuk jako narzędzie łowieckie</w:t>
      </w:r>
      <w:r>
        <w:rPr>
          <w:vertAlign w:val="superscript"/>
        </w:rPr>
        <w:footnoteReference w:id="2"/>
      </w:r>
      <w:r>
        <w:t>).</w:t>
      </w:r>
    </w:p>
    <w:p w14:paraId="2791C833" w14:textId="77777777" w:rsidR="007572A4" w:rsidRDefault="007F0047">
      <w:pPr>
        <w:spacing w:after="216"/>
        <w:ind w:left="0" w:right="34" w:firstLine="34"/>
      </w:pPr>
      <w:r>
        <w:rPr>
          <w:noProof/>
        </w:rPr>
        <w:drawing>
          <wp:anchor distT="0" distB="0" distL="114300" distR="114300" simplePos="0" relativeHeight="251661312" behindDoc="0" locked="0" layoutInCell="1" allowOverlap="0" wp14:anchorId="4F6F1366" wp14:editId="73481A73">
            <wp:simplePos x="0" y="0"/>
            <wp:positionH relativeFrom="page">
              <wp:posOffset>411640</wp:posOffset>
            </wp:positionH>
            <wp:positionV relativeFrom="page">
              <wp:posOffset>475494</wp:posOffset>
            </wp:positionV>
            <wp:extent cx="15246" cy="6096"/>
            <wp:effectExtent l="0" t="0" r="0" b="0"/>
            <wp:wrapSquare wrapText="bothSides"/>
            <wp:docPr id="8510" name="Picture 8510"/>
            <wp:cNvGraphicFramePr/>
            <a:graphic xmlns:a="http://schemas.openxmlformats.org/drawingml/2006/main">
              <a:graphicData uri="http://schemas.openxmlformats.org/drawingml/2006/picture">
                <pic:pic xmlns:pic="http://schemas.openxmlformats.org/drawingml/2006/picture">
                  <pic:nvPicPr>
                    <pic:cNvPr id="8510" name="Picture 8510"/>
                    <pic:cNvPicPr/>
                  </pic:nvPicPr>
                  <pic:blipFill>
                    <a:blip r:embed="rId13"/>
                    <a:stretch>
                      <a:fillRect/>
                    </a:stretch>
                  </pic:blipFill>
                  <pic:spPr>
                    <a:xfrm>
                      <a:off x="0" y="0"/>
                      <a:ext cx="15246" cy="6096"/>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2BAB49" wp14:editId="1656CC97">
                <wp:simplePos x="0" y="0"/>
                <wp:positionH relativeFrom="page">
                  <wp:posOffset>859870</wp:posOffset>
                </wp:positionH>
                <wp:positionV relativeFrom="page">
                  <wp:posOffset>9573882</wp:posOffset>
                </wp:positionV>
                <wp:extent cx="5799552" cy="9144"/>
                <wp:effectExtent l="0" t="0" r="0" b="0"/>
                <wp:wrapTopAndBottom/>
                <wp:docPr id="15408" name="Group 15408"/>
                <wp:cNvGraphicFramePr/>
                <a:graphic xmlns:a="http://schemas.openxmlformats.org/drawingml/2006/main">
                  <a:graphicData uri="http://schemas.microsoft.com/office/word/2010/wordprocessingGroup">
                    <wpg:wgp>
                      <wpg:cNvGrpSpPr/>
                      <wpg:grpSpPr>
                        <a:xfrm>
                          <a:off x="0" y="0"/>
                          <a:ext cx="5799552" cy="9144"/>
                          <a:chOff x="0" y="0"/>
                          <a:chExt cx="5799552" cy="9144"/>
                        </a:xfrm>
                      </wpg:grpSpPr>
                      <wps:wsp>
                        <wps:cNvPr id="15407" name="Shape 15407"/>
                        <wps:cNvSpPr/>
                        <wps:spPr>
                          <a:xfrm>
                            <a:off x="0" y="0"/>
                            <a:ext cx="5799552" cy="9144"/>
                          </a:xfrm>
                          <a:custGeom>
                            <a:avLst/>
                            <a:gdLst/>
                            <a:ahLst/>
                            <a:cxnLst/>
                            <a:rect l="0" t="0" r="0" b="0"/>
                            <a:pathLst>
                              <a:path w="5799552" h="9144">
                                <a:moveTo>
                                  <a:pt x="0" y="4572"/>
                                </a:moveTo>
                                <a:lnTo>
                                  <a:pt x="57995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408" style="width:456.658pt;height:0.719971pt;position:absolute;mso-position-horizontal-relative:page;mso-position-horizontal:absolute;margin-left:67.7063pt;mso-position-vertical-relative:page;margin-top:753.849pt;" coordsize="57995,91">
                <v:shape id="Shape 15407" style="position:absolute;width:57995;height:91;left:0;top:0;" coordsize="5799552,9144" path="m0,4572l5799552,4572">
                  <v:stroke weight="0.719971pt" endcap="flat" joinstyle="miter" miterlimit="1" on="true" color="#000000"/>
                  <v:fill on="false" color="#000000"/>
                </v:shape>
                <w10:wrap type="topAndBottom"/>
              </v:group>
            </w:pict>
          </mc:Fallback>
        </mc:AlternateContent>
      </w:r>
      <w:r>
        <w:t>Publikowane dotychczas badania statystyczne</w:t>
      </w:r>
      <w:r>
        <w:rPr>
          <w:vertAlign w:val="superscript"/>
        </w:rPr>
        <w:footnoteReference w:id="3"/>
      </w:r>
      <w:r>
        <w:t>, pozwalają wysoce uprawdopodobnić założenie, iż nowoczesny łuk myśliwski w rękach doświadczonego myśliwego łucznika stanowi wysoce efektywne i skuteczne narzędzie łowieckie, które z powodzeniem może być wykorzystane we współczesnej gospodarce łowieckiej, a w szczególności w redukcji pogłowia dzików zamieszkujących w granicach aglomeracji miejskich czy w ramach walki z ASF. Powyższe potwierdzają nasze wieloletnie doświadczenia łowieckie, z których jednoznacznie wynika, iż łuk jedynie nieznacznie ustępuje sk</w:t>
      </w:r>
      <w:r>
        <w:t>utecznością nowoczesnej broni palnej.</w:t>
      </w:r>
    </w:p>
    <w:p w14:paraId="1EBA11B0" w14:textId="77777777" w:rsidR="007572A4" w:rsidRDefault="007F0047">
      <w:pPr>
        <w:spacing w:after="213"/>
        <w:ind w:left="19" w:right="34" w:firstLine="0"/>
      </w:pPr>
      <w:r>
        <w:t>Zdajemy sobie sprawę, iż wprowadzenie w życie proponowanej przez nas pomocy, związane jest z koniecznością stosownego uregulowania w rodzimym prawie łowieckim, stąd załączamy do niniejszej deklaracji projekt stosownych zmian, opracowanych przez nasze biuro legislacyjne.</w:t>
      </w:r>
    </w:p>
    <w:p w14:paraId="63455983" w14:textId="77777777" w:rsidR="007572A4" w:rsidRDefault="007F0047">
      <w:pPr>
        <w:spacing w:after="194"/>
        <w:ind w:left="19" w:right="34" w:firstLine="355"/>
      </w:pPr>
      <w:r>
        <w:t>Jednocześnie, celem przybliżenia materii nowoczesnego myślistwa łuczniczego, poniżej definiujemy podstawowe pojęcia związane z przedmiotową metodyką łowiecką:</w:t>
      </w:r>
    </w:p>
    <w:p w14:paraId="7687E8DA" w14:textId="77777777" w:rsidR="007572A4" w:rsidRDefault="007F0047">
      <w:pPr>
        <w:numPr>
          <w:ilvl w:val="0"/>
          <w:numId w:val="1"/>
        </w:numPr>
        <w:ind w:right="34" w:hanging="355"/>
      </w:pPr>
      <w:r>
        <w:rPr>
          <w:u w:val="single" w:color="000000"/>
        </w:rPr>
        <w:t>łuk myśliwski</w:t>
      </w:r>
      <w:r>
        <w:t>, należy przez to rozumieć miotające urządzenie cięciwowe z systemem bloczków o sile naciągu co najmniej 25 kg, posiadające indywidulany nr seryjny, skonfigurowane do strzelania strzałami o grotach myśliwskich, którego napięcie i utrzymanie w pozycji napiętej jest wykonywane wyłącznie siłą ludzkich mięśni,</w:t>
      </w:r>
    </w:p>
    <w:p w14:paraId="56FCF379" w14:textId="77777777" w:rsidR="007572A4" w:rsidRDefault="007F0047">
      <w:pPr>
        <w:numPr>
          <w:ilvl w:val="0"/>
          <w:numId w:val="1"/>
        </w:numPr>
        <w:ind w:right="34" w:hanging="355"/>
      </w:pPr>
      <w:r>
        <w:rPr>
          <w:u w:val="single" w:color="000000"/>
        </w:rPr>
        <w:t>grot myśliwski</w:t>
      </w:r>
      <w:r>
        <w:t xml:space="preserve"> - rozumie się przez to grot o co najmniej dwu ostrzach o średnicy cięcia co najmniej 2,5 cm,</w:t>
      </w:r>
    </w:p>
    <w:p w14:paraId="41154199" w14:textId="77777777" w:rsidR="007572A4" w:rsidRDefault="007F0047">
      <w:pPr>
        <w:numPr>
          <w:ilvl w:val="0"/>
          <w:numId w:val="1"/>
        </w:numPr>
        <w:spacing w:after="55"/>
        <w:ind w:right="34" w:hanging="355"/>
      </w:pPr>
      <w:r>
        <w:rPr>
          <w:u w:val="single" w:color="000000"/>
        </w:rPr>
        <w:t>strzała myśliwska</w:t>
      </w:r>
      <w:r>
        <w:t xml:space="preserve"> - rozumie się przez to strzałę o masie powyżej 25 gramów, z grotem myśliwskim oraz numerem seryjnym łuku w sposób trwały naniesionym na promień strzały,</w:t>
      </w:r>
    </w:p>
    <w:p w14:paraId="67825FD9" w14:textId="77777777" w:rsidR="007572A4" w:rsidRDefault="007F0047">
      <w:pPr>
        <w:numPr>
          <w:ilvl w:val="0"/>
          <w:numId w:val="1"/>
        </w:numPr>
        <w:ind w:right="34" w:hanging="355"/>
      </w:pPr>
      <w:r>
        <w:rPr>
          <w:u w:val="single" w:color="000000"/>
        </w:rPr>
        <w:lastRenderedPageBreak/>
        <w:t>stanowisko nadrzewne</w:t>
      </w:r>
      <w:r>
        <w:t xml:space="preserve"> — rozumie się przez to przenośne urządzenie łowieckie o wadze nie przekraczającej 20 kg, służące do wspinania się (</w:t>
      </w:r>
      <w:proofErr w:type="spellStart"/>
      <w:r>
        <w:t>samowłaz</w:t>
      </w:r>
      <w:proofErr w:type="spellEnd"/>
      <w:r>
        <w:t>) oraz urządzania zasiadek na drzewie, w sposób nie naruszający żywej tkanki drzewa,</w:t>
      </w:r>
    </w:p>
    <w:p w14:paraId="0FA3FCCC" w14:textId="77777777" w:rsidR="007572A4" w:rsidRDefault="007F0047">
      <w:pPr>
        <w:numPr>
          <w:ilvl w:val="0"/>
          <w:numId w:val="1"/>
        </w:numPr>
        <w:spacing w:after="46"/>
        <w:ind w:right="34" w:hanging="35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AF371C2" wp14:editId="085FDC19">
                <wp:simplePos x="0" y="0"/>
                <wp:positionH relativeFrom="page">
                  <wp:posOffset>856806</wp:posOffset>
                </wp:positionH>
                <wp:positionV relativeFrom="page">
                  <wp:posOffset>9557962</wp:posOffset>
                </wp:positionV>
                <wp:extent cx="5802499" cy="9147"/>
                <wp:effectExtent l="0" t="0" r="0" b="0"/>
                <wp:wrapTopAndBottom/>
                <wp:docPr id="15413" name="Group 15413"/>
                <wp:cNvGraphicFramePr/>
                <a:graphic xmlns:a="http://schemas.openxmlformats.org/drawingml/2006/main">
                  <a:graphicData uri="http://schemas.microsoft.com/office/word/2010/wordprocessingGroup">
                    <wpg:wgp>
                      <wpg:cNvGrpSpPr/>
                      <wpg:grpSpPr>
                        <a:xfrm>
                          <a:off x="0" y="0"/>
                          <a:ext cx="5802499" cy="9147"/>
                          <a:chOff x="0" y="0"/>
                          <a:chExt cx="5802499" cy="9147"/>
                        </a:xfrm>
                      </wpg:grpSpPr>
                      <wps:wsp>
                        <wps:cNvPr id="15412" name="Shape 15412"/>
                        <wps:cNvSpPr/>
                        <wps:spPr>
                          <a:xfrm>
                            <a:off x="0" y="0"/>
                            <a:ext cx="5802499" cy="9147"/>
                          </a:xfrm>
                          <a:custGeom>
                            <a:avLst/>
                            <a:gdLst/>
                            <a:ahLst/>
                            <a:cxnLst/>
                            <a:rect l="0" t="0" r="0" b="0"/>
                            <a:pathLst>
                              <a:path w="5802499" h="9147">
                                <a:moveTo>
                                  <a:pt x="0" y="4573"/>
                                </a:moveTo>
                                <a:lnTo>
                                  <a:pt x="580249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413" style="width:456.89pt;height:0.720215pt;position:absolute;mso-position-horizontal-relative:page;mso-position-horizontal:absolute;margin-left:67.4651pt;mso-position-vertical-relative:page;margin-top:752.595pt;" coordsize="58024,91">
                <v:shape id="Shape 15412" style="position:absolute;width:58024;height:91;left:0;top:0;" coordsize="5802499,9147" path="m0,4573l5802499,4573">
                  <v:stroke weight="0.720215pt" endcap="flat" joinstyle="miter" miterlimit="1" on="true" color="#000000"/>
                  <v:fill on="false" color="#000000"/>
                </v:shape>
                <w10:wrap type="topAndBottom"/>
              </v:group>
            </w:pict>
          </mc:Fallback>
        </mc:AlternateContent>
      </w:r>
      <w:r>
        <w:rPr>
          <w:u w:val="single" w:color="000000"/>
        </w:rPr>
        <w:t>myśliwy łucznik</w:t>
      </w:r>
      <w:r>
        <w:t xml:space="preserve"> — rozumie się przez to osobę będącą członkiem Polskiego Związku Łowieckiego, posiadającą uprawnienia do wykonywania polowania oraz międzynarodowe uprawnienia do wykonywania myślistwa łuczniczego wydane zgodnie ze standardami International </w:t>
      </w:r>
      <w:proofErr w:type="spellStart"/>
      <w:r>
        <w:t>Bowhunter</w:t>
      </w:r>
      <w:proofErr w:type="spellEnd"/>
      <w:r>
        <w:t xml:space="preserve"> </w:t>
      </w:r>
      <w:proofErr w:type="spellStart"/>
      <w:r>
        <w:t>Education</w:t>
      </w:r>
      <w:proofErr w:type="spellEnd"/>
      <w:r>
        <w:t xml:space="preserve"> Program (IBEP)</w:t>
      </w:r>
    </w:p>
    <w:p w14:paraId="2125E658" w14:textId="77777777" w:rsidR="007572A4" w:rsidRDefault="007F0047">
      <w:pPr>
        <w:numPr>
          <w:ilvl w:val="0"/>
          <w:numId w:val="1"/>
        </w:numPr>
        <w:spacing w:after="594"/>
        <w:ind w:right="34" w:hanging="355"/>
      </w:pPr>
      <w:r>
        <w:rPr>
          <w:u w:val="single" w:color="000000"/>
        </w:rPr>
        <w:t xml:space="preserve">odstrzał </w:t>
      </w:r>
      <w:r>
        <w:t>- rozumie się przez to oddanie strzału z łuku myśliwskiego do stojącej zwierzyny znajdującej się od myśliwego łucznika w odległości nie większej niż 30 m.</w:t>
      </w:r>
    </w:p>
    <w:p w14:paraId="46027557" w14:textId="77777777" w:rsidR="007572A4" w:rsidRDefault="007F0047">
      <w:pPr>
        <w:spacing w:after="0" w:line="259" w:lineRule="auto"/>
        <w:ind w:left="172" w:right="0" w:firstLine="0"/>
        <w:jc w:val="center"/>
      </w:pPr>
      <w:r>
        <w:rPr>
          <w:noProof/>
        </w:rPr>
        <w:drawing>
          <wp:inline distT="0" distB="0" distL="0" distR="0" wp14:anchorId="608B5C88" wp14:editId="5D69C91D">
            <wp:extent cx="881199" cy="362806"/>
            <wp:effectExtent l="0" t="0" r="0" b="0"/>
            <wp:docPr id="15410" name="Picture 15410"/>
            <wp:cNvGraphicFramePr/>
            <a:graphic xmlns:a="http://schemas.openxmlformats.org/drawingml/2006/main">
              <a:graphicData uri="http://schemas.openxmlformats.org/drawingml/2006/picture">
                <pic:pic xmlns:pic="http://schemas.openxmlformats.org/drawingml/2006/picture">
                  <pic:nvPicPr>
                    <pic:cNvPr id="15410" name="Picture 15410"/>
                    <pic:cNvPicPr/>
                  </pic:nvPicPr>
                  <pic:blipFill>
                    <a:blip r:embed="rId14"/>
                    <a:stretch>
                      <a:fillRect/>
                    </a:stretch>
                  </pic:blipFill>
                  <pic:spPr>
                    <a:xfrm>
                      <a:off x="0" y="0"/>
                      <a:ext cx="881199" cy="362806"/>
                    </a:xfrm>
                    <a:prstGeom prst="rect">
                      <a:avLst/>
                    </a:prstGeom>
                  </pic:spPr>
                </pic:pic>
              </a:graphicData>
            </a:graphic>
          </wp:inline>
        </w:drawing>
      </w:r>
      <w:proofErr w:type="spellStart"/>
      <w:r>
        <w:rPr>
          <w:rFonts w:ascii="Courier New" w:eastAsia="Courier New" w:hAnsi="Courier New" w:cs="Courier New"/>
          <w:sz w:val="30"/>
        </w:rPr>
        <w:t>ôQcVt</w:t>
      </w:r>
      <w:proofErr w:type="spellEnd"/>
      <w:r>
        <w:rPr>
          <w:noProof/>
        </w:rPr>
        <w:drawing>
          <wp:inline distT="0" distB="0" distL="0" distR="0" wp14:anchorId="3E55331B" wp14:editId="659656EB">
            <wp:extent cx="97572" cy="161586"/>
            <wp:effectExtent l="0" t="0" r="0" b="0"/>
            <wp:docPr id="9936" name="Picture 9936"/>
            <wp:cNvGraphicFramePr/>
            <a:graphic xmlns:a="http://schemas.openxmlformats.org/drawingml/2006/main">
              <a:graphicData uri="http://schemas.openxmlformats.org/drawingml/2006/picture">
                <pic:pic xmlns:pic="http://schemas.openxmlformats.org/drawingml/2006/picture">
                  <pic:nvPicPr>
                    <pic:cNvPr id="9936" name="Picture 9936"/>
                    <pic:cNvPicPr/>
                  </pic:nvPicPr>
                  <pic:blipFill>
                    <a:blip r:embed="rId15"/>
                    <a:stretch>
                      <a:fillRect/>
                    </a:stretch>
                  </pic:blipFill>
                  <pic:spPr>
                    <a:xfrm>
                      <a:off x="0" y="0"/>
                      <a:ext cx="97572" cy="161586"/>
                    </a:xfrm>
                    <a:prstGeom prst="rect">
                      <a:avLst/>
                    </a:prstGeom>
                  </pic:spPr>
                </pic:pic>
              </a:graphicData>
            </a:graphic>
          </wp:inline>
        </w:drawing>
      </w:r>
    </w:p>
    <w:sectPr w:rsidR="007572A4">
      <w:footnotePr>
        <w:numRestart w:val="eachPage"/>
      </w:footnotePr>
      <w:type w:val="continuous"/>
      <w:pgSz w:w="11808" w:h="16954"/>
      <w:pgMar w:top="549" w:right="1315" w:bottom="2150" w:left="13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B789" w14:textId="77777777" w:rsidR="007F0047" w:rsidRDefault="007F0047">
      <w:pPr>
        <w:spacing w:after="0" w:line="240" w:lineRule="auto"/>
      </w:pPr>
      <w:r>
        <w:separator/>
      </w:r>
    </w:p>
  </w:endnote>
  <w:endnote w:type="continuationSeparator" w:id="0">
    <w:p w14:paraId="071727A9" w14:textId="77777777" w:rsidR="007F0047" w:rsidRDefault="007F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DC0C" w14:textId="77777777" w:rsidR="007572A4" w:rsidRDefault="007F0047">
    <w:pPr>
      <w:spacing w:after="0" w:line="230" w:lineRule="auto"/>
      <w:ind w:left="-2376" w:right="1541" w:hanging="1488"/>
    </w:pPr>
    <w:r>
      <w:rPr>
        <w:rFonts w:ascii="Calibri" w:eastAsia="Calibri" w:hAnsi="Calibri" w:cs="Calibri"/>
        <w:sz w:val="18"/>
      </w:rPr>
      <w:t>Polskie Stowarzyszenie Myślistwa Łuczniczego-</w:t>
    </w:r>
    <w:proofErr w:type="spellStart"/>
    <w:r>
      <w:rPr>
        <w:rFonts w:ascii="Calibri" w:eastAsia="Calibri" w:hAnsi="Calibri" w:cs="Calibri"/>
        <w:sz w:val="18"/>
      </w:rPr>
      <w:t>Polish</w:t>
    </w:r>
    <w:proofErr w:type="spellEnd"/>
    <w:r>
      <w:rPr>
        <w:rFonts w:ascii="Calibri" w:eastAsia="Calibri" w:hAnsi="Calibri" w:cs="Calibri"/>
        <w:sz w:val="18"/>
      </w:rPr>
      <w:t xml:space="preserve"> </w:t>
    </w:r>
    <w:proofErr w:type="spellStart"/>
    <w:r>
      <w:rPr>
        <w:rFonts w:ascii="Calibri" w:eastAsia="Calibri" w:hAnsi="Calibri" w:cs="Calibri"/>
        <w:sz w:val="18"/>
      </w:rPr>
      <w:t>Bowhunting</w:t>
    </w:r>
    <w:proofErr w:type="spellEnd"/>
    <w:r>
      <w:rPr>
        <w:rFonts w:ascii="Calibri" w:eastAsia="Calibri" w:hAnsi="Calibri" w:cs="Calibri"/>
        <w:sz w:val="18"/>
      </w:rPr>
      <w:t xml:space="preserve"> </w:t>
    </w:r>
    <w:proofErr w:type="spellStart"/>
    <w:r>
      <w:rPr>
        <w:rFonts w:ascii="Calibri" w:eastAsia="Calibri" w:hAnsi="Calibri" w:cs="Calibri"/>
        <w:sz w:val="18"/>
      </w:rPr>
      <w:t>Association</w:t>
    </w:r>
    <w:proofErr w:type="spellEnd"/>
    <w:r>
      <w:rPr>
        <w:rFonts w:ascii="Calibri" w:eastAsia="Calibri" w:hAnsi="Calibri" w:cs="Calibri"/>
        <w:sz w:val="18"/>
      </w:rPr>
      <w:t xml:space="preserve"> </w:t>
    </w:r>
    <w:r>
      <w:rPr>
        <w:rFonts w:ascii="Calibri" w:eastAsia="Calibri" w:hAnsi="Calibri" w:cs="Calibri"/>
        <w:sz w:val="20"/>
      </w:rPr>
      <w:t xml:space="preserve">ul. </w:t>
    </w:r>
    <w:r>
      <w:rPr>
        <w:rFonts w:ascii="Calibri" w:eastAsia="Calibri" w:hAnsi="Calibri" w:cs="Calibri"/>
        <w:sz w:val="18"/>
      </w:rPr>
      <w:t xml:space="preserve">Długa </w:t>
    </w:r>
    <w:r>
      <w:rPr>
        <w:rFonts w:ascii="Calibri" w:eastAsia="Calibri" w:hAnsi="Calibri" w:cs="Calibri"/>
        <w:sz w:val="20"/>
      </w:rPr>
      <w:t xml:space="preserve">16 </w:t>
    </w:r>
    <w:r>
      <w:rPr>
        <w:rFonts w:ascii="Calibri" w:eastAsia="Calibri" w:hAnsi="Calibri" w:cs="Calibri"/>
        <w:sz w:val="18"/>
      </w:rPr>
      <w:t>C/178, 53-658 Wrocław</w:t>
    </w:r>
  </w:p>
  <w:p w14:paraId="69009B7D" w14:textId="77777777" w:rsidR="007572A4" w:rsidRDefault="007F0047">
    <w:pPr>
      <w:spacing w:after="0" w:line="246" w:lineRule="auto"/>
      <w:ind w:left="-5285" w:right="0" w:firstLine="0"/>
      <w:jc w:val="center"/>
    </w:pPr>
    <w:r>
      <w:rPr>
        <w:rFonts w:ascii="Calibri" w:eastAsia="Calibri" w:hAnsi="Calibri" w:cs="Calibri"/>
        <w:sz w:val="18"/>
      </w:rPr>
      <w:t xml:space="preserve">NIP 5732840682, REGON 242821034, </w:t>
    </w:r>
    <w:r>
      <w:rPr>
        <w:rFonts w:ascii="Calibri" w:eastAsia="Calibri" w:hAnsi="Calibri" w:cs="Calibri"/>
        <w:sz w:val="20"/>
      </w:rPr>
      <w:t xml:space="preserve">sąd </w:t>
    </w:r>
    <w:r>
      <w:rPr>
        <w:rFonts w:ascii="Calibri" w:eastAsia="Calibri" w:hAnsi="Calibri" w:cs="Calibri"/>
        <w:sz w:val="18"/>
      </w:rPr>
      <w:t xml:space="preserve">Rejonowy w Częstochowie, </w:t>
    </w:r>
    <w:r>
      <w:rPr>
        <w:rFonts w:ascii="Calibri" w:eastAsia="Calibri" w:hAnsi="Calibri" w:cs="Calibri"/>
        <w:sz w:val="20"/>
      </w:rPr>
      <w:t xml:space="preserve">XVII </w:t>
    </w:r>
    <w:r>
      <w:rPr>
        <w:rFonts w:ascii="Calibri" w:eastAsia="Calibri" w:hAnsi="Calibri" w:cs="Calibri"/>
        <w:sz w:val="18"/>
      </w:rPr>
      <w:t xml:space="preserve">Wydział Gospodarczy, </w:t>
    </w:r>
    <w:r>
      <w:rPr>
        <w:rFonts w:ascii="Calibri" w:eastAsia="Calibri" w:hAnsi="Calibri" w:cs="Calibri"/>
        <w:sz w:val="20"/>
      </w:rPr>
      <w:t xml:space="preserve">KRS </w:t>
    </w:r>
    <w:r>
      <w:rPr>
        <w:rFonts w:ascii="Calibri" w:eastAsia="Calibri" w:hAnsi="Calibri" w:cs="Calibri"/>
        <w:sz w:val="18"/>
      </w:rPr>
      <w:t>nr 0000406393 www.bowhunter.pl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485C" w14:textId="77777777" w:rsidR="007572A4" w:rsidRDefault="007F0047">
    <w:pPr>
      <w:spacing w:after="0" w:line="230" w:lineRule="auto"/>
      <w:ind w:left="-2376" w:right="1541" w:hanging="1488"/>
    </w:pPr>
    <w:r>
      <w:rPr>
        <w:rFonts w:ascii="Calibri" w:eastAsia="Calibri" w:hAnsi="Calibri" w:cs="Calibri"/>
        <w:sz w:val="18"/>
      </w:rPr>
      <w:t>Polskie Stowarzyszenie Myślistwa Łuczniczego-</w:t>
    </w:r>
    <w:proofErr w:type="spellStart"/>
    <w:r>
      <w:rPr>
        <w:rFonts w:ascii="Calibri" w:eastAsia="Calibri" w:hAnsi="Calibri" w:cs="Calibri"/>
        <w:sz w:val="18"/>
      </w:rPr>
      <w:t>Polish</w:t>
    </w:r>
    <w:proofErr w:type="spellEnd"/>
    <w:r>
      <w:rPr>
        <w:rFonts w:ascii="Calibri" w:eastAsia="Calibri" w:hAnsi="Calibri" w:cs="Calibri"/>
        <w:sz w:val="18"/>
      </w:rPr>
      <w:t xml:space="preserve"> </w:t>
    </w:r>
    <w:proofErr w:type="spellStart"/>
    <w:r>
      <w:rPr>
        <w:rFonts w:ascii="Calibri" w:eastAsia="Calibri" w:hAnsi="Calibri" w:cs="Calibri"/>
        <w:sz w:val="18"/>
      </w:rPr>
      <w:t>Bowhunting</w:t>
    </w:r>
    <w:proofErr w:type="spellEnd"/>
    <w:r>
      <w:rPr>
        <w:rFonts w:ascii="Calibri" w:eastAsia="Calibri" w:hAnsi="Calibri" w:cs="Calibri"/>
        <w:sz w:val="18"/>
      </w:rPr>
      <w:t xml:space="preserve"> </w:t>
    </w:r>
    <w:proofErr w:type="spellStart"/>
    <w:r>
      <w:rPr>
        <w:rFonts w:ascii="Calibri" w:eastAsia="Calibri" w:hAnsi="Calibri" w:cs="Calibri"/>
        <w:sz w:val="18"/>
      </w:rPr>
      <w:t>Association</w:t>
    </w:r>
    <w:proofErr w:type="spellEnd"/>
    <w:r>
      <w:rPr>
        <w:rFonts w:ascii="Calibri" w:eastAsia="Calibri" w:hAnsi="Calibri" w:cs="Calibri"/>
        <w:sz w:val="18"/>
      </w:rPr>
      <w:t xml:space="preserve"> </w:t>
    </w:r>
    <w:r>
      <w:rPr>
        <w:rFonts w:ascii="Calibri" w:eastAsia="Calibri" w:hAnsi="Calibri" w:cs="Calibri"/>
        <w:sz w:val="20"/>
      </w:rPr>
      <w:t xml:space="preserve">ul. </w:t>
    </w:r>
    <w:r>
      <w:rPr>
        <w:rFonts w:ascii="Calibri" w:eastAsia="Calibri" w:hAnsi="Calibri" w:cs="Calibri"/>
        <w:sz w:val="18"/>
      </w:rPr>
      <w:t xml:space="preserve">Długa </w:t>
    </w:r>
    <w:r>
      <w:rPr>
        <w:rFonts w:ascii="Calibri" w:eastAsia="Calibri" w:hAnsi="Calibri" w:cs="Calibri"/>
        <w:sz w:val="20"/>
      </w:rPr>
      <w:t xml:space="preserve">16 </w:t>
    </w:r>
    <w:r>
      <w:rPr>
        <w:rFonts w:ascii="Calibri" w:eastAsia="Calibri" w:hAnsi="Calibri" w:cs="Calibri"/>
        <w:sz w:val="18"/>
      </w:rPr>
      <w:t>C/178, 53-658 Wrocław</w:t>
    </w:r>
  </w:p>
  <w:p w14:paraId="5267C7BD" w14:textId="77777777" w:rsidR="007572A4" w:rsidRDefault="007F0047">
    <w:pPr>
      <w:spacing w:after="0" w:line="246" w:lineRule="auto"/>
      <w:ind w:left="-5285" w:right="0" w:firstLine="0"/>
      <w:jc w:val="center"/>
    </w:pPr>
    <w:r>
      <w:rPr>
        <w:rFonts w:ascii="Calibri" w:eastAsia="Calibri" w:hAnsi="Calibri" w:cs="Calibri"/>
        <w:sz w:val="18"/>
      </w:rPr>
      <w:t xml:space="preserve">NIP 5732840682, REGON 242821034, </w:t>
    </w:r>
    <w:r>
      <w:rPr>
        <w:rFonts w:ascii="Calibri" w:eastAsia="Calibri" w:hAnsi="Calibri" w:cs="Calibri"/>
        <w:sz w:val="20"/>
      </w:rPr>
      <w:t xml:space="preserve">sąd </w:t>
    </w:r>
    <w:r>
      <w:rPr>
        <w:rFonts w:ascii="Calibri" w:eastAsia="Calibri" w:hAnsi="Calibri" w:cs="Calibri"/>
        <w:sz w:val="18"/>
      </w:rPr>
      <w:t xml:space="preserve">Rejonowy w Częstochowie, </w:t>
    </w:r>
    <w:r>
      <w:rPr>
        <w:rFonts w:ascii="Calibri" w:eastAsia="Calibri" w:hAnsi="Calibri" w:cs="Calibri"/>
        <w:sz w:val="20"/>
      </w:rPr>
      <w:t xml:space="preserve">XVII </w:t>
    </w:r>
    <w:r>
      <w:rPr>
        <w:rFonts w:ascii="Calibri" w:eastAsia="Calibri" w:hAnsi="Calibri" w:cs="Calibri"/>
        <w:sz w:val="18"/>
      </w:rPr>
      <w:t xml:space="preserve">Wydział Gospodarczy, </w:t>
    </w:r>
    <w:r>
      <w:rPr>
        <w:rFonts w:ascii="Calibri" w:eastAsia="Calibri" w:hAnsi="Calibri" w:cs="Calibri"/>
        <w:sz w:val="20"/>
      </w:rPr>
      <w:t xml:space="preserve">KRS </w:t>
    </w:r>
    <w:r>
      <w:rPr>
        <w:rFonts w:ascii="Calibri" w:eastAsia="Calibri" w:hAnsi="Calibri" w:cs="Calibri"/>
        <w:sz w:val="18"/>
      </w:rPr>
      <w:t>nr 0000406393 www.bowhunter.pl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2A9E" w14:textId="77777777" w:rsidR="007572A4" w:rsidRDefault="007F0047">
    <w:pPr>
      <w:spacing w:after="0" w:line="230" w:lineRule="auto"/>
      <w:ind w:left="-2376" w:right="1541" w:hanging="1488"/>
    </w:pPr>
    <w:r>
      <w:rPr>
        <w:rFonts w:ascii="Calibri" w:eastAsia="Calibri" w:hAnsi="Calibri" w:cs="Calibri"/>
        <w:sz w:val="18"/>
      </w:rPr>
      <w:t>Polskie Stowarzyszenie Myślistwa Łuczniczego-</w:t>
    </w:r>
    <w:proofErr w:type="spellStart"/>
    <w:r>
      <w:rPr>
        <w:rFonts w:ascii="Calibri" w:eastAsia="Calibri" w:hAnsi="Calibri" w:cs="Calibri"/>
        <w:sz w:val="18"/>
      </w:rPr>
      <w:t>Polish</w:t>
    </w:r>
    <w:proofErr w:type="spellEnd"/>
    <w:r>
      <w:rPr>
        <w:rFonts w:ascii="Calibri" w:eastAsia="Calibri" w:hAnsi="Calibri" w:cs="Calibri"/>
        <w:sz w:val="18"/>
      </w:rPr>
      <w:t xml:space="preserve"> </w:t>
    </w:r>
    <w:proofErr w:type="spellStart"/>
    <w:r>
      <w:rPr>
        <w:rFonts w:ascii="Calibri" w:eastAsia="Calibri" w:hAnsi="Calibri" w:cs="Calibri"/>
        <w:sz w:val="18"/>
      </w:rPr>
      <w:t>Bowhunting</w:t>
    </w:r>
    <w:proofErr w:type="spellEnd"/>
    <w:r>
      <w:rPr>
        <w:rFonts w:ascii="Calibri" w:eastAsia="Calibri" w:hAnsi="Calibri" w:cs="Calibri"/>
        <w:sz w:val="18"/>
      </w:rPr>
      <w:t xml:space="preserve"> </w:t>
    </w:r>
    <w:proofErr w:type="spellStart"/>
    <w:r>
      <w:rPr>
        <w:rFonts w:ascii="Calibri" w:eastAsia="Calibri" w:hAnsi="Calibri" w:cs="Calibri"/>
        <w:sz w:val="18"/>
      </w:rPr>
      <w:t>Association</w:t>
    </w:r>
    <w:proofErr w:type="spellEnd"/>
    <w:r>
      <w:rPr>
        <w:rFonts w:ascii="Calibri" w:eastAsia="Calibri" w:hAnsi="Calibri" w:cs="Calibri"/>
        <w:sz w:val="18"/>
      </w:rPr>
      <w:t xml:space="preserve"> </w:t>
    </w:r>
    <w:r>
      <w:rPr>
        <w:rFonts w:ascii="Calibri" w:eastAsia="Calibri" w:hAnsi="Calibri" w:cs="Calibri"/>
        <w:sz w:val="20"/>
      </w:rPr>
      <w:t xml:space="preserve">ul. </w:t>
    </w:r>
    <w:r>
      <w:rPr>
        <w:rFonts w:ascii="Calibri" w:eastAsia="Calibri" w:hAnsi="Calibri" w:cs="Calibri"/>
        <w:sz w:val="18"/>
      </w:rPr>
      <w:t xml:space="preserve">Długa </w:t>
    </w:r>
    <w:r>
      <w:rPr>
        <w:rFonts w:ascii="Calibri" w:eastAsia="Calibri" w:hAnsi="Calibri" w:cs="Calibri"/>
        <w:sz w:val="20"/>
      </w:rPr>
      <w:t xml:space="preserve">16 </w:t>
    </w:r>
    <w:r>
      <w:rPr>
        <w:rFonts w:ascii="Calibri" w:eastAsia="Calibri" w:hAnsi="Calibri" w:cs="Calibri"/>
        <w:sz w:val="18"/>
      </w:rPr>
      <w:t>C/178, 53-658 Wrocław</w:t>
    </w:r>
  </w:p>
  <w:p w14:paraId="1A36D288" w14:textId="77777777" w:rsidR="007572A4" w:rsidRDefault="007F0047">
    <w:pPr>
      <w:spacing w:after="0" w:line="246" w:lineRule="auto"/>
      <w:ind w:left="-5285" w:right="0" w:firstLine="0"/>
      <w:jc w:val="center"/>
    </w:pPr>
    <w:r>
      <w:rPr>
        <w:rFonts w:ascii="Calibri" w:eastAsia="Calibri" w:hAnsi="Calibri" w:cs="Calibri"/>
        <w:sz w:val="18"/>
      </w:rPr>
      <w:t xml:space="preserve">NIP 5732840682, REGON 242821034, </w:t>
    </w:r>
    <w:r>
      <w:rPr>
        <w:rFonts w:ascii="Calibri" w:eastAsia="Calibri" w:hAnsi="Calibri" w:cs="Calibri"/>
        <w:sz w:val="20"/>
      </w:rPr>
      <w:t xml:space="preserve">sąd </w:t>
    </w:r>
    <w:r>
      <w:rPr>
        <w:rFonts w:ascii="Calibri" w:eastAsia="Calibri" w:hAnsi="Calibri" w:cs="Calibri"/>
        <w:sz w:val="18"/>
      </w:rPr>
      <w:t xml:space="preserve">Rejonowy w Częstochowie, </w:t>
    </w:r>
    <w:r>
      <w:rPr>
        <w:rFonts w:ascii="Calibri" w:eastAsia="Calibri" w:hAnsi="Calibri" w:cs="Calibri"/>
        <w:sz w:val="20"/>
      </w:rPr>
      <w:t xml:space="preserve">XVII </w:t>
    </w:r>
    <w:r>
      <w:rPr>
        <w:rFonts w:ascii="Calibri" w:eastAsia="Calibri" w:hAnsi="Calibri" w:cs="Calibri"/>
        <w:sz w:val="18"/>
      </w:rPr>
      <w:t xml:space="preserve">Wydział Gospodarczy, </w:t>
    </w:r>
    <w:r>
      <w:rPr>
        <w:rFonts w:ascii="Calibri" w:eastAsia="Calibri" w:hAnsi="Calibri" w:cs="Calibri"/>
        <w:sz w:val="20"/>
      </w:rPr>
      <w:t xml:space="preserve">KRS </w:t>
    </w:r>
    <w:r>
      <w:rPr>
        <w:rFonts w:ascii="Calibri" w:eastAsia="Calibri" w:hAnsi="Calibri" w:cs="Calibri"/>
        <w:sz w:val="18"/>
      </w:rPr>
      <w:t>nr 0000406393 www.bowhunter.pl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74EC" w14:textId="77777777" w:rsidR="007572A4" w:rsidRDefault="007F0047">
      <w:pPr>
        <w:spacing w:after="8" w:line="259" w:lineRule="auto"/>
        <w:ind w:left="10" w:right="0" w:firstLine="0"/>
        <w:jc w:val="left"/>
      </w:pPr>
      <w:r>
        <w:separator/>
      </w:r>
    </w:p>
  </w:footnote>
  <w:footnote w:type="continuationSeparator" w:id="0">
    <w:p w14:paraId="0B65D337" w14:textId="77777777" w:rsidR="007572A4" w:rsidRDefault="007F0047">
      <w:pPr>
        <w:spacing w:after="8" w:line="259" w:lineRule="auto"/>
        <w:ind w:left="10" w:right="0" w:firstLine="0"/>
        <w:jc w:val="left"/>
      </w:pPr>
      <w:r>
        <w:continuationSeparator/>
      </w:r>
    </w:p>
  </w:footnote>
  <w:footnote w:id="1">
    <w:p w14:paraId="78B4AAEE" w14:textId="77777777" w:rsidR="007572A4" w:rsidRDefault="007F0047">
      <w:pPr>
        <w:pStyle w:val="footnotedescription"/>
        <w:spacing w:after="8"/>
      </w:pPr>
      <w:r>
        <w:rPr>
          <w:rStyle w:val="footnotemark"/>
        </w:rPr>
        <w:footnoteRef/>
      </w:r>
      <w:r>
        <w:t xml:space="preserve"> http://bowhunter.pl/wp-content/uploads/2016/06/ClCrecomend.pdf</w:t>
      </w:r>
    </w:p>
  </w:footnote>
  <w:footnote w:id="2">
    <w:p w14:paraId="460E7641" w14:textId="77777777" w:rsidR="007572A4" w:rsidRDefault="007F0047">
      <w:pPr>
        <w:pStyle w:val="footnotedescription"/>
      </w:pPr>
      <w:r>
        <w:rPr>
          <w:rStyle w:val="footnotemark"/>
        </w:rPr>
        <w:footnoteRef/>
      </w:r>
      <w:r>
        <w:t xml:space="preserve"> </w:t>
      </w:r>
      <w:r>
        <w:rPr>
          <w:sz w:val="18"/>
        </w:rPr>
        <w:t xml:space="preserve">Wg </w:t>
      </w:r>
      <w:r>
        <w:t xml:space="preserve">stanu </w:t>
      </w:r>
      <w:r>
        <w:rPr>
          <w:sz w:val="22"/>
        </w:rPr>
        <w:t xml:space="preserve">na </w:t>
      </w:r>
      <w:r>
        <w:t xml:space="preserve">dzień złożenia niniejszego wniosku, jest to 15 krajów </w:t>
      </w:r>
      <w:r>
        <w:rPr>
          <w:sz w:val="22"/>
        </w:rPr>
        <w:t xml:space="preserve">w </w:t>
      </w:r>
      <w:r>
        <w:t>Europie.</w:t>
      </w:r>
    </w:p>
  </w:footnote>
  <w:footnote w:id="3">
    <w:p w14:paraId="33DB76F4" w14:textId="77777777" w:rsidR="007572A4" w:rsidRDefault="007F0047">
      <w:pPr>
        <w:pStyle w:val="footnotedescription"/>
      </w:pPr>
      <w:r>
        <w:rPr>
          <w:rStyle w:val="footnotemark"/>
        </w:rPr>
        <w:footnoteRef/>
      </w:r>
      <w:r>
        <w:t xml:space="preserve"> http://www.jousimetsastys.fi/wp/wp-content/uploads/2009/07/danish-report-1999-2004.pdf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D08B7"/>
    <w:multiLevelType w:val="hybridMultilevel"/>
    <w:tmpl w:val="1CEE38CA"/>
    <w:lvl w:ilvl="0" w:tplc="ED428D1A">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692E4">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2E4DAA">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C52D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A90E">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0AFE4">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7F52">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86D20">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EF3E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549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A4"/>
    <w:rsid w:val="007572A4"/>
    <w:rsid w:val="007F0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6AEC"/>
  <w15:docId w15:val="{68DA9ECE-8F51-4595-9BD3-894CD110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 w:line="267" w:lineRule="auto"/>
      <w:ind w:left="395" w:right="25" w:hanging="361"/>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1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4944</Characters>
  <Application>Microsoft Office Word</Application>
  <DocSecurity>0</DocSecurity>
  <Lines>41</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Software</dc:creator>
  <cp:keywords/>
  <cp:lastModifiedBy>Orlińska Sylwia</cp:lastModifiedBy>
  <cp:revision>2</cp:revision>
  <dcterms:created xsi:type="dcterms:W3CDTF">2024-01-29T11:51:00Z</dcterms:created>
  <dcterms:modified xsi:type="dcterms:W3CDTF">2024-01-29T11:51:00Z</dcterms:modified>
</cp:coreProperties>
</file>