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0E272" w14:textId="77777777" w:rsidR="00DD209F" w:rsidRDefault="009A5B29">
      <w:pPr>
        <w:spacing w:after="389" w:line="259" w:lineRule="auto"/>
        <w:ind w:left="46" w:firstLine="0"/>
        <w:jc w:val="left"/>
      </w:pPr>
      <w:r>
        <w:rPr>
          <w:sz w:val="24"/>
        </w:rPr>
        <w:t>Szanowna Pani Minister,</w:t>
      </w:r>
    </w:p>
    <w:p w14:paraId="140BE3B8" w14:textId="77777777" w:rsidR="00DD209F" w:rsidRDefault="009A5B29">
      <w:pPr>
        <w:spacing w:after="327"/>
        <w:ind w:left="10" w:right="10"/>
      </w:pPr>
      <w:r>
        <w:t>bazując na naszych wspólnych doświadczeniach związanych z administracyjnym procesem wydawania decyzji w obszarze ochrony środowiska pragniemy przedstawić Pani Minister kilka postulatów dotyczących zmian, które w naszej opinii doprowadziłyby do istotnej poprawy sprawności przebiegu postępowań prowadzonych w urzędach marszałkowskich.</w:t>
      </w:r>
    </w:p>
    <w:p w14:paraId="272BB514" w14:textId="77777777" w:rsidR="00DD209F" w:rsidRDefault="009A5B29">
      <w:pPr>
        <w:spacing w:after="332"/>
        <w:ind w:left="10" w:right="10"/>
      </w:pPr>
      <w:r>
        <w:t xml:space="preserve">Na wstępie pragniemy zauważyć, </w:t>
      </w:r>
      <w:proofErr w:type="spellStart"/>
      <w:r>
        <w:t>že</w:t>
      </w:r>
      <w:proofErr w:type="spellEnd"/>
      <w:r>
        <w:t xml:space="preserve"> przepisy z zakresu ochrony środowiska nie zostały pomyślane jako narzędzie do zwalczania szarej strefy w obszarze gospodarki odpadami, ale ich celem jest wspieranie ochrony środowiska. Rozumiemy zagrożenia płynące z nieprawidłowego postępowania z odpadami, jednak dostrzegamy, że wprowadzone w 2018 r. do ustawy o odpadach i ustawy — Prawo ochrony środowiska przepisy nakładające na przedsiębiorstwa dodatkowe obowiązki w wielu przypadkach okazały się nadmiarowe. Rozwiązania te miały przeciwdziałać szarej st</w:t>
      </w:r>
      <w:r>
        <w:t>refie, jednak ich konsekwencją okazały się również:</w:t>
      </w:r>
    </w:p>
    <w:p w14:paraId="52CE92B0" w14:textId="77777777" w:rsidR="00DD209F" w:rsidRDefault="009A5B29">
      <w:pPr>
        <w:numPr>
          <w:ilvl w:val="0"/>
          <w:numId w:val="1"/>
        </w:numPr>
        <w:spacing w:after="75"/>
        <w:ind w:right="10" w:hanging="351"/>
      </w:pPr>
      <w:r>
        <w:t>konieczność zamknięcia działalności przez mniejsze, legalnie działające firmy, które nie poradziły sobie organizacyjnie i finansowo z dostosowaniem się do nowych wymagań,</w:t>
      </w:r>
    </w:p>
    <w:p w14:paraId="59DE3C48" w14:textId="77777777" w:rsidR="00DD209F" w:rsidRDefault="009A5B29">
      <w:pPr>
        <w:numPr>
          <w:ilvl w:val="0"/>
          <w:numId w:val="1"/>
        </w:numPr>
        <w:spacing w:after="10"/>
        <w:ind w:right="10" w:hanging="351"/>
      </w:pPr>
      <w:r>
        <w:t>ogromne wydłużenie procesu "dawania decyzji administracyjnych,</w:t>
      </w:r>
    </w:p>
    <w:p w14:paraId="3DBB87E6" w14:textId="77777777" w:rsidR="00DD209F" w:rsidRDefault="009A5B29">
      <w:pPr>
        <w:numPr>
          <w:ilvl w:val="0"/>
          <w:numId w:val="1"/>
        </w:numPr>
        <w:spacing w:after="352"/>
        <w:ind w:right="10" w:hanging="351"/>
      </w:pPr>
      <w:r>
        <w:t>nadmiarowe koszty i konieczność zatrudnienia dodatkowych osób do obsługi przedsiębiorstw.</w:t>
      </w:r>
    </w:p>
    <w:p w14:paraId="5E59520D" w14:textId="77777777" w:rsidR="00DD209F" w:rsidRDefault="009A5B29">
      <w:pPr>
        <w:spacing w:after="358"/>
        <w:ind w:left="10" w:right="10"/>
      </w:pPr>
      <w:r>
        <w:t>Musimy mieć świadomość, że nie zlikwidujemy szarej strefy poprzez wprowadzenie coraz to bardziej restrykcyjnych przepisów, gdyż będą one uderzały głównie w przedsiębiorstwa stosujące przepisy prawa. Szara strefa działa i będzie działać zawsze poza przepisami prawa.</w:t>
      </w:r>
    </w:p>
    <w:p w14:paraId="23ADB236" w14:textId="77777777" w:rsidR="00DD209F" w:rsidRDefault="009A5B29">
      <w:pPr>
        <w:ind w:left="10" w:right="10"/>
      </w:pPr>
      <w:r>
        <w:t>Dostrzegamy możliwość usprawnienia przebiegu postępowań administracyjnych, co powinno skutkować efektywniejszym wydawaniem decyzji administracyjnych w obszarze ochrony środowiska. Poniżej zostały one dokładniej zaprezentowane.</w:t>
      </w:r>
    </w:p>
    <w:p w14:paraId="599A9443" w14:textId="77777777" w:rsidR="00DD209F" w:rsidRDefault="009A5B29">
      <w:pPr>
        <w:spacing w:after="263" w:line="291" w:lineRule="auto"/>
        <w:ind w:left="565" w:hanging="560"/>
      </w:pPr>
      <w:r>
        <w:rPr>
          <w:sz w:val="28"/>
        </w:rPr>
        <w:t xml:space="preserve">l. Z punktu widzenia usprawnienia procesów administracyjnych kluczowe jest </w:t>
      </w:r>
      <w:proofErr w:type="spellStart"/>
      <w:r>
        <w:rPr>
          <w:sz w:val="28"/>
        </w:rPr>
        <w:t>uspójnienie</w:t>
      </w:r>
      <w:proofErr w:type="spellEnd"/>
      <w:r>
        <w:rPr>
          <w:sz w:val="28"/>
        </w:rPr>
        <w:t xml:space="preserve"> wykładni prawa w skali kraju dla następujących elementów procesu:</w:t>
      </w:r>
    </w:p>
    <w:p w14:paraId="1A36B598" w14:textId="77777777" w:rsidR="00DD209F" w:rsidRDefault="009A5B29">
      <w:pPr>
        <w:spacing w:after="299" w:line="291" w:lineRule="auto"/>
        <w:ind w:left="574" w:firstLine="0"/>
      </w:pPr>
      <w:r>
        <w:rPr>
          <w:sz w:val="28"/>
        </w:rPr>
        <w:t>1. Hierarchia rozpatrywania wniosków.</w:t>
      </w:r>
    </w:p>
    <w:p w14:paraId="3FE1473C" w14:textId="77777777" w:rsidR="00DD209F" w:rsidRDefault="009A5B29">
      <w:pPr>
        <w:spacing w:after="264"/>
        <w:ind w:left="10" w:right="10"/>
      </w:pPr>
      <w:r>
        <w:rPr>
          <w:u w:val="single" w:color="000000"/>
        </w:rPr>
        <w:t>Opis problemu:</w:t>
      </w:r>
      <w:r>
        <w:t xml:space="preserve"> w związku ze zmianami ustawy o odpadach z 2018 i 2019 r. przedsiębiorcy byli zobowiązani złożyć do 5 marca 2020 r. wnioski o zmianę decyzji sektorowych dostosowujące decyzje do nowych wymagań. Nałożenie się wielu dużych zmian prawnych w systemie gospodarki odpadami od roku 2018 r. i problemy natury procesowej, a także </w:t>
      </w:r>
      <w:r>
        <w:lastRenderedPageBreak/>
        <w:t>pandemia COVID-19, z której skutkami Polska walczyła od marca 2020 r., spowodowały sytuację, w której:</w:t>
      </w:r>
    </w:p>
    <w:p w14:paraId="4076996C" w14:textId="77777777" w:rsidR="00DD209F" w:rsidRDefault="009A5B29">
      <w:pPr>
        <w:ind w:left="366" w:right="10"/>
      </w:pPr>
      <w:r>
        <w:rPr>
          <w:rFonts w:ascii="Calibri" w:eastAsia="Calibri" w:hAnsi="Calibri" w:cs="Calibri"/>
        </w:rPr>
        <w:t xml:space="preserve">• </w:t>
      </w:r>
      <w:r>
        <w:t xml:space="preserve">liczne podmioty starające się o wydanie lub zmianę decyzji w zakresie gospodarki odpadami trwają faktycznie od dnia 5 marca 2020 r. w zawieszonej rzeczywistości, z powodu niewydanych decyzji tzw. dostosowawczych, </w:t>
      </w:r>
      <w:r>
        <w:rPr>
          <w:noProof/>
        </w:rPr>
        <w:drawing>
          <wp:inline distT="0" distB="0" distL="0" distR="0" wp14:anchorId="5847465F" wp14:editId="4163900A">
            <wp:extent cx="51618" cy="54857"/>
            <wp:effectExtent l="0" t="0" r="0" b="0"/>
            <wp:docPr id="3132" name="Picture 3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2" name="Picture 313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618" cy="54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urzędy marszałkowskie mierzą się z ogromną liczbą przedłużających się postępowań administracyjnych, </w:t>
      </w:r>
      <w:r>
        <w:rPr>
          <w:noProof/>
        </w:rPr>
        <w:drawing>
          <wp:inline distT="0" distB="0" distL="0" distR="0" wp14:anchorId="2399AE32" wp14:editId="59BC707B">
            <wp:extent cx="51618" cy="54857"/>
            <wp:effectExtent l="0" t="0" r="0" b="0"/>
            <wp:docPr id="3133" name="Picture 31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3" name="Picture 313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618" cy="54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kontrole przeprowadzane przez WIOŚ wyznaczane są w odległym terminie. Ponadto, nie ograniczają się jedynie do zakresu, który wynika z wniosku przedsiębiorstwa o wydanie/zmianę decyzji (w większoś</w:t>
      </w:r>
      <w:r>
        <w:t>ci przypadków prowadzone są w pełnym zakresie), a termin kontroli dodatkowo komplikuje konieczność obecności pracownika organu, który wydaje decyzję. Wymóg obecności przedstawiciela organu wydającego decyzję absorbuje znaczną ilość czasu pracy urzędnika, co wpływa na dodatkowe opóźnienia w wydawaniu decyzji.</w:t>
      </w:r>
    </w:p>
    <w:p w14:paraId="20E888CC" w14:textId="77777777" w:rsidR="00DD209F" w:rsidRDefault="009A5B29">
      <w:pPr>
        <w:spacing w:after="100"/>
        <w:ind w:left="10" w:right="10"/>
      </w:pPr>
      <w:r>
        <w:t xml:space="preserve">Dodatkowo, w 2022 i 2023 r. przedsiębiorstwa gospodarujące odpadami przemysłowymi złożyły nowe wnioski o wydanie sektorowych decyzji, z uwagi na upływający termin ważności obecnie zmienianych decyzji, których ważność upływała w latach 2023-2024. Przepisy przedłużające termin obowiązywania tych decyzji do końca 2025 r. nie rozwiązują problemu. Nowe </w:t>
      </w:r>
      <w:proofErr w:type="spellStart"/>
      <w:r>
        <w:t>dec</w:t>
      </w:r>
      <w:proofErr w:type="spellEnd"/>
      <w:r>
        <w:t xml:space="preserve"> </w:t>
      </w:r>
      <w:proofErr w:type="spellStart"/>
      <w:r>
        <w:t>z</w:t>
      </w:r>
      <w:r>
        <w:rPr>
          <w:vertAlign w:val="superscript"/>
        </w:rPr>
        <w:t>i</w:t>
      </w:r>
      <w:proofErr w:type="spellEnd"/>
      <w:r>
        <w:rPr>
          <w:vertAlign w:val="superscript"/>
        </w:rPr>
        <w:t xml:space="preserve"> </w:t>
      </w:r>
      <w:r>
        <w:t xml:space="preserve">e nie s w dawane a wnioski </w:t>
      </w:r>
      <w:proofErr w:type="spellStart"/>
      <w:r>
        <w:t>rocedowane</w:t>
      </w:r>
      <w:proofErr w:type="spellEnd"/>
      <w:r>
        <w:t xml:space="preserve"> s </w:t>
      </w:r>
      <w:proofErr w:type="spellStart"/>
      <w:r>
        <w:t>onad</w:t>
      </w:r>
      <w:proofErr w:type="spellEnd"/>
      <w:r>
        <w:t xml:space="preserve"> rok.</w:t>
      </w:r>
    </w:p>
    <w:p w14:paraId="13D4B54E" w14:textId="77777777" w:rsidR="00DD209F" w:rsidRDefault="009A5B29">
      <w:pPr>
        <w:ind w:left="10" w:right="10"/>
      </w:pPr>
      <w:r>
        <w:t>Wyżej opisana sytuacja spowodowała, że w przypadku wielu podmiotów są procedowane dwa postępowania zasadniczo w tej samej sprawie. W naszej opinii w takich przypadkach bezzasadne stało się zajmowanie się wcześniej złożonymi wnioskami dostosowującym decyzje do nowych przepisów z 2018 i 2019 r., skoro zezwolenia te w najbliższych tygodniach/miesiącach stracą ważność* a podmioty złożyły nowe wnioski o wydanie nowych decyzji w tej samej sprawie.</w:t>
      </w:r>
    </w:p>
    <w:p w14:paraId="623C37D7" w14:textId="77777777" w:rsidR="00DD209F" w:rsidRDefault="009A5B29">
      <w:pPr>
        <w:ind w:left="10" w:right="10"/>
      </w:pPr>
      <w:r>
        <w:rPr>
          <w:u w:val="single" w:color="000000"/>
        </w:rPr>
        <w:t xml:space="preserve">Z punktu widzenia przedsiębiorstw bezsporne </w:t>
      </w:r>
      <w:proofErr w:type="spellStart"/>
      <w:r>
        <w:rPr>
          <w:u w:val="single" w:color="000000"/>
        </w:rPr>
        <w:t>iest</w:t>
      </w:r>
      <w:proofErr w:type="spellEnd"/>
      <w:r>
        <w:rPr>
          <w:u w:val="single" w:color="000000"/>
        </w:rPr>
        <w:t xml:space="preserve"> bowiem, że </w:t>
      </w:r>
      <w:proofErr w:type="spellStart"/>
      <w:r>
        <w:rPr>
          <w:u w:val="single" w:color="000000"/>
        </w:rPr>
        <w:t>prioMetem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iest</w:t>
      </w:r>
      <w:proofErr w:type="spellEnd"/>
      <w:r>
        <w:rPr>
          <w:u w:val="single" w:color="000000"/>
        </w:rPr>
        <w:t xml:space="preserve"> wydawanie nowych decyzji sektorowych oraz pozwoleń zintegrowanych.</w:t>
      </w:r>
      <w:r>
        <w:t xml:space="preserve"> Podkreślamy, że aktualnie istniejące opóźnienia będą </w:t>
      </w:r>
      <w:proofErr w:type="spellStart"/>
      <w:r>
        <w:t>równiež</w:t>
      </w:r>
      <w:proofErr w:type="spellEnd"/>
      <w:r>
        <w:t xml:space="preserve"> przekładały się na opóźnienia w procesach administracyjnych dla nowo oddawanych do użytku inwestycji, co jednocześnie oznacza blokadę procesu inwestycyjnego. Takie opóźnienia generują straty finansowe z tytułu postoju nowej instalacji oraz wpływają negatywnie na rozwój firm.</w:t>
      </w:r>
    </w:p>
    <w:p w14:paraId="3B373063" w14:textId="77777777" w:rsidR="00DD209F" w:rsidRDefault="009A5B29">
      <w:pPr>
        <w:spacing w:after="87"/>
        <w:ind w:left="10" w:right="10"/>
      </w:pPr>
      <w:r>
        <w:t>Potrzebujemy rozwiązania systemowego w skali kraju, który rozładuje natłok nagromadzonych wniosków i doprowadzi do sprawnego wydawania decyzji.</w:t>
      </w:r>
    </w:p>
    <w:p w14:paraId="4F48146A" w14:textId="77777777" w:rsidR="00DD209F" w:rsidRDefault="009A5B29">
      <w:pPr>
        <w:spacing w:after="105" w:line="291" w:lineRule="auto"/>
        <w:ind w:left="0" w:firstLine="25"/>
      </w:pPr>
      <w:r>
        <w:rPr>
          <w:sz w:val="28"/>
          <w:u w:val="single" w:color="000000"/>
        </w:rPr>
        <w:t>Propozycja rozwiązania:</w:t>
      </w:r>
      <w:r>
        <w:rPr>
          <w:sz w:val="28"/>
        </w:rPr>
        <w:t xml:space="preserve"> rozpatrzenie w pierwszej kolejności wniosku o wydanie nowej decyzji sektorowej, a następnie wygaszenie decyzji, w stosunku do której toczy się postępowanie w sprawie dostosowania do zmian ustawy o odpadach z 2018 i 2019 r. w trybie art. 162 KPA.</w:t>
      </w:r>
    </w:p>
    <w:p w14:paraId="1B44072B" w14:textId="77777777" w:rsidR="00DD209F" w:rsidRDefault="009A5B29">
      <w:pPr>
        <w:ind w:left="10" w:right="10"/>
      </w:pPr>
      <w:r>
        <w:t xml:space="preserve">Wygaszenie wcześniej złożonych wniosków o zmiany dostosowawcze decyzji po rozpatrzeniu nowych wniosków w tej samej sprawie i wydaniu nowych decyzji sektorowych </w:t>
      </w:r>
      <w:r>
        <w:lastRenderedPageBreak/>
        <w:t xml:space="preserve">zabezpieczy zachowanie ciągłości działalności instalacji, wyeliminuje nadmiar postępowań administracyjnych i jednocześnie przyspieszy dostosowanie decyzji funkcjonujących w obiegu do obowiązujących </w:t>
      </w:r>
      <w:proofErr w:type="spellStart"/>
      <w:r>
        <w:t>wmagań</w:t>
      </w:r>
      <w:proofErr w:type="spellEnd"/>
      <w:r>
        <w:t xml:space="preserve"> prawnych.</w:t>
      </w:r>
    </w:p>
    <w:p w14:paraId="1BD3BC3D" w14:textId="77777777" w:rsidR="00DD209F" w:rsidRDefault="009A5B29">
      <w:pPr>
        <w:ind w:left="10" w:right="10"/>
      </w:pPr>
      <w:r>
        <w:t xml:space="preserve">Zastosowanie powyższego rozwiązania przewiduje art. 162 S 1 pkt 1) kodeksu postępowania administracyjnego, zgodnie z którym </w:t>
      </w:r>
      <w:r>
        <w:rPr>
          <w:u w:val="single" w:color="000000"/>
        </w:rPr>
        <w:t>„Organ</w:t>
      </w:r>
      <w:r>
        <w:t xml:space="preserve"> administracji publicznej, który wydał decyzję w pierwszej instancji, </w:t>
      </w:r>
      <w:r>
        <w:rPr>
          <w:u w:val="single" w:color="000000"/>
        </w:rPr>
        <w:t>stwierdza lei wygaśnięcie</w:t>
      </w:r>
      <w:r>
        <w:t>, jeżeli decyzja:</w:t>
      </w:r>
    </w:p>
    <w:p w14:paraId="24E92BCE" w14:textId="77777777" w:rsidR="00DD209F" w:rsidRDefault="009A5B29">
      <w:pPr>
        <w:spacing w:line="216" w:lineRule="auto"/>
        <w:ind w:left="721" w:hanging="325"/>
        <w:jc w:val="left"/>
      </w:pPr>
      <w:r>
        <w:t xml:space="preserve">1) stała się bezprzedmiotowa, a stwierdzenie wygaśnięcia takiej decyzji nakazuje </w:t>
      </w:r>
      <w:r>
        <w:t xml:space="preserve">przepis prawa albo </w:t>
      </w:r>
      <w:r>
        <w:rPr>
          <w:u w:val="single" w:color="000000"/>
        </w:rPr>
        <w:t xml:space="preserve">gdy leży to w interesie społecznym lub w interesie strony. </w:t>
      </w:r>
      <w:r>
        <w:t>'</w:t>
      </w:r>
      <w:r>
        <w:rPr>
          <w:noProof/>
        </w:rPr>
        <w:drawing>
          <wp:inline distT="0" distB="0" distL="0" distR="0" wp14:anchorId="2D3400FE" wp14:editId="3F16CFBD">
            <wp:extent cx="19357" cy="41949"/>
            <wp:effectExtent l="0" t="0" r="0" b="0"/>
            <wp:docPr id="5191" name="Picture 51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1" name="Picture 519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357" cy="41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4247CB" w14:textId="77777777" w:rsidR="00DD209F" w:rsidRDefault="009A5B29">
      <w:pPr>
        <w:numPr>
          <w:ilvl w:val="0"/>
          <w:numId w:val="2"/>
        </w:numPr>
        <w:spacing w:after="247" w:line="291" w:lineRule="auto"/>
        <w:ind w:hanging="570"/>
      </w:pPr>
      <w:r>
        <w:rPr>
          <w:sz w:val="28"/>
        </w:rPr>
        <w:t>Wydanie interpretacji do art. 42 ust. 3a i 3b ustawy o odpadach i art. 184 ust. 4 pkt 7b ustawy — Prawo ochrony środowiska.</w:t>
      </w:r>
    </w:p>
    <w:p w14:paraId="29C8F4F0" w14:textId="77777777" w:rsidR="00DD209F" w:rsidRDefault="009A5B29">
      <w:pPr>
        <w:ind w:left="10" w:right="10"/>
      </w:pPr>
      <w:r>
        <w:t xml:space="preserve">Zgodnie z art. 42 ust. 3a i 3b ustawy o odpadach i art. 184 ust. 4 pkt 7b ustawy — Prawo ochrony środowiska do wniosku o wydanie zezwolenia na zbieranie i na przetwarzanie odpadów oraz pozwolenia na wytwarzanie odpadów dołącza się zaświadczenia </w:t>
      </w:r>
      <w:r>
        <w:t>o niekaralności i oświadczenia.</w:t>
      </w:r>
    </w:p>
    <w:p w14:paraId="1D696BE3" w14:textId="77777777" w:rsidR="00DD209F" w:rsidRDefault="009A5B29">
      <w:pPr>
        <w:spacing w:after="362"/>
        <w:ind w:left="10" w:right="10"/>
      </w:pPr>
      <w:r>
        <w:t xml:space="preserve">Ww. przepisy wprowadzają wątpliwość interpretacyjną dotyczącą istnienia bądź nie istnienia podstawy prawnej, która dawałaby podstawę Organowi do wymagania od przedsiębiorcy dołączania do wniosku o zmianę Pozwolenia Zintegrowanego </w:t>
      </w:r>
      <w:r>
        <w:rPr>
          <w:u w:val="single" w:color="000000"/>
        </w:rPr>
        <w:t>w zakresie nie dotyczącym zmiany zezwolenia na przetwarzanie lub na zbieranie odpadów lub pozwolenia na wytwarzanie odpadów</w:t>
      </w:r>
      <w:r>
        <w:t xml:space="preserve"> (czyli gospodarki odpadami) zaświadczeń i oświadczeń, o których mowa w art. 42 ust. 3a i 3b ustawy o odpadach j art. 184 ust. 4 pkt 7b ustawy Prawo Ochrony Środowiska.</w:t>
      </w:r>
    </w:p>
    <w:p w14:paraId="705CAEFD" w14:textId="77777777" w:rsidR="00DD209F" w:rsidRDefault="009A5B29">
      <w:pPr>
        <w:numPr>
          <w:ilvl w:val="0"/>
          <w:numId w:val="2"/>
        </w:numPr>
        <w:spacing w:after="277" w:line="291" w:lineRule="auto"/>
        <w:ind w:hanging="570"/>
      </w:pPr>
      <w:r>
        <w:rPr>
          <w:sz w:val="28"/>
        </w:rPr>
        <w:t>Mechanizm zabezpieczenia roszczeń</w:t>
      </w:r>
    </w:p>
    <w:p w14:paraId="2EB223B6" w14:textId="77777777" w:rsidR="00DD209F" w:rsidRDefault="009A5B29">
      <w:pPr>
        <w:spacing w:after="210"/>
        <w:ind w:left="10" w:right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92C59BA" wp14:editId="657B2D21">
            <wp:simplePos x="0" y="0"/>
            <wp:positionH relativeFrom="page">
              <wp:posOffset>6725088</wp:posOffset>
            </wp:positionH>
            <wp:positionV relativeFrom="page">
              <wp:posOffset>9934443</wp:posOffset>
            </wp:positionV>
            <wp:extent cx="210058" cy="659280"/>
            <wp:effectExtent l="0" t="0" r="0" b="0"/>
            <wp:wrapTopAndBottom/>
            <wp:docPr id="7344" name="Picture 73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4" name="Picture 734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0058" cy="659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Zgodnie z 48a ust. 1 ustawy o odpadach przedsiębiorca, który zbiera lub przetwarza odpady obowiązany jest ustanowić zabezpieczenie roszczeń tj. zabezpieczyć środki finansowe na ewentualne, późniejsze usunięcie odpadów z terenu, na którym prowadzi działalność. </w:t>
      </w:r>
      <w:r>
        <w:rPr>
          <w:u w:val="single" w:color="000000"/>
        </w:rPr>
        <w:t>Opis problemu:</w:t>
      </w:r>
      <w:r>
        <w:t xml:space="preserve"> pomimo jednoznacznego stanowiska Ministerstwa Klimatu i Środowiska w przedmiocie braku podstaw prawnych do ustanowienia zabezpieczenia roszczeń w stosunku do odpadów wytworzonych, powstałych z przetwarzania odpadów, w praktyce niektóre u</w:t>
      </w:r>
      <w:r>
        <w:t>rzędy w dalszym ciągu wymagają od przedsiębiorców ustanowienia zabezpieczenia roszczeń dla tej kategorii odpadów. Skutkuje to bezzasadnym i dodatkowym obciążeniem finansowym przedsiębiorcy, dla którego nie ma uzasadnienia prawnego.</w:t>
      </w:r>
    </w:p>
    <w:p w14:paraId="0310C414" w14:textId="77777777" w:rsidR="00DD209F" w:rsidRDefault="009A5B29">
      <w:pPr>
        <w:spacing w:after="65" w:line="216" w:lineRule="auto"/>
        <w:ind w:left="25"/>
      </w:pPr>
      <w:r>
        <w:rPr>
          <w:sz w:val="28"/>
          <w:u w:val="single" w:color="000000"/>
        </w:rPr>
        <w:t>Propozycja rozwiązania:</w:t>
      </w:r>
      <w:r>
        <w:rPr>
          <w:sz w:val="28"/>
        </w:rPr>
        <w:t xml:space="preserve"> przyjęcie jako obowiązującej wydanej przez Ministerstwo Klimatu i Środowiska wykładni przepisów dotyczącej zabezpieczenia roszczeń.</w:t>
      </w:r>
      <w:r>
        <w:rPr>
          <w:noProof/>
        </w:rPr>
        <w:drawing>
          <wp:inline distT="0" distB="0" distL="0" distR="0" wp14:anchorId="417F2ECB" wp14:editId="4732F97D">
            <wp:extent cx="6463" cy="12927"/>
            <wp:effectExtent l="0" t="0" r="0" b="0"/>
            <wp:docPr id="31069" name="Picture 310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69" name="Picture 3106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12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3EE744" w14:textId="77777777" w:rsidR="00DD209F" w:rsidRDefault="009A5B29">
      <w:pPr>
        <w:spacing w:after="177"/>
        <w:ind w:left="10" w:right="10"/>
      </w:pPr>
      <w:r>
        <w:t xml:space="preserve">Kontynuując, Ministerstwo Klimatu i Środowiska (dalej: MKIŚ) wskazało, że „co do zasady, </w:t>
      </w:r>
      <w:r>
        <w:rPr>
          <w:u w:val="single" w:color="000000"/>
        </w:rPr>
        <w:t xml:space="preserve">odpady powstające z </w:t>
      </w:r>
      <w:proofErr w:type="spellStart"/>
      <w:r>
        <w:rPr>
          <w:u w:val="single" w:color="000000"/>
        </w:rPr>
        <w:t>przetwatzania</w:t>
      </w:r>
      <w:proofErr w:type="spellEnd"/>
      <w:r>
        <w:rPr>
          <w:u w:val="single" w:color="000000"/>
        </w:rPr>
        <w:t xml:space="preserve"> odpadów, a więc odpady </w:t>
      </w:r>
      <w:proofErr w:type="spellStart"/>
      <w:r>
        <w:rPr>
          <w:u w:val="single" w:color="000000"/>
        </w:rPr>
        <w:t>wytworzQne</w:t>
      </w:r>
      <w:proofErr w:type="spellEnd"/>
      <w:r>
        <w:rPr>
          <w:u w:val="single" w:color="000000"/>
        </w:rPr>
        <w:t xml:space="preserve"> w wyniku </w:t>
      </w:r>
      <w:proofErr w:type="spellStart"/>
      <w:r>
        <w:rPr>
          <w:u w:val="single" w:color="000000"/>
        </w:rPr>
        <w:t>daneqo</w:t>
      </w:r>
      <w:proofErr w:type="spellEnd"/>
      <w:r>
        <w:rPr>
          <w:u w:val="single" w:color="000000"/>
        </w:rPr>
        <w:t xml:space="preserve"> procesu przetwarzania stanowią inny </w:t>
      </w:r>
      <w:proofErr w:type="spellStart"/>
      <w:r>
        <w:rPr>
          <w:u w:val="single" w:color="000000"/>
        </w:rPr>
        <w:t>rodzai</w:t>
      </w:r>
      <w:proofErr w:type="spellEnd"/>
      <w:r>
        <w:rPr>
          <w:u w:val="single" w:color="000000"/>
        </w:rPr>
        <w:t xml:space="preserve"> odpadu (kod odpadu), niż odpady poddawane </w:t>
      </w:r>
      <w:r>
        <w:rPr>
          <w:u w:val="single" w:color="000000"/>
        </w:rPr>
        <w:lastRenderedPageBreak/>
        <w:t xml:space="preserve">przetwarzaniu. </w:t>
      </w:r>
      <w:r>
        <w:t xml:space="preserve">Jeżeli zatem odpady wytworzone, powstałe z przetwarzania odpadów, pozostają w miejscu wytworzenia czyli mamy do czynienia z magazynowaniem wstępnym, to wówczas, brak jest podstaw prawnych do ustanowienia zabezpieczenia roszczeń} (Ministerstwo Klimatu i Środowiska, Departament Gospodarki Odpadami, pismo z dnia </w:t>
      </w:r>
      <w:r>
        <w:rPr>
          <w:noProof/>
        </w:rPr>
        <w:drawing>
          <wp:inline distT="0" distB="0" distL="0" distR="0" wp14:anchorId="0999FECA" wp14:editId="73D03EB5">
            <wp:extent cx="6463" cy="3232"/>
            <wp:effectExtent l="0" t="0" r="0" b="0"/>
            <wp:docPr id="7297" name="Picture 72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7" name="Picture 729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26 maja 2020 r.,</w:t>
      </w:r>
      <w:r>
        <w:t xml:space="preserve"> nr DGO-l,055.127.2020.MC — stanowiące załącznik nr 1 do niniejszego pisma).</w:t>
      </w:r>
    </w:p>
    <w:p w14:paraId="493AF7CB" w14:textId="77777777" w:rsidR="00DD209F" w:rsidRDefault="009A5B29">
      <w:pPr>
        <w:spacing w:after="50"/>
        <w:ind w:left="10" w:right="10"/>
      </w:pPr>
      <w:r>
        <w:t xml:space="preserve">MKIŚ w kolejnym stanowisku wskazało także, że „obowiązek ustanowienia zabezpieczenia roszczeń dotyczy odpadów magazynowanych w ramach zbierania lub </w:t>
      </w:r>
      <w:proofErr w:type="spellStart"/>
      <w:r>
        <w:t>płzetwarzania</w:t>
      </w:r>
      <w:proofErr w:type="spellEnd"/>
      <w:r>
        <w:t xml:space="preserve"> odpadów. Natomiast </w:t>
      </w:r>
      <w:r>
        <w:rPr>
          <w:u w:val="single" w:color="000000"/>
        </w:rPr>
        <w:t xml:space="preserve">w stosunku do od </w:t>
      </w:r>
      <w:proofErr w:type="spellStart"/>
      <w:r>
        <w:rPr>
          <w:u w:val="single" w:color="000000"/>
        </w:rPr>
        <w:t>adów</w:t>
      </w:r>
      <w:proofErr w:type="spellEnd"/>
      <w:r>
        <w:rPr>
          <w:u w:val="single" w:color="000000"/>
        </w:rPr>
        <w:t xml:space="preserve"> wtórnie w </w:t>
      </w:r>
      <w:proofErr w:type="spellStart"/>
      <w:r>
        <w:rPr>
          <w:u w:val="single" w:color="000000"/>
        </w:rPr>
        <w:t>twarzan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ch</w:t>
      </w:r>
      <w:proofErr w:type="spellEnd"/>
      <w:r>
        <w:rPr>
          <w:u w:val="single" w:color="000000"/>
        </w:rPr>
        <w:t xml:space="preserve"> w </w:t>
      </w:r>
      <w:proofErr w:type="spellStart"/>
      <w:r>
        <w:rPr>
          <w:u w:val="single" w:color="000000"/>
        </w:rPr>
        <w:t>w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niku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rocesu</w:t>
      </w:r>
      <w:proofErr w:type="spellEnd"/>
      <w:r>
        <w:rPr>
          <w:u w:val="single" w:color="000000"/>
        </w:rPr>
        <w:t xml:space="preserve"> </w:t>
      </w:r>
      <w:proofErr w:type="spellStart"/>
      <w:r>
        <w:t>rzetwarzania</w:t>
      </w:r>
      <w:proofErr w:type="spellEnd"/>
      <w:r>
        <w:t xml:space="preserve"> od </w:t>
      </w:r>
      <w:proofErr w:type="spellStart"/>
      <w:r>
        <w:t>adów</w:t>
      </w:r>
      <w:proofErr w:type="spellEnd"/>
      <w:r>
        <w:t xml:space="preserve"> brak '</w:t>
      </w:r>
      <w:proofErr w:type="spellStart"/>
      <w:r>
        <w:t>est</w:t>
      </w:r>
      <w:proofErr w:type="spellEnd"/>
      <w:r>
        <w:t xml:space="preserve"> konieczności ustanowienia </w:t>
      </w:r>
      <w:proofErr w:type="spellStart"/>
      <w:r>
        <w:t>zabez</w:t>
      </w:r>
      <w:proofErr w:type="spellEnd"/>
      <w:r>
        <w:t xml:space="preserve"> </w:t>
      </w:r>
      <w:proofErr w:type="spellStart"/>
      <w:r>
        <w:t>ieczenia</w:t>
      </w:r>
      <w:proofErr w:type="spellEnd"/>
      <w:r>
        <w:t xml:space="preserve"> roszczeń”</w:t>
      </w:r>
    </w:p>
    <w:p w14:paraId="7640FA4A" w14:textId="77777777" w:rsidR="00DD209F" w:rsidRDefault="009A5B29">
      <w:pPr>
        <w:spacing w:after="383"/>
        <w:ind w:left="10" w:right="10"/>
      </w:pPr>
      <w:r>
        <w:t xml:space="preserve">(Ministerstwo Klimatu i Środowiska, Departament Gospodarki Odpadami, pismo z dnia 16 grudnia 2020 r., nr </w:t>
      </w:r>
      <w:r>
        <w:rPr>
          <w:noProof/>
        </w:rPr>
        <w:drawing>
          <wp:inline distT="0" distB="0" distL="0" distR="0" wp14:anchorId="17028FDB" wp14:editId="58557FD3">
            <wp:extent cx="1832451" cy="119395"/>
            <wp:effectExtent l="0" t="0" r="0" b="0"/>
            <wp:docPr id="9255" name="Picture 92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5" name="Picture 925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32451" cy="119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- stanowiące załącznik nr 2 do niniejszego pisma).</w:t>
      </w:r>
    </w:p>
    <w:p w14:paraId="35CED707" w14:textId="77777777" w:rsidR="00DD209F" w:rsidRDefault="009A5B29">
      <w:pPr>
        <w:spacing w:after="299" w:line="291" w:lineRule="auto"/>
        <w:ind w:left="1134" w:hanging="560"/>
      </w:pPr>
      <w:r>
        <w:rPr>
          <w:sz w:val="28"/>
        </w:rPr>
        <w:t>4. Ograniczenie nadmiarowych obowiązków nie wynikających z przepisów prawa</w:t>
      </w:r>
    </w:p>
    <w:p w14:paraId="5B1C01FB" w14:textId="77777777" w:rsidR="00DD209F" w:rsidRDefault="009A5B29">
      <w:pPr>
        <w:spacing w:after="195"/>
        <w:ind w:left="10" w:right="10"/>
      </w:pPr>
      <w:r>
        <w:rPr>
          <w:noProof/>
        </w:rPr>
        <w:drawing>
          <wp:inline distT="0" distB="0" distL="0" distR="0" wp14:anchorId="6315B57D" wp14:editId="52E07592">
            <wp:extent cx="9679" cy="6454"/>
            <wp:effectExtent l="0" t="0" r="0" b="0"/>
            <wp:docPr id="9217" name="Picture 92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7" name="Picture 9217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679" cy="6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Opis problemu: postępowanie administracyjne obecnie obciążone jest wieloma wymaganiami formalnymi, które wynikają z przyjętej przed laty praktyki, które negatywnie wpływają na tempo prowadzenia postępowania administracyjnego, takie jak:</w:t>
      </w:r>
    </w:p>
    <w:p w14:paraId="5C84DD3D" w14:textId="77777777" w:rsidR="00DD209F" w:rsidRDefault="009A5B29">
      <w:pPr>
        <w:numPr>
          <w:ilvl w:val="0"/>
          <w:numId w:val="3"/>
        </w:numPr>
        <w:spacing w:after="229"/>
        <w:ind w:right="10" w:hanging="345"/>
      </w:pPr>
      <w:r>
        <w:t xml:space="preserve">dosyłanie wydrukowanych dokumentów, które są dostępne online dla pracowników urzędu tak samo jak i dla przedsiębiorców np.: </w:t>
      </w:r>
      <w:proofErr w:type="spellStart"/>
      <w:r>
        <w:t>preent</w:t>
      </w:r>
      <w:proofErr w:type="spellEnd"/>
      <w:r>
        <w:t xml:space="preserve"> </w:t>
      </w:r>
      <w:proofErr w:type="spellStart"/>
      <w:r>
        <w:t>screeny</w:t>
      </w:r>
      <w:proofErr w:type="spellEnd"/>
      <w:r>
        <w:t xml:space="preserve"> z odpisu KRS i Ksiąg Wieczystych,</w:t>
      </w:r>
    </w:p>
    <w:p w14:paraId="70284BF1" w14:textId="77777777" w:rsidR="00DD209F" w:rsidRDefault="009A5B29">
      <w:pPr>
        <w:numPr>
          <w:ilvl w:val="0"/>
          <w:numId w:val="3"/>
        </w:numPr>
        <w:spacing w:after="91"/>
        <w:ind w:right="10" w:hanging="345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080B30DE" wp14:editId="305E6B6C">
            <wp:simplePos x="0" y="0"/>
            <wp:positionH relativeFrom="page">
              <wp:posOffset>6803944</wp:posOffset>
            </wp:positionH>
            <wp:positionV relativeFrom="page">
              <wp:posOffset>9880733</wp:posOffset>
            </wp:positionV>
            <wp:extent cx="267770" cy="622789"/>
            <wp:effectExtent l="0" t="0" r="0" b="0"/>
            <wp:wrapTopAndBottom/>
            <wp:docPr id="9256" name="Picture 9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6" name="Picture 925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67770" cy="6227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wymaganie podpisania umowy notarialnej na dzierżawę terenu/obiektu jeśli zbieranie i/lub przetwarzanie dotyczy odpadów z grup 20, 19 i 15.</w:t>
      </w:r>
    </w:p>
    <w:p w14:paraId="54F65423" w14:textId="77777777" w:rsidR="00DD209F" w:rsidRDefault="009A5B29">
      <w:pPr>
        <w:spacing w:after="244" w:line="216" w:lineRule="auto"/>
        <w:ind w:left="36" w:firstLine="0"/>
      </w:pPr>
      <w:r>
        <w:rPr>
          <w:sz w:val="28"/>
          <w:u w:val="single" w:color="000000"/>
        </w:rPr>
        <w:t>Propozycja rozwiązania:</w:t>
      </w:r>
      <w:r>
        <w:rPr>
          <w:sz w:val="28"/>
        </w:rPr>
        <w:t xml:space="preserve"> wymaganie od przedsiębiorców wyłącznie dokumentów i informacji przewidzianych przepisami prawa.</w:t>
      </w:r>
    </w:p>
    <w:p w14:paraId="090698A9" w14:textId="77777777" w:rsidR="00DD209F" w:rsidRDefault="009A5B29">
      <w:pPr>
        <w:spacing w:after="86" w:line="291" w:lineRule="auto"/>
        <w:ind w:left="1134" w:hanging="560"/>
      </w:pPr>
      <w:r>
        <w:rPr>
          <w:sz w:val="28"/>
        </w:rPr>
        <w:t>5. Organizacja szkoleń w formie stacjonarnej j online dla pracowników administracji samorządowej w zakresie wykładni przepisów dot. ochrony środowiska przez Ministerstwo Klimatu i Środowiska</w:t>
      </w:r>
    </w:p>
    <w:p w14:paraId="5D1B4BFB" w14:textId="77777777" w:rsidR="00DD209F" w:rsidRDefault="009A5B29">
      <w:pPr>
        <w:ind w:left="10" w:right="10"/>
      </w:pPr>
      <w:r>
        <w:t>W związku z wieloma zmianami prawnymi na przestrzeni ostatnich 7 lat m.in. w ustawie o odpadach i POŚ kluczowym działaniem dla zapewnienia jednolitości stosowania prawa przez organy stosujące prawo jest organizacja wysokiej jakości jednolitych w treści szkoleń dla pracowników Urzędów Marszałkowskich przez Ministerstwo Klimatu i Środowiska, które jest bezpośrednio zaangażowane w tworzenie prawa w obszarze środowiska. Obecnie urzędnicy korzystają z różnych niesprawdzonych źródeł wiedzy (szkoleń), które mogą o</w:t>
      </w:r>
      <w:r>
        <w:t xml:space="preserve">dbiegać od stanowiska/interpretacji Ministerstwa. Regularne szkolenia zapewnią jednolitość interpretacji i stosowania prawa w skali kraju oraz pomogą unikać błędów </w:t>
      </w:r>
      <w:r>
        <w:lastRenderedPageBreak/>
        <w:t>wynikających z różnorodnych interpretacji prawa, co powinno przełożyć się na prowadzenie procesu wydawania decyzji w sposób efektywny.</w:t>
      </w:r>
    </w:p>
    <w:p w14:paraId="7B3ECC0C" w14:textId="77777777" w:rsidR="00DD209F" w:rsidRDefault="009A5B29">
      <w:pPr>
        <w:pStyle w:val="Nagwek1"/>
        <w:ind w:left="1128" w:hanging="559"/>
      </w:pPr>
      <w:r>
        <w:t>Organizacja szkoleń dla przemysłu</w:t>
      </w:r>
    </w:p>
    <w:p w14:paraId="3326EFD5" w14:textId="77777777" w:rsidR="00DD209F" w:rsidRDefault="009A5B29">
      <w:pPr>
        <w:spacing w:after="273"/>
        <w:ind w:left="10" w:right="10"/>
      </w:pPr>
      <w:r>
        <w:t>Zwracamy uwagę, że przedsiębiorcy także są zobowiązani do stosowania i interpretowania tego samego prawa, co urzędnicy wydający decyzje, w związku z czym zachowanie jednolitości interpretacji przepisów przez dwie strony tego samego postępowania jest absolutnym wymogiem gwarantującym prawidłowe i sprawne prowadzenie tego procesu, Dlatego uważamy, że szkolenia w zakresie wykładni przepisów dot. ochrony środowiska przez Ministerstwo Klimatu i Środowiska powinny być także organizowane dla przemysłu.</w:t>
      </w:r>
    </w:p>
    <w:p w14:paraId="77CB8170" w14:textId="77777777" w:rsidR="00DD209F" w:rsidRDefault="009A5B29">
      <w:pPr>
        <w:spacing w:after="299" w:line="291" w:lineRule="auto"/>
        <w:ind w:left="1134" w:hanging="560"/>
      </w:pPr>
      <w:r>
        <w:rPr>
          <w:sz w:val="28"/>
        </w:rPr>
        <w:t>7. Współpraca Ministerstwa Klimatu i Środowiska z ekspertami technicznymi przemysłu</w:t>
      </w:r>
    </w:p>
    <w:p w14:paraId="55319554" w14:textId="77777777" w:rsidR="00DD209F" w:rsidRDefault="009A5B29">
      <w:pPr>
        <w:spacing w:after="304"/>
        <w:ind w:left="10" w:right="10"/>
      </w:pPr>
      <w:r>
        <w:t>W związku z potrzebą znajomości technologicznych aspektów prowadzenia procesów technologicznych przez poszczególne instalacje wnioskujące o wydanie decyzji Izba deklaruje chęć konsultacji merytorycznych. Zwracamy uwagę, że wdrożenie zapisów zmienionej Dyrektywy IED do przepisów krajowych będzie miało skutki na sektora hutniczego i będzie wymagało odpowiedniego przygotowania się z technicznej wiedzy eksperckiej, aby kolejny raz nie doszło do nadprodukcji prawa i wydania przepisów niekonkurencyjnych dla przem</w:t>
      </w:r>
      <w:r>
        <w:t>ysłu wobec innych krajów UE.</w:t>
      </w:r>
    </w:p>
    <w:p w14:paraId="6A3AAA3B" w14:textId="77777777" w:rsidR="00DD209F" w:rsidRDefault="009A5B29">
      <w:pPr>
        <w:spacing w:after="269" w:line="217" w:lineRule="auto"/>
        <w:ind w:left="1134" w:hanging="560"/>
      </w:pPr>
      <w:r>
        <w:rPr>
          <w:sz w:val="28"/>
        </w:rPr>
        <w:t>8. Publikacja na stronie internetowej Ministerstwa Klimatu i Środowiska wydanych interpretacji i wytycznych Komisji Europejskiej</w:t>
      </w:r>
    </w:p>
    <w:p w14:paraId="67A176CB" w14:textId="77777777" w:rsidR="00DD209F" w:rsidRDefault="009A5B29">
      <w:pPr>
        <w:ind w:left="10" w:right="10"/>
      </w:pPr>
      <w:r>
        <w:t xml:space="preserve">Uważamy, że działaniem koniecznym dla wsparcia procesu wydawania decyzji będzie publikacja na stronie internetowej Ministerstwa Klimatu i Środowiska wydanych interpretacji i wytycznych Komisji Europejskiej. Ułatwi to rozpatrywanie podobnych przypadków przez organy i przygotowanie się przez przedsiębiorcę do konkretnych zagadnień. Interpretacje powinny być dostępne dla wszystkich, dla organów stosujących prawo i dla przedsiębiorców. Obecnie interpretacje na </w:t>
      </w:r>
      <w:proofErr w:type="spellStart"/>
      <w:r>
        <w:t>Ekoportalu</w:t>
      </w:r>
      <w:proofErr w:type="spellEnd"/>
      <w:r>
        <w:t xml:space="preserve"> nie są publikowane. Chodzi o przejrzystość i możliwość jednoznacznego interpretowania, czasami wątpliwych przepisów przez przedsiębiorców i Urzędy Marszałkowskie w ten sam sposób.</w:t>
      </w:r>
    </w:p>
    <w:p w14:paraId="38573006" w14:textId="77777777" w:rsidR="00DD209F" w:rsidRDefault="009A5B29">
      <w:pPr>
        <w:spacing w:after="299" w:line="291" w:lineRule="auto"/>
        <w:ind w:left="611" w:hanging="560"/>
      </w:pPr>
      <w:r>
        <w:rPr>
          <w:sz w:val="28"/>
        </w:rPr>
        <w:t>Il.</w:t>
      </w:r>
      <w:r>
        <w:rPr>
          <w:sz w:val="28"/>
        </w:rPr>
        <w:tab/>
        <w:t>Podkreślamy potrzebę wprowadzenia pilnych zmian w przepisach umożliwiających:</w:t>
      </w:r>
    </w:p>
    <w:p w14:paraId="03DA2DB3" w14:textId="77777777" w:rsidR="00DD209F" w:rsidRDefault="009A5B29">
      <w:pPr>
        <w:spacing w:after="275" w:line="291" w:lineRule="auto"/>
        <w:ind w:left="1134" w:hanging="560"/>
      </w:pPr>
      <w:r>
        <w:rPr>
          <w:noProof/>
        </w:rPr>
        <w:drawing>
          <wp:inline distT="0" distB="0" distL="0" distR="0" wp14:anchorId="314BDF9C" wp14:editId="46CE2130">
            <wp:extent cx="106463" cy="112941"/>
            <wp:effectExtent l="0" t="0" r="0" b="0"/>
            <wp:docPr id="31074" name="Picture 310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74" name="Picture 3107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06463" cy="112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Przekazanie kompetencji do wydania zezwolenia na zbieranie odpadów, w przypadku gdy maksymalna łączna masa wszystkich rodzajów odpadów magazynowanych w okresie roku nie przekracza 3000 Mg na niższy szczebel administracji samorządowej.</w:t>
      </w:r>
    </w:p>
    <w:p w14:paraId="6417E57F" w14:textId="77777777" w:rsidR="00DD209F" w:rsidRDefault="009A5B29">
      <w:pPr>
        <w:spacing w:after="298"/>
        <w:ind w:left="10" w:right="10"/>
      </w:pPr>
      <w:r>
        <w:lastRenderedPageBreak/>
        <w:t>Przekazanie w 2018 roku kompetencji do wydania zezwolenia na zbieranie odpadów, w przypadku gdy maksymalna łączna masa wszystkich rodzajów odpadów magazynowanych w okresie roku nie przekracza 3000 Mg do Urzędów Marszałkowskich spowodował napływ wielu mniejszych spraw i zator w procesie wydawania decyzji administracyjnych. Urzędy Marszałkowskie nie były i w dalszym ciągu nie są kadrowo przygotowane do rozpatrywania takiej liczby spraw, które z powodzeniem mogą być prowadzone przez niższy szczebel administrac</w:t>
      </w:r>
      <w:r>
        <w:t>ji samorządowej, mającej większą wiedzę na temat działalności prowadzonej na swoim terenie.</w:t>
      </w:r>
    </w:p>
    <w:p w14:paraId="03CC1F31" w14:textId="77777777" w:rsidR="00DD209F" w:rsidRDefault="009A5B29">
      <w:pPr>
        <w:tabs>
          <w:tab w:val="center" w:pos="691"/>
          <w:tab w:val="center" w:pos="2749"/>
        </w:tabs>
        <w:spacing w:after="299" w:line="291" w:lineRule="auto"/>
        <w:ind w:left="0" w:firstLine="0"/>
        <w:jc w:val="left"/>
      </w:pPr>
      <w:r>
        <w:rPr>
          <w:sz w:val="28"/>
        </w:rPr>
        <w:tab/>
      </w:r>
      <w:r>
        <w:rPr>
          <w:sz w:val="28"/>
        </w:rPr>
        <w:t>2.</w:t>
      </w:r>
      <w:r>
        <w:rPr>
          <w:sz w:val="28"/>
        </w:rPr>
        <w:tab/>
      </w:r>
      <w:r>
        <w:rPr>
          <w:sz w:val="28"/>
        </w:rPr>
        <w:t>Problematyka kontroli WIOŚ</w:t>
      </w:r>
    </w:p>
    <w:p w14:paraId="48D55D69" w14:textId="77777777" w:rsidR="00DD209F" w:rsidRDefault="009A5B29">
      <w:pPr>
        <w:spacing w:after="172"/>
        <w:ind w:left="10" w:right="10"/>
      </w:pPr>
      <w:r>
        <w:t>izba zaznacza, że w obecnym stanie faktycznym pożądane jest wprowadzenie rozwiązań tu i teraz, które efektywnie i szybko rozładują natłok nagromadzonych wniosków oraz skrócą proces wydania decyzji o kilka miesięcy. Dostrzegamy także związanie przepisami prawnymi, które zobowiązują WIOŚ do nieefektywnego działania.</w:t>
      </w:r>
    </w:p>
    <w:p w14:paraId="3C6D7157" w14:textId="77777777" w:rsidR="00DD209F" w:rsidRDefault="009A5B29">
      <w:pPr>
        <w:spacing w:after="87"/>
        <w:ind w:left="10" w:right="10"/>
      </w:pPr>
      <w:r>
        <w:t xml:space="preserve">Obecnie czas oczekiwania na kontrolę WIOŚ wynosi nawet ponad rok, a kontrola jest obowiązkowym elementem procesu administracyjnego poprzedzającego wydanie decyzji. Jak pokazuje praktyka, w uzasadnionych przypadkach nie zawsze zachodzi potrzeba przeprowadzenia kontroli. W takich sytuacjach </w:t>
      </w:r>
      <w:proofErr w:type="spellStart"/>
      <w:r>
        <w:rPr>
          <w:u w:val="single" w:color="000000"/>
        </w:rPr>
        <w:t>rozwi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zaniem</w:t>
      </w:r>
      <w:proofErr w:type="spellEnd"/>
      <w:r>
        <w:rPr>
          <w:u w:val="single" w:color="000000"/>
        </w:rPr>
        <w:t xml:space="preserve"> b </w:t>
      </w:r>
      <w:proofErr w:type="spellStart"/>
      <w:r>
        <w:rPr>
          <w:u w:val="single" w:color="000000"/>
        </w:rPr>
        <w:t>łob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rz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znanie</w:t>
      </w:r>
      <w:proofErr w:type="spellEnd"/>
      <w:r>
        <w:rPr>
          <w:u w:val="single" w:color="000000"/>
        </w:rPr>
        <w:t xml:space="preserve"> kompetencji WIOŚ do możliwości odstąpienia od </w:t>
      </w:r>
      <w:proofErr w:type="spellStart"/>
      <w:r>
        <w:rPr>
          <w:u w:val="single" w:color="000000"/>
        </w:rPr>
        <w:t>przeorowadzenia</w:t>
      </w:r>
      <w:proofErr w:type="spellEnd"/>
      <w:r>
        <w:rPr>
          <w:u w:val="single" w:color="000000"/>
        </w:rPr>
        <w:t xml:space="preserve"> kontroli w konkretnych sytuacjach</w:t>
      </w:r>
      <w:r>
        <w:t>, np. w przypadku zmiany decyzji, jeśli od ostatniej kontroli instalacji upłynęło nie więcej niż 6 miesięcy. Nieuzasadnione jest bowiem kierowanie WIOŚ na kontrolę w sytuacji, gdy WIOŚ ma bieżącą wiedzę na temat instalacji i kontrolował ją kilka miesięcy temu.</w:t>
      </w:r>
    </w:p>
    <w:p w14:paraId="4DA1FB89" w14:textId="77777777" w:rsidR="00DD209F" w:rsidRDefault="009A5B29">
      <w:pPr>
        <w:spacing w:after="110"/>
        <w:ind w:left="10" w:right="10"/>
      </w:pPr>
      <w:r>
        <w:t>Długi czas oczekiwania na kontrolę wynika z braku terminów po stronie WIOŚ, które dodatkowo wydłuża konieczność uzgodnienia obecności WIOŚ i urzędnika Urzędu Marszałkowskiego w tym samym terminie, dlatego też poniżej Izba proponuje także rezygnację z udziału przedstawiciela właściwego organu w kontroli. Podkreślamy, że w obecnym stanie prawnym WIOŚ kontroluje miejsce zbierania odpadów lub nową/zmienioną instalację, która nie rozpoczęta jeszcze działalności, ponieważ przed wydaniem/zmianą decyzji nie jest mo</w:t>
      </w:r>
      <w:r>
        <w:t>żliwe rozpoczęcie działalności objętej wnioskiem o wydanie nowej/zmienionej instalacji.</w:t>
      </w:r>
    </w:p>
    <w:p w14:paraId="5A3B83F2" w14:textId="77777777" w:rsidR="00DD209F" w:rsidRDefault="009A5B29">
      <w:pPr>
        <w:spacing w:after="327"/>
        <w:ind w:left="10" w:right="10"/>
      </w:pPr>
      <w:r>
        <w:t>Reasumując, wprowadzenie rozwiązania wspólnie wypracowanego w ramach prowadzonego dialogu przez wszystkie strony kontroli przyniesie wymierne korzyści w postaci rozładowania zatoru oraz usprawnienia i skrócenia procesu wydawania decyzji.</w:t>
      </w:r>
    </w:p>
    <w:p w14:paraId="3841B833" w14:textId="77777777" w:rsidR="00DD209F" w:rsidRDefault="009A5B29">
      <w:pPr>
        <w:numPr>
          <w:ilvl w:val="0"/>
          <w:numId w:val="4"/>
        </w:numPr>
        <w:spacing w:after="259" w:line="291" w:lineRule="auto"/>
        <w:ind w:hanging="560"/>
      </w:pPr>
      <w:r>
        <w:rPr>
          <w:sz w:val="28"/>
        </w:rPr>
        <w:t>Propozycja rezygnacji z obligatoryjnego udziału przedstawiciela właściwego organu w kontroli instalacji</w:t>
      </w:r>
    </w:p>
    <w:p w14:paraId="4C445BD6" w14:textId="77777777" w:rsidR="00DD209F" w:rsidRDefault="009A5B29">
      <w:pPr>
        <w:spacing w:after="338"/>
        <w:ind w:left="10" w:right="10"/>
      </w:pPr>
      <w:r>
        <w:t xml:space="preserve">Kolejnym zagadnieniem wymagającym rozważenia jest zmiana regulacji dotyczących kontroli przeprowadzanej przez WIOŚ w toku udzielania (także zmiany) decyzji obejmującej </w:t>
      </w:r>
      <w:r>
        <w:lastRenderedPageBreak/>
        <w:t xml:space="preserve">gospodarowanie odpadami. W aktualnym stanie prawnym kontrola przeprowadzana jest z udziałem </w:t>
      </w:r>
      <w:proofErr w:type="spellStart"/>
      <w:r>
        <w:t>przedstaxmciela</w:t>
      </w:r>
      <w:proofErr w:type="spellEnd"/>
      <w:r>
        <w:t xml:space="preserve"> właściwego organu. Tymczasem WIOŚ jest wyspecjalizowanym organem kontrolnym i nie w każdej sytuacji dodatkowy udział pracownika organu ochrony środowiska jest konieczny. Konieczność wspólnego ustalania dogodnego terminu kontroli z pracownika właściwego organu często wpływa </w:t>
      </w:r>
      <w:proofErr w:type="spellStart"/>
      <w:r>
        <w:t>równiež</w:t>
      </w:r>
      <w:proofErr w:type="spellEnd"/>
      <w:r>
        <w:t xml:space="preserve"> na przedłużanie prowadzenia postępowania.</w:t>
      </w:r>
    </w:p>
    <w:p w14:paraId="7583FC60" w14:textId="77777777" w:rsidR="00DD209F" w:rsidRDefault="009A5B29">
      <w:pPr>
        <w:spacing w:after="336"/>
        <w:ind w:left="10" w:right="10"/>
      </w:pPr>
      <w:r>
        <w:t>Rekomendujemy zmianę przepisu poprzez wprowadzenie fakultatywnego udziału przedstawiciela właściwego organu w kontroli.</w:t>
      </w:r>
    </w:p>
    <w:p w14:paraId="6375F4B2" w14:textId="77777777" w:rsidR="00DD209F" w:rsidRDefault="009A5B29">
      <w:pPr>
        <w:numPr>
          <w:ilvl w:val="0"/>
          <w:numId w:val="4"/>
        </w:numPr>
        <w:spacing w:after="306" w:line="259" w:lineRule="auto"/>
        <w:ind w:hanging="560"/>
      </w:pPr>
      <w:r>
        <w:rPr>
          <w:sz w:val="28"/>
        </w:rPr>
        <w:t>Wprowadzenie do ustawy o odpadach definicji „Istotnej zmiany zezwolenia”.</w:t>
      </w:r>
    </w:p>
    <w:p w14:paraId="3F393A63" w14:textId="77777777" w:rsidR="00DD209F" w:rsidRDefault="009A5B29">
      <w:pPr>
        <w:ind w:left="10" w:right="10"/>
      </w:pPr>
      <w:r>
        <w:t>Zwracamy uwagę, że brak definicji „istotnej zmiany zezwolenia” w ustawie o odpadach powoduje problemy interpretacyjne w zakresie prawidłowej kwalifikacji zmiany zezwolenia. Zbieranie odpadów może odbywać się bez instalacji (urządzenia), dlatego potrzebne jest wprowadzenie definicji „istotnej zmiany zezwolenia”, co umożliwi prawidłową ocenę czy zmianę prowadzenia działalności w zakresie zbierania odpadów kwalifikować należy jako istotną czy jako nieistotną zmianę zezwolenia. Z kolei w przypadku zmiany pozwol</w:t>
      </w:r>
      <w:r>
        <w:t>enia na przetwarzanie lub wytwarzanie odpadów należy odnieść się do def. istotnej zmiany instalacji z ustawy Prawo ochrony środowiska, aby prawidłowo ocenić czy doszło do zmiany istotnej czy nieistotnej instalacji (urządzenia). Sprawne wydawanie decyzji leży w interesie państwa i rozwoju gospodarki zgodnie z ideą GOZ.</w:t>
      </w:r>
    </w:p>
    <w:p w14:paraId="1181CD1F" w14:textId="77777777" w:rsidR="00DD209F" w:rsidRDefault="009A5B29">
      <w:pPr>
        <w:numPr>
          <w:ilvl w:val="0"/>
          <w:numId w:val="4"/>
        </w:numPr>
        <w:spacing w:after="257" w:line="291" w:lineRule="auto"/>
        <w:ind w:hanging="560"/>
      </w:pPr>
      <w:r>
        <w:rPr>
          <w:sz w:val="28"/>
        </w:rPr>
        <w:t>Przedłużenie terminu obowiązywania decyzji do czasu uzyskania nowych decyzji.</w:t>
      </w:r>
    </w:p>
    <w:p w14:paraId="3BA6D9FB" w14:textId="77777777" w:rsidR="00DD209F" w:rsidRDefault="009A5B29">
      <w:pPr>
        <w:ind w:left="10" w:right="10"/>
      </w:pPr>
      <w:r>
        <w:t>W związku z procedowaniem wniosków o wydanie nowych decyzji sektorowych przez ponad rok zasadnie obawiamy się, że nie wszystkie wnioski zostaną rozpoznane przed dniem 31 grudnia 2025 r.</w:t>
      </w:r>
    </w:p>
    <w:p w14:paraId="0B05431C" w14:textId="77777777" w:rsidR="00DD209F" w:rsidRDefault="009A5B29">
      <w:pPr>
        <w:spacing w:after="231"/>
        <w:ind w:left="10" w:right="10"/>
      </w:pPr>
      <w:r>
        <w:t xml:space="preserve">Ponad 70% wniosków złożonych przez Izbę w 2022 r. nie zakończyła się do tej pory wydaniem decyzji. Sytuacja dotyczy zdecydowanej większości województw w Polsce. Ponadto, w 2024 i w 2025 r. upływa ważność kolejnych decyzji, dla których nie jest przewidziany żaden mechanizm chroniący przed utratą ważności. </w:t>
      </w:r>
      <w:r>
        <w:rPr>
          <w:u w:val="single" w:color="000000"/>
        </w:rPr>
        <w:t xml:space="preserve">Brak zabezpieczenia ważności </w:t>
      </w:r>
      <w:proofErr w:type="spellStart"/>
      <w:r>
        <w:rPr>
          <w:u w:val="single" w:color="000000"/>
        </w:rPr>
        <w:t>dec</w:t>
      </w:r>
      <w:proofErr w:type="spellEnd"/>
      <w:r>
        <w:rPr>
          <w:u w:val="single" w:color="000000"/>
        </w:rPr>
        <w:t xml:space="preserve"> ii </w:t>
      </w:r>
      <w:proofErr w:type="spellStart"/>
      <w:r>
        <w:rPr>
          <w:u w:val="single" w:color="000000"/>
        </w:rPr>
        <w:t>rozi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instalac•om</w:t>
      </w:r>
      <w:proofErr w:type="spellEnd"/>
      <w:r>
        <w:rPr>
          <w:u w:val="single" w:color="000000"/>
        </w:rPr>
        <w:t xml:space="preserve"> utrat zezwoleń a t m sam m </w:t>
      </w:r>
      <w:proofErr w:type="spellStart"/>
      <w:r>
        <w:rPr>
          <w:u w:val="single" w:color="000000"/>
        </w:rPr>
        <w:t>wstrz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maniem</w:t>
      </w:r>
      <w:proofErr w:type="spellEnd"/>
      <w:r>
        <w:rPr>
          <w:u w:val="single" w:color="000000"/>
        </w:rPr>
        <w:t xml:space="preserve"> działalności i pozbawieniem pracy zatrudnionych pracowników.</w:t>
      </w:r>
    </w:p>
    <w:p w14:paraId="63EC433D" w14:textId="77777777" w:rsidR="00DD209F" w:rsidRDefault="009A5B29">
      <w:pPr>
        <w:spacing w:after="299" w:line="291" w:lineRule="auto"/>
        <w:ind w:left="1134" w:hanging="560"/>
      </w:pPr>
      <w:r>
        <w:rPr>
          <w:sz w:val="28"/>
        </w:rPr>
        <w:t>6. Powołanie Zespołu ds. systemowych rozwiązań ds. odpadów przemysłowych</w:t>
      </w:r>
    </w:p>
    <w:p w14:paraId="79DC7298" w14:textId="77777777" w:rsidR="00DD209F" w:rsidRDefault="009A5B29">
      <w:pPr>
        <w:spacing w:after="182"/>
        <w:ind w:left="10" w:right="10"/>
      </w:pPr>
      <w:r>
        <w:t>W związku z wieloma obowiązkami w ramach postępowania administracyjnego, które nie są konieczne dla surowców strategicznych, podkreślamy, że widzimy potrzebę uproszczenia i ograniczenia obowiązków dla surowców takich jak złom, który dla hut jest surowcem strategicznym.</w:t>
      </w:r>
    </w:p>
    <w:p w14:paraId="19251F97" w14:textId="77777777" w:rsidR="00DD209F" w:rsidRDefault="009A5B29">
      <w:pPr>
        <w:spacing w:after="108"/>
        <w:ind w:left="10" w:right="10"/>
      </w:pPr>
      <w:r>
        <w:lastRenderedPageBreak/>
        <w:t>Zwracamy uwagę, że polskie prawo nie rozróżnia w sposób praktyczny:</w:t>
      </w:r>
    </w:p>
    <w:p w14:paraId="4039ACC3" w14:textId="77777777" w:rsidR="00DD209F" w:rsidRDefault="009A5B29">
      <w:pPr>
        <w:ind w:left="555" w:right="10" w:hanging="545"/>
      </w:pPr>
      <w:r>
        <w:rPr>
          <w:noProof/>
        </w:rPr>
        <w:drawing>
          <wp:inline distT="0" distB="0" distL="0" distR="0" wp14:anchorId="6CDC0D25" wp14:editId="50F1350F">
            <wp:extent cx="74328" cy="90489"/>
            <wp:effectExtent l="0" t="0" r="0" b="0"/>
            <wp:docPr id="31077" name="Picture 310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77" name="Picture 31077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4328" cy="90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odpadów charakteryzujących się podwyższonym ryzykiem dla środowiska, które wymagają istotnych nakładów w celu ograniczenia tego ryzyka (często o ujemnej wartości ekonomicznej), oraz</w:t>
      </w:r>
    </w:p>
    <w:p w14:paraId="7FA5848F" w14:textId="77777777" w:rsidR="00DD209F" w:rsidRDefault="009A5B29">
      <w:pPr>
        <w:spacing w:after="224" w:line="231" w:lineRule="auto"/>
        <w:ind w:left="591" w:hanging="560"/>
      </w:pPr>
      <w:r>
        <w:rPr>
          <w:sz w:val="28"/>
        </w:rPr>
        <w:t xml:space="preserve">O </w:t>
      </w:r>
      <w:r>
        <w:rPr>
          <w:sz w:val="28"/>
        </w:rPr>
        <w:t>odpadów będących pożądanymi surowcami, na które istnieje rozwinięty rynek i zapotrzebowanie, o wysokiej wartości ekonomicznej — w istocie opady te są cennymi towarami masowymi, które z racji szybkiego wykorzystania nie powinny podlegać wszystkim obowiązkom tak jak pozostałe odpady.</w:t>
      </w:r>
    </w:p>
    <w:p w14:paraId="0BDB6C58" w14:textId="77777777" w:rsidR="00DD209F" w:rsidRDefault="009A5B29">
      <w:pPr>
        <w:ind w:left="10" w:right="10"/>
      </w:pPr>
      <w:r>
        <w:t xml:space="preserve">W interesie polskiej gospodarki jest, aby w odniesieniu do pożądanych w gospodarce surowców będących </w:t>
      </w:r>
      <w:proofErr w:type="spellStart"/>
      <w:r>
        <w:t>wciąž</w:t>
      </w:r>
      <w:proofErr w:type="spellEnd"/>
      <w:r>
        <w:t xml:space="preserve"> odpadami (takich jak np. złom) możliwe się stało zwolnione z niektórych obowiązków dotyczących gospodarki odpadami.</w:t>
      </w:r>
    </w:p>
    <w:p w14:paraId="7BD83253" w14:textId="77777777" w:rsidR="00DD209F" w:rsidRDefault="009A5B29">
      <w:pPr>
        <w:spacing w:after="515" w:line="346" w:lineRule="auto"/>
        <w:ind w:left="10" w:right="10"/>
      </w:pPr>
      <w:r>
        <w:t>Pozostajemy do dyspozycji w przypadku jakichkolwiek dodatkowych pytań lub potrzeby dostarczenia dodatkowych danych.</w:t>
      </w:r>
    </w:p>
    <w:p w14:paraId="300F897F" w14:textId="77777777" w:rsidR="00DD209F" w:rsidRDefault="009A5B29">
      <w:pPr>
        <w:spacing w:after="9891"/>
        <w:ind w:left="10" w:right="10"/>
      </w:pPr>
      <w:r>
        <w:t>Z wyrazami szacunku,</w:t>
      </w:r>
    </w:p>
    <w:p w14:paraId="5F1AA3FA" w14:textId="77777777" w:rsidR="00DD209F" w:rsidRDefault="009A5B29">
      <w:pPr>
        <w:spacing w:after="8" w:line="291" w:lineRule="auto"/>
        <w:ind w:left="61" w:firstLine="0"/>
      </w:pPr>
      <w:r>
        <w:rPr>
          <w:sz w:val="28"/>
        </w:rPr>
        <w:lastRenderedPageBreak/>
        <w:t>Załączniki:</w:t>
      </w:r>
      <w:r>
        <w:rPr>
          <w:noProof/>
        </w:rPr>
        <w:drawing>
          <wp:inline distT="0" distB="0" distL="0" distR="0" wp14:anchorId="508D5A96" wp14:editId="59D91A09">
            <wp:extent cx="16158" cy="12927"/>
            <wp:effectExtent l="0" t="0" r="0" b="0"/>
            <wp:docPr id="31080" name="Picture 310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80" name="Picture 31080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6158" cy="12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119BAB" w14:textId="77777777" w:rsidR="00DD209F" w:rsidRDefault="009A5B29">
      <w:pPr>
        <w:spacing w:after="0"/>
        <w:ind w:left="773" w:right="10" w:hanging="346"/>
      </w:pPr>
      <w:r>
        <w:t>1) Ministerstwo Klimatu i Środowiska, Departament Gospodarki Odpadami, pismo z dnia 26 maja 2020 r., nr DGO-l.055.127.2020.MC;</w:t>
      </w:r>
    </w:p>
    <w:p w14:paraId="6A8DAD89" w14:textId="77777777" w:rsidR="00DD209F" w:rsidRDefault="009A5B29">
      <w:pPr>
        <w:ind w:left="773" w:right="10" w:hanging="366"/>
      </w:pPr>
      <w:r>
        <w:rPr>
          <w:noProof/>
        </w:rPr>
        <w:drawing>
          <wp:inline distT="0" distB="0" distL="0" distR="0" wp14:anchorId="78C8BA89" wp14:editId="47A90FDB">
            <wp:extent cx="3232" cy="6464"/>
            <wp:effectExtent l="0" t="0" r="0" b="0"/>
            <wp:docPr id="17162" name="Picture 171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2" name="Picture 1716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2) Ministerstwo Klimatu i Środowiska, Departament Gospodarki Odpadami, pismo z dnia 16 grudnia 2020 r., nr DGO-PO.055.333.2020.MC.</w:t>
      </w:r>
    </w:p>
    <w:sectPr w:rsidR="00DD209F">
      <w:footerReference w:type="even" r:id="rId20"/>
      <w:footerReference w:type="default" r:id="rId21"/>
      <w:footerReference w:type="first" r:id="rId22"/>
      <w:pgSz w:w="11909" w:h="16841"/>
      <w:pgMar w:top="1152" w:right="1189" w:bottom="1610" w:left="1123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C8CB7" w14:textId="77777777" w:rsidR="009A5B29" w:rsidRDefault="009A5B29">
      <w:pPr>
        <w:spacing w:after="0" w:line="240" w:lineRule="auto"/>
      </w:pPr>
      <w:r>
        <w:separator/>
      </w:r>
    </w:p>
  </w:endnote>
  <w:endnote w:type="continuationSeparator" w:id="0">
    <w:p w14:paraId="02E20352" w14:textId="77777777" w:rsidR="009A5B29" w:rsidRDefault="009A5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A5D25" w14:textId="77777777" w:rsidR="00DD209F" w:rsidRDefault="009A5B29">
    <w:pPr>
      <w:spacing w:after="0" w:line="259" w:lineRule="auto"/>
      <w:ind w:left="0" w:right="8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0"/>
      </w:rPr>
      <w:t>2</w:t>
    </w:r>
    <w:r>
      <w:rPr>
        <w:rFonts w:ascii="Calibri" w:eastAsia="Calibri" w:hAnsi="Calibri" w:cs="Calibri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8158A" w14:textId="77777777" w:rsidR="00DD209F" w:rsidRDefault="009A5B29">
    <w:pPr>
      <w:spacing w:after="0" w:line="259" w:lineRule="auto"/>
      <w:ind w:left="0" w:right="8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0"/>
      </w:rPr>
      <w:t>2</w:t>
    </w:r>
    <w:r>
      <w:rPr>
        <w:rFonts w:ascii="Calibri" w:eastAsia="Calibri" w:hAnsi="Calibri" w:cs="Calibri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CD6AC" w14:textId="77777777" w:rsidR="00DD209F" w:rsidRDefault="00DD209F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BEF24" w14:textId="77777777" w:rsidR="009A5B29" w:rsidRDefault="009A5B29">
      <w:pPr>
        <w:spacing w:after="0" w:line="240" w:lineRule="auto"/>
      </w:pPr>
      <w:r>
        <w:separator/>
      </w:r>
    </w:p>
  </w:footnote>
  <w:footnote w:type="continuationSeparator" w:id="0">
    <w:p w14:paraId="3FA41F2B" w14:textId="77777777" w:rsidR="009A5B29" w:rsidRDefault="009A5B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771BF"/>
    <w:multiLevelType w:val="hybridMultilevel"/>
    <w:tmpl w:val="1FAC776C"/>
    <w:lvl w:ilvl="0" w:tplc="0A98EEA2">
      <w:start w:val="6"/>
      <w:numFmt w:val="decimal"/>
      <w:pStyle w:val="Nagwek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74B4848E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28887EC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996DD64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F6EC4508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1A0B6EE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E08F746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02A6B5C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42CC412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612659"/>
    <w:multiLevelType w:val="hybridMultilevel"/>
    <w:tmpl w:val="9CBAF0CE"/>
    <w:lvl w:ilvl="0" w:tplc="B6E4E7FE">
      <w:start w:val="1"/>
      <w:numFmt w:val="bullet"/>
      <w:lvlText w:val="•"/>
      <w:lvlJc w:val="left"/>
      <w:pPr>
        <w:ind w:left="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B8229192">
      <w:start w:val="1"/>
      <w:numFmt w:val="bullet"/>
      <w:lvlText w:val="o"/>
      <w:lvlJc w:val="left"/>
      <w:pPr>
        <w:ind w:left="1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B40EB7A">
      <w:start w:val="1"/>
      <w:numFmt w:val="bullet"/>
      <w:lvlText w:val="▪"/>
      <w:lvlJc w:val="left"/>
      <w:pPr>
        <w:ind w:left="2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294DFB0">
      <w:start w:val="1"/>
      <w:numFmt w:val="bullet"/>
      <w:lvlText w:val="•"/>
      <w:lvlJc w:val="left"/>
      <w:pPr>
        <w:ind w:left="2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FCA25778">
      <w:start w:val="1"/>
      <w:numFmt w:val="bullet"/>
      <w:lvlText w:val="o"/>
      <w:lvlJc w:val="left"/>
      <w:pPr>
        <w:ind w:left="3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1D03D50">
      <w:start w:val="1"/>
      <w:numFmt w:val="bullet"/>
      <w:lvlText w:val="▪"/>
      <w:lvlJc w:val="left"/>
      <w:pPr>
        <w:ind w:left="4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D3E2FBA">
      <w:start w:val="1"/>
      <w:numFmt w:val="bullet"/>
      <w:lvlText w:val="•"/>
      <w:lvlJc w:val="left"/>
      <w:pPr>
        <w:ind w:left="5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27A43DC">
      <w:start w:val="1"/>
      <w:numFmt w:val="bullet"/>
      <w:lvlText w:val="o"/>
      <w:lvlJc w:val="left"/>
      <w:pPr>
        <w:ind w:left="5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4A08E8E">
      <w:start w:val="1"/>
      <w:numFmt w:val="bullet"/>
      <w:lvlText w:val="▪"/>
      <w:lvlJc w:val="left"/>
      <w:pPr>
        <w:ind w:left="6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A1B6289"/>
    <w:multiLevelType w:val="hybridMultilevel"/>
    <w:tmpl w:val="F648AE08"/>
    <w:lvl w:ilvl="0" w:tplc="01E4011E">
      <w:start w:val="3"/>
      <w:numFmt w:val="decimal"/>
      <w:lvlText w:val="%1."/>
      <w:lvlJc w:val="left"/>
      <w:pPr>
        <w:ind w:left="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6105728">
      <w:start w:val="1"/>
      <w:numFmt w:val="lowerLetter"/>
      <w:lvlText w:val="%2"/>
      <w:lvlJc w:val="left"/>
      <w:pPr>
        <w:ind w:left="1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6E22208">
      <w:start w:val="1"/>
      <w:numFmt w:val="lowerRoman"/>
      <w:lvlText w:val="%3"/>
      <w:lvlJc w:val="left"/>
      <w:pPr>
        <w:ind w:left="2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89C1566">
      <w:start w:val="1"/>
      <w:numFmt w:val="decimal"/>
      <w:lvlText w:val="%4"/>
      <w:lvlJc w:val="left"/>
      <w:pPr>
        <w:ind w:left="2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81A2746">
      <w:start w:val="1"/>
      <w:numFmt w:val="lowerLetter"/>
      <w:lvlText w:val="%5"/>
      <w:lvlJc w:val="left"/>
      <w:pPr>
        <w:ind w:left="3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046BA6A">
      <w:start w:val="1"/>
      <w:numFmt w:val="lowerRoman"/>
      <w:lvlText w:val="%6"/>
      <w:lvlJc w:val="left"/>
      <w:pPr>
        <w:ind w:left="4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B68FBE">
      <w:start w:val="1"/>
      <w:numFmt w:val="decimal"/>
      <w:lvlText w:val="%7"/>
      <w:lvlJc w:val="left"/>
      <w:pPr>
        <w:ind w:left="5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E9C8CDE">
      <w:start w:val="1"/>
      <w:numFmt w:val="lowerLetter"/>
      <w:lvlText w:val="%8"/>
      <w:lvlJc w:val="left"/>
      <w:pPr>
        <w:ind w:left="5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9061740">
      <w:start w:val="1"/>
      <w:numFmt w:val="lowerRoman"/>
      <w:lvlText w:val="%9"/>
      <w:lvlJc w:val="left"/>
      <w:pPr>
        <w:ind w:left="6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3235625"/>
    <w:multiLevelType w:val="hybridMultilevel"/>
    <w:tmpl w:val="FCCEF8FE"/>
    <w:lvl w:ilvl="0" w:tplc="CFEABC86">
      <w:start w:val="2"/>
      <w:numFmt w:val="decimal"/>
      <w:lvlText w:val="%1."/>
      <w:lvlJc w:val="left"/>
      <w:pPr>
        <w:ind w:left="1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5124DCC">
      <w:start w:val="1"/>
      <w:numFmt w:val="lowerLetter"/>
      <w:lvlText w:val="%2"/>
      <w:lvlJc w:val="left"/>
      <w:pPr>
        <w:ind w:left="1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E384018E">
      <w:start w:val="1"/>
      <w:numFmt w:val="lowerRoman"/>
      <w:lvlText w:val="%3"/>
      <w:lvlJc w:val="left"/>
      <w:pPr>
        <w:ind w:left="2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60EFF74">
      <w:start w:val="1"/>
      <w:numFmt w:val="decimal"/>
      <w:lvlText w:val="%4"/>
      <w:lvlJc w:val="left"/>
      <w:pPr>
        <w:ind w:left="3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8FAC4808">
      <w:start w:val="1"/>
      <w:numFmt w:val="lowerLetter"/>
      <w:lvlText w:val="%5"/>
      <w:lvlJc w:val="left"/>
      <w:pPr>
        <w:ind w:left="3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DC494CA">
      <w:start w:val="1"/>
      <w:numFmt w:val="lowerRoman"/>
      <w:lvlText w:val="%6"/>
      <w:lvlJc w:val="left"/>
      <w:pPr>
        <w:ind w:left="4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711EE582">
      <w:start w:val="1"/>
      <w:numFmt w:val="decimal"/>
      <w:lvlText w:val="%7"/>
      <w:lvlJc w:val="left"/>
      <w:pPr>
        <w:ind w:left="5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0DC62AA">
      <w:start w:val="1"/>
      <w:numFmt w:val="lowerLetter"/>
      <w:lvlText w:val="%8"/>
      <w:lvlJc w:val="left"/>
      <w:pPr>
        <w:ind w:left="5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90E509A">
      <w:start w:val="1"/>
      <w:numFmt w:val="lowerRoman"/>
      <w:lvlText w:val="%9"/>
      <w:lvlJc w:val="left"/>
      <w:pPr>
        <w:ind w:left="6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5A90834"/>
    <w:multiLevelType w:val="hybridMultilevel"/>
    <w:tmpl w:val="E8548C00"/>
    <w:lvl w:ilvl="0" w:tplc="3D4C0290">
      <w:start w:val="1"/>
      <w:numFmt w:val="decimal"/>
      <w:lvlText w:val="%1)"/>
      <w:lvlJc w:val="left"/>
      <w:pPr>
        <w:ind w:left="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FCADB96">
      <w:start w:val="1"/>
      <w:numFmt w:val="lowerLetter"/>
      <w:lvlText w:val="%2"/>
      <w:lvlJc w:val="left"/>
      <w:pPr>
        <w:ind w:left="1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18429B2">
      <w:start w:val="1"/>
      <w:numFmt w:val="lowerRoman"/>
      <w:lvlText w:val="%3"/>
      <w:lvlJc w:val="left"/>
      <w:pPr>
        <w:ind w:left="2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7E8C40">
      <w:start w:val="1"/>
      <w:numFmt w:val="decimal"/>
      <w:lvlText w:val="%4"/>
      <w:lvlJc w:val="left"/>
      <w:pPr>
        <w:ind w:left="2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7B824D4">
      <w:start w:val="1"/>
      <w:numFmt w:val="lowerLetter"/>
      <w:lvlText w:val="%5"/>
      <w:lvlJc w:val="left"/>
      <w:pPr>
        <w:ind w:left="3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51E98CA">
      <w:start w:val="1"/>
      <w:numFmt w:val="lowerRoman"/>
      <w:lvlText w:val="%6"/>
      <w:lvlJc w:val="left"/>
      <w:pPr>
        <w:ind w:left="4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09A62BC">
      <w:start w:val="1"/>
      <w:numFmt w:val="decimal"/>
      <w:lvlText w:val="%7"/>
      <w:lvlJc w:val="left"/>
      <w:pPr>
        <w:ind w:left="5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FFAA896">
      <w:start w:val="1"/>
      <w:numFmt w:val="lowerLetter"/>
      <w:lvlText w:val="%8"/>
      <w:lvlJc w:val="left"/>
      <w:pPr>
        <w:ind w:left="5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AD0FD8A">
      <w:start w:val="1"/>
      <w:numFmt w:val="lowerRoman"/>
      <w:lvlText w:val="%9"/>
      <w:lvlJc w:val="left"/>
      <w:pPr>
        <w:ind w:left="6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19583240">
    <w:abstractNumId w:val="4"/>
  </w:num>
  <w:num w:numId="2" w16cid:durableId="734549267">
    <w:abstractNumId w:val="3"/>
  </w:num>
  <w:num w:numId="3" w16cid:durableId="167714691">
    <w:abstractNumId w:val="1"/>
  </w:num>
  <w:num w:numId="4" w16cid:durableId="1825387303">
    <w:abstractNumId w:val="2"/>
  </w:num>
  <w:num w:numId="5" w16cid:durableId="1276790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09F"/>
    <w:rsid w:val="009A5B29"/>
    <w:rsid w:val="00B75783"/>
    <w:rsid w:val="00DD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A659A"/>
  <w15:docId w15:val="{AE81529D-EBB2-4E3B-88A6-E33B87390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39" w:line="270" w:lineRule="auto"/>
      <w:ind w:left="20" w:firstLine="5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numPr>
        <w:numId w:val="5"/>
      </w:numPr>
      <w:spacing w:after="305" w:line="259" w:lineRule="auto"/>
      <w:ind w:left="569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fontTable" Target="fontTable.xml"/><Relationship Id="rId10" Type="http://schemas.openxmlformats.org/officeDocument/2006/relationships/image" Target="media/image4.jpg"/><Relationship Id="rId19" Type="http://schemas.openxmlformats.org/officeDocument/2006/relationships/image" Target="media/image13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2743</Words>
  <Characters>16459</Characters>
  <Application>Microsoft Office Word</Application>
  <DocSecurity>0</DocSecurity>
  <Lines>137</Lines>
  <Paragraphs>38</Paragraphs>
  <ScaleCrop>false</ScaleCrop>
  <Company/>
  <LinksUpToDate>false</LinksUpToDate>
  <CharactersWithSpaces>19164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Wierzbicka Sylwia</dc:creator>
  <cp:keywords/>
  <cp:lastModifiedBy>Wierzbicka Sylwia</cp:lastModifiedBy>
  <cp:revision>2</cp:revision>
  <dcterms:created xsi:type="dcterms:W3CDTF">2024-12-30T09:27:00Z</dcterms:created>
  <dcterms:modified xsi:type="dcterms:W3CDTF">2024-12-30T09:27:00Z</dcterms:modified>
</cp:coreProperties>
</file>