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A4E9C" w14:textId="77777777" w:rsidR="00EA7B41" w:rsidRDefault="0055188C">
      <w:pPr>
        <w:spacing w:after="1098" w:line="259" w:lineRule="auto"/>
        <w:ind w:left="0" w:right="22" w:firstLine="0"/>
        <w:jc w:val="right"/>
      </w:pPr>
      <w:r>
        <w:t>Kraków</w:t>
      </w:r>
      <w:r>
        <w:rPr>
          <w:i/>
        </w:rPr>
        <w:t xml:space="preserve">, </w:t>
      </w:r>
      <w:r>
        <w:t xml:space="preserve">22 listopada 2024 r. </w:t>
      </w:r>
    </w:p>
    <w:p w14:paraId="46D6929C" w14:textId="77777777" w:rsidR="00EA7B41" w:rsidRDefault="0055188C">
      <w:pPr>
        <w:spacing w:after="192" w:line="259" w:lineRule="auto"/>
        <w:ind w:left="1877"/>
        <w:jc w:val="center"/>
      </w:pPr>
      <w:r>
        <w:rPr>
          <w:b/>
        </w:rPr>
        <w:t xml:space="preserve">Szanowny Pan Minister </w:t>
      </w:r>
    </w:p>
    <w:p w14:paraId="30C33FA4" w14:textId="77777777" w:rsidR="00EA7B41" w:rsidRDefault="0055188C">
      <w:pPr>
        <w:spacing w:after="192" w:line="259" w:lineRule="auto"/>
        <w:ind w:left="1877" w:right="271"/>
        <w:jc w:val="center"/>
      </w:pPr>
      <w:r>
        <w:rPr>
          <w:b/>
        </w:rPr>
        <w:t xml:space="preserve">Prof. Krzysztof </w:t>
      </w:r>
      <w:proofErr w:type="spellStart"/>
      <w:r>
        <w:rPr>
          <w:b/>
        </w:rPr>
        <w:t>Galos</w:t>
      </w:r>
      <w:proofErr w:type="spellEnd"/>
      <w:r>
        <w:rPr>
          <w:b/>
        </w:rPr>
        <w:t xml:space="preserve"> </w:t>
      </w:r>
    </w:p>
    <w:p w14:paraId="4D6D4FAB" w14:textId="77777777" w:rsidR="00EA7B41" w:rsidRDefault="0055188C">
      <w:pPr>
        <w:spacing w:after="191" w:line="259" w:lineRule="auto"/>
        <w:ind w:left="1497" w:firstLine="0"/>
        <w:jc w:val="center"/>
      </w:pPr>
      <w:r>
        <w:t>G</w:t>
      </w:r>
      <w:r>
        <w:t>łówny Geolog Kraju</w:t>
      </w:r>
      <w:r>
        <w:t xml:space="preserve"> </w:t>
      </w:r>
    </w:p>
    <w:p w14:paraId="75962BD5" w14:textId="77777777" w:rsidR="00EA7B41" w:rsidRDefault="0055188C">
      <w:pPr>
        <w:spacing w:after="613"/>
        <w:ind w:left="4321" w:right="1572" w:firstLine="0"/>
        <w:jc w:val="left"/>
      </w:pPr>
      <w:r>
        <w:t>Ministerstwo Klimatu i Środowiska</w:t>
      </w:r>
      <w:r>
        <w:t xml:space="preserve"> ul. Wawelska 52/54 00-922 Warszawa </w:t>
      </w:r>
    </w:p>
    <w:p w14:paraId="1D1C8CFB" w14:textId="77777777" w:rsidR="00EA7B41" w:rsidRDefault="0055188C">
      <w:pPr>
        <w:pStyle w:val="Nagwek1"/>
        <w:numPr>
          <w:ilvl w:val="0"/>
          <w:numId w:val="0"/>
        </w:numPr>
        <w:ind w:left="-5"/>
      </w:pPr>
      <w:r>
        <w:t xml:space="preserve">Szanowny Panie Ministrze, </w:t>
      </w:r>
    </w:p>
    <w:p w14:paraId="6B5943BC" w14:textId="77777777" w:rsidR="00EA7B41" w:rsidRDefault="0055188C">
      <w:pPr>
        <w:spacing w:after="187"/>
        <w:ind w:left="-5" w:right="12"/>
      </w:pPr>
      <w:r>
        <w:t xml:space="preserve">w nawiązaniu do spotkania, które odbyło się w Ministerstwie Klimatu i Środowiska 26 kwietnia 2024 r., jako przedstawiciele jednostek samorządu terytorialnego położonych na terenach górniczych, organizacji społecznych reprezentujących interesy społeczności lokalnych na terenach górniczych </w:t>
      </w:r>
      <w:r>
        <w:t>oraz organiza</w:t>
      </w:r>
      <w:r>
        <w:t>cji ekologicznych, zwracamy się z prośbą o:</w:t>
      </w:r>
      <w:r>
        <w:t xml:space="preserve"> </w:t>
      </w:r>
    </w:p>
    <w:p w14:paraId="5A88793C" w14:textId="77777777" w:rsidR="00EA7B41" w:rsidRDefault="0055188C">
      <w:pPr>
        <w:numPr>
          <w:ilvl w:val="0"/>
          <w:numId w:val="1"/>
        </w:numPr>
        <w:spacing w:after="29"/>
        <w:ind w:right="12" w:hanging="360"/>
      </w:pPr>
      <w:r>
        <w:t>udzielenie informacji na temat aktualnego etapu prac nad zapowiadaną nowelizacją ustawy Prawo geologiczne i górnicze, obejmującą</w:t>
      </w:r>
      <w:r>
        <w:t xml:space="preserve"> </w:t>
      </w:r>
      <w:r>
        <w:t>przepisy dotyczące ochrony złóż kopalin;</w:t>
      </w:r>
      <w:r>
        <w:t xml:space="preserve"> </w:t>
      </w:r>
    </w:p>
    <w:p w14:paraId="409FC90A" w14:textId="77777777" w:rsidR="00EA7B41" w:rsidRDefault="0055188C">
      <w:pPr>
        <w:numPr>
          <w:ilvl w:val="0"/>
          <w:numId w:val="1"/>
        </w:numPr>
        <w:spacing w:after="29"/>
        <w:ind w:right="12" w:hanging="360"/>
      </w:pPr>
      <w:r>
        <w:t>uwzględnienie w ww. pracach legislacyjnych postulatów, które stanowią załącznik do niniej</w:t>
      </w:r>
      <w:r>
        <w:t xml:space="preserve">szego pisma; </w:t>
      </w:r>
    </w:p>
    <w:p w14:paraId="4CF06118" w14:textId="77777777" w:rsidR="00EA7B41" w:rsidRDefault="0055188C">
      <w:pPr>
        <w:numPr>
          <w:ilvl w:val="0"/>
          <w:numId w:val="1"/>
        </w:numPr>
        <w:ind w:right="12" w:hanging="360"/>
      </w:pPr>
      <w:r>
        <w:t>dopuszczenie przedstawicieli jednostek samorządu terytorialnego oraz organizacji społecznych i ekologicznych do udziału w posiedzeniach i pracach Rady Gospodarowania Zaso</w:t>
      </w:r>
      <w:r>
        <w:t xml:space="preserve">bami Ziemi w zakresie ww. prac legislacyjnych. </w:t>
      </w:r>
    </w:p>
    <w:p w14:paraId="3CC9B51A" w14:textId="77777777" w:rsidR="00EA7B41" w:rsidRDefault="0055188C">
      <w:pPr>
        <w:ind w:left="-5" w:right="12"/>
      </w:pPr>
      <w:r>
        <w:t>Podtrzymując stanowisko wyrażone na spotkaniu w dniu 26 kwietnia 2024 r., zwracamy uwagę na to, że od dnia 28 października 2023 r. obowiązują przyjęte przez Sejm poprzedniej kadencji przepisy regulujące ochronę złóż kopalin w sposób rażąco godzący w słuszn</w:t>
      </w:r>
      <w:r>
        <w:t>e interesy jednostek samo</w:t>
      </w:r>
      <w:r>
        <w:t>rządu terytorialnego, społeczności lokalnych i właścicieli nieruchomości. Pragniemy przypomnieć, że przeciwko przyjęciu tych przepisów głosowali przedstawiciele wszystkich ugrupowań tworzących obecną koalicję rządową.</w:t>
      </w:r>
      <w:r>
        <w:t xml:space="preserve"> </w:t>
      </w:r>
    </w:p>
    <w:p w14:paraId="2135890E" w14:textId="77777777" w:rsidR="00EA7B41" w:rsidRDefault="0055188C">
      <w:pPr>
        <w:ind w:left="-5" w:right="12"/>
      </w:pPr>
      <w:r>
        <w:t>W trakcie spotkania w dniu 26 kwietnia 2024 r. zostaliśmy poinformowani, że w Ministerstwie Klimatu i Środowiska prowadzone są prace nad nowelizacją ustawy Prawo geologiczne i górnicze obejmującą ww. sporne regulacje. Według naszej wiedzy do dzisiaj nie został opublikowany ani projekt ustawy nowelizującej, ani nawet jego założenia.</w:t>
      </w:r>
      <w:r>
        <w:t xml:space="preserve"> </w:t>
      </w:r>
    </w:p>
    <w:p w14:paraId="1DD79310" w14:textId="77777777" w:rsidR="00EA7B41" w:rsidRDefault="0055188C">
      <w:pPr>
        <w:ind w:left="-5" w:right="12"/>
      </w:pPr>
      <w:r>
        <w:t>Grupa przedstawicieli strony samorządowej i społecznej opracowała 10 postulatów zmian w ustawie Prawo geologiczne i górnicze. Ich celem jest wprowadzenie transparentnych zasad ochrony strategicznych złóż kopalin, przy poszanowaniu interesów samorządów, społeczności lokalnych i właścicieli nieruchomości oraz z uwzględnieniem zasady zrównoważonego rozwoju i zasady proporcjonalności. Postulaty te przedkładamy jako załącznik do niniejszego pisma z prośbą o ich uwzględnienie w dalszych pracach nad założeniami no</w:t>
      </w:r>
      <w:r>
        <w:t>welizacji oraz samą nowelizacją.</w:t>
      </w:r>
      <w:r>
        <w:t xml:space="preserve"> </w:t>
      </w:r>
    </w:p>
    <w:p w14:paraId="72319065" w14:textId="77777777" w:rsidR="00EA7B41" w:rsidRDefault="0055188C">
      <w:pPr>
        <w:ind w:left="-5" w:right="12"/>
      </w:pPr>
      <w:r>
        <w:t>Ponadto, zwracamy się do Pana z ważnym apelem dotyczącym prac Rady Gospodarowania Zasobami Ziemi, która została powołana 10 kwietnia 2024 r. Jej zadania obejmują między innymi wspieranie Ministra i Głównego Geologa Kraju w zakresie aktów prawnych dotyczący</w:t>
      </w:r>
      <w:r>
        <w:t>ch geologii i gospo</w:t>
      </w:r>
      <w:r>
        <w:t>darowania górotworem, w tym założeń zmiany obowiązującej ustawy –</w:t>
      </w:r>
      <w:r>
        <w:t xml:space="preserve"> </w:t>
      </w:r>
      <w:r>
        <w:t>Prawo geologiczne i górnicze oraz założeń nowego aktu prawnego regulującego działalność w górotworze. Jakkolwiek w Radzie zasiada wielu wybitnych ekspertów z zakresu geologii i górnictwa, to z przykrością stwierdzamy, że do udziału w jej posiedzeniach i pracach nie zostali zaproszeni, choćby w</w:t>
      </w:r>
      <w:r>
        <w:t xml:space="preserve"> </w:t>
      </w:r>
      <w:r>
        <w:lastRenderedPageBreak/>
        <w:t xml:space="preserve">charakterze </w:t>
      </w:r>
      <w:r>
        <w:t>obserwatorów, przedstawiciele kluczowych interesariuszy, tj. jednostek samorządu terytorialnego i społeczeństwa obywatel</w:t>
      </w:r>
      <w:r>
        <w:t>skiego, w tym społeczności lokalnych z</w:t>
      </w:r>
      <w:r>
        <w:t xml:space="preserve"> </w:t>
      </w:r>
      <w:r>
        <w:t xml:space="preserve">terenów górniczych. </w:t>
      </w:r>
    </w:p>
    <w:p w14:paraId="727D6CBF" w14:textId="77777777" w:rsidR="00EA7B41" w:rsidRDefault="0055188C">
      <w:pPr>
        <w:ind w:left="-5" w:right="12"/>
      </w:pPr>
      <w:r>
        <w:t>Jesteśmy przekonani, że dopuszczenie przedstawicieli strony samorządowej i społecznej do udziału w posiedzeniach i pracach Rady przyczyni się do zwiększenia transparentności procesu legislacyjnego, zapewni realizację zasady partycypacji społecznej oraz zasady wspierania działań obywateli na rzecz ochrony środowiska</w:t>
      </w:r>
      <w:r>
        <w:t xml:space="preserve"> (zgodnie z art. 74 ust. 4 Konstytucji Rzeczypospolitej Polskiej). Pozwoli </w:t>
      </w:r>
      <w:r>
        <w:t>to również na pełniejsze uwzględnienie zasad ochrony środowiska i zrównoważonego rozwoju oraz wpłynie na wyższy poziom akceptacji społecznej przyszłych zmian prawnych.</w:t>
      </w:r>
      <w:r>
        <w:t xml:space="preserve"> </w:t>
      </w:r>
    </w:p>
    <w:p w14:paraId="50C1D78B" w14:textId="77777777" w:rsidR="00EA7B41" w:rsidRDefault="0055188C">
      <w:pPr>
        <w:spacing w:after="533" w:line="370" w:lineRule="auto"/>
        <w:ind w:left="0" w:right="19" w:firstLine="0"/>
      </w:pPr>
      <w:r>
        <w:t>Licząc na pozytywne rozpatrzenie naszych postulatów wyrażamy gotowość do współpracy i</w:t>
      </w:r>
      <w:r>
        <w:t xml:space="preserve"> merytorycznej dyskusji na temat oczekiwanych przez nas zmian prawnych. Z wyrazami szacunku </w:t>
      </w:r>
    </w:p>
    <w:p w14:paraId="3776C896" w14:textId="77777777" w:rsidR="00EA7B41" w:rsidRDefault="0055188C">
      <w:pPr>
        <w:spacing w:after="1439" w:line="259" w:lineRule="auto"/>
        <w:ind w:left="5041" w:firstLine="0"/>
        <w:jc w:val="left"/>
      </w:pPr>
      <w:r>
        <w:rPr>
          <w:rFonts w:ascii="Arial Unicode MS" w:eastAsia="Arial Unicode MS" w:hAnsi="Arial Unicode MS" w:cs="Arial Unicode MS"/>
        </w:rPr>
        <w:t xml:space="preserve">                        </w:t>
      </w:r>
    </w:p>
    <w:p w14:paraId="62F9FB35" w14:textId="77777777" w:rsidR="00EA7B41" w:rsidRDefault="0055188C">
      <w:pPr>
        <w:spacing w:after="80" w:line="259" w:lineRule="auto"/>
        <w:ind w:left="2944" w:firstLine="0"/>
        <w:jc w:val="center"/>
      </w:pPr>
      <w:r>
        <w:rPr>
          <w:rFonts w:ascii="Arial Unicode MS" w:eastAsia="Arial Unicode MS" w:hAnsi="Arial Unicode MS" w:cs="Arial Unicode MS"/>
        </w:rPr>
        <w:t xml:space="preserve">                    </w:t>
      </w:r>
    </w:p>
    <w:p w14:paraId="2B26FC7E" w14:textId="77777777" w:rsidR="00EA7B41" w:rsidRDefault="0055188C">
      <w:pPr>
        <w:spacing w:after="1893" w:line="259" w:lineRule="auto"/>
        <w:ind w:left="0" w:right="572" w:firstLine="0"/>
        <w:jc w:val="right"/>
      </w:pPr>
      <w:r>
        <w:rPr>
          <w:rFonts w:ascii="Arial Unicode MS" w:eastAsia="Arial Unicode MS" w:hAnsi="Arial Unicode MS" w:cs="Arial Unicode MS"/>
        </w:rPr>
        <w:t xml:space="preserve">                                    </w:t>
      </w:r>
    </w:p>
    <w:p w14:paraId="11B13841" w14:textId="77777777" w:rsidR="00EA7B41" w:rsidRDefault="0055188C">
      <w:pPr>
        <w:spacing w:after="78" w:line="259" w:lineRule="auto"/>
        <w:ind w:left="0" w:firstLine="0"/>
        <w:jc w:val="left"/>
      </w:pPr>
      <w:r>
        <w:rPr>
          <w:rFonts w:ascii="Arial Unicode MS" w:eastAsia="Arial Unicode MS" w:hAnsi="Arial Unicode MS" w:cs="Arial Unicode MS"/>
        </w:rPr>
        <w:t xml:space="preserve">            </w:t>
      </w:r>
    </w:p>
    <w:p w14:paraId="56C7DE38" w14:textId="77777777" w:rsidR="00EA7B41" w:rsidRDefault="0055188C">
      <w:pPr>
        <w:spacing w:after="78" w:line="259" w:lineRule="auto"/>
        <w:ind w:left="360" w:firstLine="0"/>
        <w:jc w:val="left"/>
      </w:pP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" w:eastAsia="Arial" w:hAnsi="Arial" w:cs="Arial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                          </w:t>
      </w:r>
    </w:p>
    <w:p w14:paraId="4CA4E48F" w14:textId="77777777" w:rsidR="00EA7B41" w:rsidRDefault="0055188C">
      <w:pPr>
        <w:spacing w:after="0" w:line="259" w:lineRule="auto"/>
        <w:ind w:left="360" w:firstLine="0"/>
        <w:jc w:val="left"/>
      </w:pP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" w:eastAsia="Arial" w:hAnsi="Arial" w:cs="Arial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                                                         </w:t>
      </w:r>
    </w:p>
    <w:p w14:paraId="6CE11019" w14:textId="77777777" w:rsidR="00EA7B41" w:rsidRDefault="0055188C">
      <w:pPr>
        <w:spacing w:after="57" w:line="259" w:lineRule="auto"/>
        <w:ind w:left="0" w:firstLine="0"/>
        <w:jc w:val="left"/>
      </w:pPr>
      <w:r>
        <w:rPr>
          <w:rFonts w:ascii="Arial Unicode MS" w:eastAsia="Arial Unicode MS" w:hAnsi="Arial Unicode MS" w:cs="Arial Unicode MS"/>
          <w:color w:val="BAA979"/>
          <w:sz w:val="28"/>
        </w:rPr>
        <w:t xml:space="preserve">                         </w:t>
      </w:r>
      <w:r>
        <w:rPr>
          <w:rFonts w:ascii="Arial Unicode MS" w:eastAsia="Arial Unicode MS" w:hAnsi="Arial Unicode MS" w:cs="Arial Unicode MS"/>
          <w:sz w:val="28"/>
        </w:rPr>
        <w:t xml:space="preserve"> </w:t>
      </w:r>
    </w:p>
    <w:p w14:paraId="11337A3C" w14:textId="77777777" w:rsidR="00EA7B41" w:rsidRDefault="0055188C">
      <w:pPr>
        <w:spacing w:after="937" w:line="259" w:lineRule="auto"/>
        <w:ind w:left="146" w:firstLine="0"/>
        <w:jc w:val="left"/>
      </w:pPr>
      <w:r>
        <w:rPr>
          <w:rFonts w:ascii="Arial Unicode MS" w:eastAsia="Arial Unicode MS" w:hAnsi="Arial Unicode MS" w:cs="Arial Unicode MS"/>
        </w:rPr>
        <w:t xml:space="preserve">                              </w:t>
      </w:r>
      <w:r>
        <w:rPr>
          <w:rFonts w:ascii="Arial Unicode MS" w:eastAsia="Arial Unicode MS" w:hAnsi="Arial Unicode MS" w:cs="Arial Unicode MS"/>
        </w:rPr>
        <w:tab/>
        <w:t xml:space="preserve">                       </w:t>
      </w:r>
      <w:r>
        <w:rPr>
          <w:rFonts w:ascii="Arial Unicode MS" w:eastAsia="Arial Unicode MS" w:hAnsi="Arial Unicode MS" w:cs="Arial Unicode MS"/>
        </w:rPr>
        <w:tab/>
        <w:t xml:space="preserve">          </w:t>
      </w:r>
    </w:p>
    <w:p w14:paraId="7EE4F9AE" w14:textId="77777777" w:rsidR="00EA7B41" w:rsidRDefault="0055188C">
      <w:pPr>
        <w:spacing w:after="0" w:line="259" w:lineRule="auto"/>
        <w:ind w:left="188" w:firstLine="0"/>
        <w:jc w:val="center"/>
      </w:pPr>
      <w:r>
        <w:rPr>
          <w:rFonts w:ascii="Arial Unicode MS" w:eastAsia="Arial Unicode MS" w:hAnsi="Arial Unicode MS" w:cs="Arial Unicode MS"/>
        </w:rPr>
        <w:t xml:space="preserve">                          </w:t>
      </w:r>
    </w:p>
    <w:p w14:paraId="314B76A8" w14:textId="77777777" w:rsidR="00EA7B41" w:rsidRDefault="0055188C">
      <w:pPr>
        <w:spacing w:after="0" w:line="259" w:lineRule="auto"/>
        <w:ind w:left="113" w:firstLine="0"/>
        <w:jc w:val="left"/>
      </w:pPr>
      <w:r>
        <w:rPr>
          <w:rFonts w:ascii="Arial Unicode MS" w:eastAsia="Arial Unicode MS" w:hAnsi="Arial Unicode MS" w:cs="Arial Unicode MS"/>
        </w:rPr>
        <w:t xml:space="preserve">                  </w:t>
      </w:r>
    </w:p>
    <w:p w14:paraId="3713DAFB" w14:textId="77777777" w:rsidR="00EA7B41" w:rsidRDefault="0055188C">
      <w:pPr>
        <w:spacing w:after="1349" w:line="259" w:lineRule="auto"/>
        <w:ind w:left="0" w:right="431" w:firstLine="0"/>
        <w:jc w:val="center"/>
      </w:pPr>
      <w:r>
        <w:rPr>
          <w:rFonts w:ascii="Arial Unicode MS" w:eastAsia="Arial Unicode MS" w:hAnsi="Arial Unicode MS" w:cs="Arial Unicode MS"/>
        </w:rPr>
        <w:t xml:space="preserve">                     </w:t>
      </w:r>
    </w:p>
    <w:p w14:paraId="0FC4A1C2" w14:textId="77777777" w:rsidR="00EA7B41" w:rsidRDefault="0055188C">
      <w:pPr>
        <w:spacing w:after="1168" w:line="259" w:lineRule="auto"/>
        <w:ind w:left="113" w:firstLine="0"/>
        <w:jc w:val="left"/>
      </w:pPr>
      <w:r>
        <w:rPr>
          <w:rFonts w:ascii="Arial Unicode MS" w:eastAsia="Arial Unicode MS" w:hAnsi="Arial Unicode MS" w:cs="Arial Unicode MS"/>
        </w:rPr>
        <w:t xml:space="preserve">                    </w:t>
      </w:r>
      <w:r>
        <w:rPr>
          <w:rFonts w:ascii="Arial Unicode MS" w:eastAsia="Arial Unicode MS" w:hAnsi="Arial Unicode MS" w:cs="Arial Unicode MS"/>
        </w:rPr>
        <w:tab/>
        <w:t xml:space="preserve">                    </w:t>
      </w:r>
    </w:p>
    <w:p w14:paraId="057E4966" w14:textId="77777777" w:rsidR="00EA7B41" w:rsidRDefault="0055188C">
      <w:pPr>
        <w:spacing w:after="1158" w:line="259" w:lineRule="auto"/>
        <w:ind w:left="113" w:firstLine="0"/>
        <w:jc w:val="left"/>
      </w:pPr>
      <w:r>
        <w:rPr>
          <w:rFonts w:ascii="Arial Unicode MS" w:eastAsia="Arial Unicode MS" w:hAnsi="Arial Unicode MS" w:cs="Arial Unicode MS"/>
        </w:rPr>
        <w:t xml:space="preserve">           </w:t>
      </w:r>
      <w:r>
        <w:rPr>
          <w:rFonts w:ascii="Arial Unicode MS" w:eastAsia="Arial Unicode MS" w:hAnsi="Arial Unicode MS" w:cs="Arial Unicode MS"/>
        </w:rPr>
        <w:tab/>
        <w:t xml:space="preserve">                           </w:t>
      </w:r>
    </w:p>
    <w:p w14:paraId="443DE524" w14:textId="77777777" w:rsidR="00EA7B41" w:rsidRDefault="0055188C" w:rsidP="0055188C">
      <w:pPr>
        <w:spacing w:after="0" w:line="259" w:lineRule="auto"/>
        <w:ind w:left="0" w:right="333" w:firstLine="0"/>
      </w:pPr>
      <w:r>
        <w:rPr>
          <w:rFonts w:ascii="Arial Unicode MS" w:eastAsia="Arial Unicode MS" w:hAnsi="Arial Unicode MS" w:cs="Arial Unicode MS"/>
        </w:rPr>
        <w:lastRenderedPageBreak/>
        <w:t xml:space="preserve">                       </w:t>
      </w:r>
    </w:p>
    <w:p w14:paraId="158C741E" w14:textId="77777777" w:rsidR="00EA7B41" w:rsidRDefault="0055188C">
      <w:pPr>
        <w:spacing w:after="187" w:line="259" w:lineRule="auto"/>
        <w:ind w:left="0" w:firstLine="0"/>
        <w:jc w:val="left"/>
      </w:pPr>
      <w:r>
        <w:rPr>
          <w:color w:val="BAA979"/>
          <w:sz w:val="28"/>
        </w:rPr>
        <w:t xml:space="preserve">Postulowane zmiany w ustawie Prawo geologiczne i górnicze – naprawa instytucji ochrony strategicznych złóż kopalin. </w:t>
      </w:r>
    </w:p>
    <w:p w14:paraId="484F54CD" w14:textId="77777777" w:rsidR="00EA7B41" w:rsidRDefault="0055188C">
      <w:pPr>
        <w:spacing w:after="187"/>
        <w:ind w:left="-5" w:right="12"/>
      </w:pPr>
      <w:r>
        <w:t xml:space="preserve">Celem zmian jest </w:t>
      </w:r>
      <w:r>
        <w:t>wprowadzenie transparentnych zasad ochrony strategicznych złóż kopalin,</w:t>
      </w:r>
      <w:r>
        <w:t xml:space="preserve"> z po</w:t>
      </w:r>
      <w:r>
        <w:t xml:space="preserve">szanowaniem interesów samorządów, społeczności lokalnych i właścicieli nieruchomości oraz z uwzględnieniem zasady zrównoważonego rozwoju </w:t>
      </w:r>
      <w:r>
        <w:t xml:space="preserve">i </w:t>
      </w:r>
      <w:r>
        <w:t>zasady proporcjonalności.</w:t>
      </w:r>
      <w:r>
        <w:t xml:space="preserve"> </w:t>
      </w:r>
    </w:p>
    <w:p w14:paraId="26751544" w14:textId="77777777" w:rsidR="00EA7B41" w:rsidRDefault="0055188C">
      <w:pPr>
        <w:spacing w:after="160" w:line="291" w:lineRule="auto"/>
        <w:ind w:left="710" w:right="12" w:hanging="365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Rozróżnienie ochrony złóż strategicznych i ochrony innych złóż kopalin, które nie zostały uznane za strategiczne. </w:t>
      </w:r>
      <w:r>
        <w:t xml:space="preserve"> </w:t>
      </w:r>
    </w:p>
    <w:p w14:paraId="74BD8E8B" w14:textId="77777777" w:rsidR="00EA7B41" w:rsidRDefault="0055188C">
      <w:pPr>
        <w:ind w:left="-5" w:right="12"/>
      </w:pPr>
      <w:r>
        <w:t>W aktualnym stanie prawnym art. 95 i art. 161a-161b ustawy Prawo g</w:t>
      </w:r>
      <w:r>
        <w:t>eologiczne i górnicze</w:t>
      </w:r>
      <w:r>
        <w:t xml:space="preserve"> w </w:t>
      </w:r>
      <w:r>
        <w:t>związku z</w:t>
      </w:r>
      <w:r>
        <w:t xml:space="preserve"> przepisami ustawy o planowaniu i zagospodarowaniu przestrzennym </w:t>
      </w:r>
      <w:r>
        <w:t>ustanawia ochronę złóż kopalin</w:t>
      </w:r>
      <w:r>
        <w:t xml:space="preserve">, </w:t>
      </w:r>
      <w:r>
        <w:t>rozumianą jako zabezpieczenie możliwości ich eksploatacji</w:t>
      </w:r>
      <w:r>
        <w:t xml:space="preserve"> </w:t>
      </w:r>
      <w:r>
        <w:t>w przyszłości,</w:t>
      </w:r>
      <w:r>
        <w:t xml:space="preserve"> w stosunku </w:t>
      </w:r>
      <w:r>
        <w:t xml:space="preserve">do wszystkich udokumentowanych złóż kopalin. Ochrona ta obejmuje w szczególności konieczność </w:t>
      </w:r>
      <w:r>
        <w:t xml:space="preserve">uzgadniania </w:t>
      </w:r>
      <w:r>
        <w:t xml:space="preserve">planu ogólnego i planu miejscowego oraz </w:t>
      </w:r>
      <w:r>
        <w:t xml:space="preserve">decyzji o ustaleniu lokalizacji inwestycji celu publicznego i decyzji o warunkach zabudowy </w:t>
      </w:r>
      <w:r>
        <w:t>z ministrem właściwym do spraw środowiska w przy</w:t>
      </w:r>
      <w:r>
        <w:t>padku wszystki</w:t>
      </w:r>
      <w:r>
        <w:t xml:space="preserve">ch </w:t>
      </w:r>
      <w:r>
        <w:t>udokumentowanych złóż kopalin objętych własnością górniczą Skarbu Państwa.</w:t>
      </w:r>
      <w:r>
        <w:t xml:space="preserve"> </w:t>
      </w:r>
    </w:p>
    <w:p w14:paraId="27125738" w14:textId="77777777" w:rsidR="00EA7B41" w:rsidRDefault="0055188C">
      <w:pPr>
        <w:ind w:left="-5" w:right="12"/>
      </w:pPr>
      <w:r>
        <w:t>W praktyce oznacza to, że również w przypadku złóż, które nie zostały uznane za strategiczne, władztwo planistyczne gmin oraz prawa właścicieli nieruchomości mogą podlegać</w:t>
      </w:r>
      <w:r>
        <w:t xml:space="preserve"> </w:t>
      </w:r>
      <w:r>
        <w:t>daleko posunię</w:t>
      </w:r>
      <w:r>
        <w:t xml:space="preserve">tym ograniczeniom. </w:t>
      </w:r>
      <w:r>
        <w:t xml:space="preserve">Dotyczy to nawet złóż, których eksploatacja nie jest </w:t>
      </w:r>
      <w:r>
        <w:t xml:space="preserve">uzasadniona lub planowana. </w:t>
      </w:r>
      <w:r>
        <w:t>Rozwiązanie to należy uznać za sprzeczne z zasadą proporcjonalności</w:t>
      </w:r>
      <w:r>
        <w:t xml:space="preserve">. Tak daleko </w:t>
      </w:r>
      <w:r>
        <w:t xml:space="preserve">posunięta </w:t>
      </w:r>
      <w:r>
        <w:t>ochrona</w:t>
      </w:r>
      <w:r>
        <w:t xml:space="preserve">, związana z </w:t>
      </w:r>
      <w:r>
        <w:t>ingerencj</w:t>
      </w:r>
      <w:r>
        <w:t>ą</w:t>
      </w:r>
      <w:r>
        <w:t xml:space="preserve"> </w:t>
      </w:r>
      <w:r>
        <w:t>w kompetencje planistyczne gmin oraz w prawo własności, po</w:t>
      </w:r>
      <w:r>
        <w:t>wi</w:t>
      </w:r>
      <w:r>
        <w:t>nna zostać ograniczona wyłącznie do złóż o szczególnym znaczeniu, które zostały uznane za stra</w:t>
      </w:r>
      <w:r>
        <w:t xml:space="preserve">tegiczne. </w:t>
      </w:r>
    </w:p>
    <w:p w14:paraId="05A8C867" w14:textId="77777777" w:rsidR="00EA7B41" w:rsidRDefault="0055188C">
      <w:pPr>
        <w:ind w:left="-5" w:right="12"/>
      </w:pPr>
      <w:r>
        <w:t>W przypadku złóż kopalin, które nie zostały uznane za strategiczne, obowiązek uzgodnienia aktów planistycznych i projektów decyzji należy zastąpić opiniowaniem.</w:t>
      </w:r>
      <w:r>
        <w:t xml:space="preserve"> </w:t>
      </w:r>
    </w:p>
    <w:p w14:paraId="371CCEB7" w14:textId="77777777" w:rsidR="00EA7B41" w:rsidRDefault="0055188C">
      <w:pPr>
        <w:spacing w:after="187"/>
        <w:ind w:left="-5" w:right="12"/>
      </w:pPr>
      <w:r>
        <w:t>Należy podkreślić, że w</w:t>
      </w:r>
      <w:r>
        <w:t xml:space="preserve"> </w:t>
      </w:r>
      <w:r>
        <w:t xml:space="preserve">przypadku złóż, które nie zostały uznane za strategiczne, </w:t>
      </w:r>
      <w:r>
        <w:t xml:space="preserve">zabezpieczenie </w:t>
      </w:r>
      <w:r>
        <w:t xml:space="preserve">możliwości </w:t>
      </w:r>
      <w:r>
        <w:t xml:space="preserve">ich eksploatacji (nawet wbrew woli gminy) </w:t>
      </w:r>
      <w:r>
        <w:t>jest możliwe poprzez uznanie konkretnego przedsięwzięcia (planowanej kopalni) za inwestycję celu publicznego o znaczeniu ponadlokalnym</w:t>
      </w:r>
      <w:r>
        <w:t xml:space="preserve"> i zastosowanie art. 13k ustawy o planowaniu i zagospodarowaniu przestrzennym. </w:t>
      </w:r>
    </w:p>
    <w:p w14:paraId="67331E44" w14:textId="77777777" w:rsidR="00EA7B41" w:rsidRDefault="0055188C">
      <w:pPr>
        <w:numPr>
          <w:ilvl w:val="0"/>
          <w:numId w:val="2"/>
        </w:numPr>
        <w:spacing w:after="160" w:line="291" w:lineRule="auto"/>
        <w:ind w:right="12" w:hanging="360"/>
      </w:pPr>
      <w:r>
        <w:rPr>
          <w:b/>
        </w:rPr>
        <w:t xml:space="preserve">Wprowadzenie delegacji ustawowej do wydania rozporządzenia określającego zamknięty katalog kopalin strategicznych, których złoża mogą być objęte ochroną jako strategiczne.  </w:t>
      </w:r>
    </w:p>
    <w:p w14:paraId="2F1D041A" w14:textId="77777777" w:rsidR="00EA7B41" w:rsidRDefault="0055188C">
      <w:pPr>
        <w:ind w:left="-5" w:right="12"/>
      </w:pPr>
      <w:r>
        <w:t xml:space="preserve">Określając katalog kopalin strategicznych należy kierować się w szczególności potrzebami surowcowymi państwa, z uwzględnieniem wykazu surowców strategicznych i krytycznych ustalonego </w:t>
      </w:r>
      <w:r>
        <w:t xml:space="preserve">przez organy Unii Europejskiej. </w:t>
      </w:r>
    </w:p>
    <w:p w14:paraId="0733146B" w14:textId="77777777" w:rsidR="00EA7B41" w:rsidRDefault="0055188C">
      <w:pPr>
        <w:spacing w:after="190"/>
        <w:ind w:left="-5" w:right="12"/>
      </w:pPr>
      <w:r>
        <w:t xml:space="preserve">Możliwość uznania złoża za strategiczne nie powinna dotyczyć złóż kopalin, dla których nie przewiduje się istotnej roli w gospodarce kraju. W szczególności, </w:t>
      </w:r>
      <w:r>
        <w:t xml:space="preserve">w katalogu kopalin strategicznych nie ma miejsca dla </w:t>
      </w:r>
      <w:r>
        <w:t>węgla brunatnego, którego dalsze wykorzystanie jako paliwa stoi w sprzeczności z aktualną polityką energetyczną i polityką klimatyczną Polski i UE.</w:t>
      </w:r>
      <w:r>
        <w:rPr>
          <w:b/>
        </w:rPr>
        <w:t xml:space="preserve"> </w:t>
      </w:r>
    </w:p>
    <w:p w14:paraId="4DA2FE79" w14:textId="77777777" w:rsidR="00EA7B41" w:rsidRDefault="0055188C">
      <w:pPr>
        <w:numPr>
          <w:ilvl w:val="0"/>
          <w:numId w:val="2"/>
        </w:numPr>
        <w:spacing w:after="160" w:line="291" w:lineRule="auto"/>
        <w:ind w:right="12" w:hanging="360"/>
      </w:pPr>
      <w:r>
        <w:rPr>
          <w:b/>
        </w:rPr>
        <w:t>Przyznanie statusu strony postępowania o uznanie złoża kopaliny za strategiczne właścicielom i użytkownikom wieczystym nieruchomości, w granicach których planowane jest wprowadzenie zakazów lub ograniczeń w zakresie zagospodarowania</w:t>
      </w:r>
      <w:r>
        <w:t>.</w:t>
      </w:r>
      <w:r>
        <w:rPr>
          <w:b/>
        </w:rPr>
        <w:t xml:space="preserve"> </w:t>
      </w:r>
    </w:p>
    <w:p w14:paraId="01094B3E" w14:textId="77777777" w:rsidR="00EA7B41" w:rsidRDefault="0055188C">
      <w:pPr>
        <w:spacing w:after="187"/>
        <w:ind w:left="-5" w:right="12"/>
      </w:pPr>
      <w:r>
        <w:t>Art. 94a ust. 3 ustawy Prawo geologiczne i górnicze może być interpretowany w sposób wykluczający właścicieli (użytkowników wieczystych) nieruchomości z kręgu stron postępowania o uznanie złoża kopaliny za strategiczne, pomimo że postępowanie to w sposób o</w:t>
      </w:r>
      <w:r>
        <w:t>czywisty dotyczy ich inte</w:t>
      </w:r>
      <w:r>
        <w:t xml:space="preserve">resu prawnego, gdyż w jego wyniku możliwe jest wprowadzenie zakazów lub ograniczeń w zakresie </w:t>
      </w:r>
      <w:r>
        <w:t xml:space="preserve">zagospodarowania </w:t>
      </w:r>
      <w:r>
        <w:t>nieruchomości</w:t>
      </w:r>
      <w:r>
        <w:t xml:space="preserve">. </w:t>
      </w:r>
    </w:p>
    <w:p w14:paraId="5C98307C" w14:textId="77777777" w:rsidR="00EA7B41" w:rsidRDefault="0055188C">
      <w:pPr>
        <w:numPr>
          <w:ilvl w:val="0"/>
          <w:numId w:val="2"/>
        </w:numPr>
        <w:spacing w:after="191" w:line="259" w:lineRule="auto"/>
        <w:ind w:right="12" w:hanging="360"/>
      </w:pPr>
      <w:r>
        <w:rPr>
          <w:b/>
        </w:rPr>
        <w:lastRenderedPageBreak/>
        <w:t>Określenie precyzyjnych przesłanek uzasadniających uznanie złoża za strategiczne</w:t>
      </w:r>
      <w:r>
        <w:t>.</w:t>
      </w:r>
      <w:r>
        <w:rPr>
          <w:b/>
        </w:rPr>
        <w:t xml:space="preserve"> </w:t>
      </w:r>
    </w:p>
    <w:p w14:paraId="5588F045" w14:textId="77777777" w:rsidR="00EA7B41" w:rsidRDefault="0055188C">
      <w:pPr>
        <w:spacing w:after="188"/>
        <w:ind w:left="-5" w:right="12"/>
      </w:pPr>
      <w:r>
        <w:t>W aktualnym stanie prawnym przesłanki uznania złoża za strategiczne</w:t>
      </w:r>
      <w:r>
        <w:t xml:space="preserve">, </w:t>
      </w:r>
      <w:r>
        <w:t>określone w art. 94a ust. 5 ustawy Prawo geologiczne i górnicze, są bardzo ogólne. Przyznaje to ministrowi właściwemu do spraw środowiska zbyt daleką swobodę w zakresie podejmowania decyzji, która ma potencjalnie znaczący wpływ na zabezpieczenie interesów surowcowych Państwa, ale również na ochronę środowiska, władztwo planistyczne gmin i prawa właścicieli nieruchomości. Należy wprowadzić bardziej precyzyjne przesłanki uznania złoża za str</w:t>
      </w:r>
      <w:r>
        <w:t xml:space="preserve">ategiczne, </w:t>
      </w:r>
      <w:r>
        <w:t>które powinny obejmować w szczególności:</w:t>
      </w:r>
      <w:r>
        <w:rPr>
          <w:b/>
        </w:rPr>
        <w:t xml:space="preserve"> </w:t>
      </w:r>
    </w:p>
    <w:p w14:paraId="0176699A" w14:textId="77777777" w:rsidR="00EA7B41" w:rsidRDefault="0055188C">
      <w:pPr>
        <w:numPr>
          <w:ilvl w:val="1"/>
          <w:numId w:val="4"/>
        </w:numPr>
        <w:spacing w:after="32"/>
        <w:ind w:right="12" w:hanging="360"/>
      </w:pPr>
      <w:r>
        <w:t xml:space="preserve">podstawowe znaczenie </w:t>
      </w:r>
      <w:r>
        <w:t>złoża dla gospodarki lub bezpieczeństwa państwa;</w:t>
      </w:r>
      <w:r>
        <w:rPr>
          <w:b/>
        </w:rPr>
        <w:t xml:space="preserve"> </w:t>
      </w:r>
    </w:p>
    <w:p w14:paraId="36BDE6F4" w14:textId="77777777" w:rsidR="00EA7B41" w:rsidRDefault="0055188C">
      <w:pPr>
        <w:numPr>
          <w:ilvl w:val="1"/>
          <w:numId w:val="4"/>
        </w:numPr>
        <w:spacing w:after="35"/>
        <w:ind w:right="12" w:hanging="360"/>
      </w:pPr>
      <w:r>
        <w:t>ponadprzeciętną wielkość zasobów lub jakość kopaliny w złożu,</w:t>
      </w:r>
      <w:r>
        <w:rPr>
          <w:b/>
        </w:rPr>
        <w:t xml:space="preserve"> </w:t>
      </w:r>
    </w:p>
    <w:p w14:paraId="2E51E659" w14:textId="77777777" w:rsidR="00EA7B41" w:rsidRDefault="0055188C">
      <w:pPr>
        <w:numPr>
          <w:ilvl w:val="1"/>
          <w:numId w:val="4"/>
        </w:numPr>
        <w:spacing w:after="32"/>
        <w:ind w:right="12" w:hanging="360"/>
      </w:pPr>
      <w:r>
        <w:t>dostępność złoża w świetle aktualnego zagospodarowania terenu,</w:t>
      </w:r>
      <w:r>
        <w:rPr>
          <w:b/>
        </w:rPr>
        <w:t xml:space="preserve"> </w:t>
      </w:r>
    </w:p>
    <w:p w14:paraId="16FEC31F" w14:textId="77777777" w:rsidR="00EA7B41" w:rsidRDefault="0055188C">
      <w:pPr>
        <w:numPr>
          <w:ilvl w:val="1"/>
          <w:numId w:val="4"/>
        </w:numPr>
        <w:spacing w:after="26"/>
        <w:ind w:right="12" w:hanging="360"/>
      </w:pPr>
      <w:r>
        <w:t xml:space="preserve">możliwość zagospodarowania złoża bez naruszenia przepisów o ochronie środowiska, w szczególności </w:t>
      </w:r>
      <w:r>
        <w:t>w odniesieniu do wybranych obszarowych form ochrony przyrody,</w:t>
      </w:r>
      <w:r>
        <w:rPr>
          <w:b/>
        </w:rPr>
        <w:t xml:space="preserve"> </w:t>
      </w:r>
    </w:p>
    <w:p w14:paraId="4690271F" w14:textId="77777777" w:rsidR="00EA7B41" w:rsidRDefault="0055188C">
      <w:pPr>
        <w:numPr>
          <w:ilvl w:val="1"/>
          <w:numId w:val="4"/>
        </w:numPr>
        <w:spacing w:after="187"/>
        <w:ind w:right="12" w:hanging="360"/>
      </w:pPr>
      <w:r>
        <w:t>obligatoryjne przeprowadzenie testu proporcjonalności –</w:t>
      </w:r>
      <w:r>
        <w:t xml:space="preserve"> </w:t>
      </w:r>
      <w:r>
        <w:t>czy przewidywane korzyści dla gospodarki lub bezpieczeństwa państwa związane z zagospodarowaniem złoża nie mogą zostać osiągnięte w przypadku zaniechania zagospodarowania złoża oraz czy przeważają nad</w:t>
      </w:r>
      <w:r>
        <w:t xml:space="preserve"> </w:t>
      </w:r>
      <w:r>
        <w:t>korzyściami dla społeczeństwa i środowiska związanymi z odstąpieniem od zagospodarowania złoża.</w:t>
      </w:r>
      <w:r>
        <w:rPr>
          <w:b/>
        </w:rPr>
        <w:t xml:space="preserve"> </w:t>
      </w:r>
    </w:p>
    <w:p w14:paraId="2339A635" w14:textId="77777777" w:rsidR="00EA7B41" w:rsidRDefault="0055188C">
      <w:pPr>
        <w:numPr>
          <w:ilvl w:val="0"/>
          <w:numId w:val="3"/>
        </w:numPr>
        <w:spacing w:after="160" w:line="291" w:lineRule="auto"/>
        <w:ind w:right="12" w:hanging="360"/>
      </w:pPr>
      <w:r>
        <w:rPr>
          <w:b/>
        </w:rPr>
        <w:t xml:space="preserve">Wzmocnienie udziału gminy w postępowaniu o uznanie złoża kopaliny za strategiczne. </w:t>
      </w:r>
    </w:p>
    <w:p w14:paraId="75A9FFD7" w14:textId="77777777" w:rsidR="00EA7B41" w:rsidRDefault="0055188C">
      <w:pPr>
        <w:ind w:left="-5" w:right="12"/>
      </w:pPr>
      <w:r>
        <w:t>Cel ten może zostać zrealizowany poprzez w</w:t>
      </w:r>
      <w:r>
        <w:t xml:space="preserve">prowadzenie wymogu </w:t>
      </w:r>
      <w:r>
        <w:rPr>
          <w:b/>
        </w:rPr>
        <w:t xml:space="preserve">uzgodnienia </w:t>
      </w:r>
      <w:r>
        <w:t xml:space="preserve">projektu decyzji z </w:t>
      </w:r>
      <w:r>
        <w:t>wójtem (burmistrzem lub prezydentem miasta). W takim wypadku należy określić</w:t>
      </w:r>
      <w:r>
        <w:t xml:space="preserve"> kryterium odmowy uzgodnienia, np. </w:t>
      </w:r>
      <w:r>
        <w:t>jeżeli niekorzystne konsekwencje dla społeczeństwa lub środowiska związane z uznaniem złoża za strategiczne i jego zagospodarowaniem są nieproporcjonalne w stosunku do przewidywanych korzyści dla gospodarki lub bezpieczeństwa państwa. Postanowienie w przedmiocie uzgodnienia lub odmowy uzgodnienia powinno podlegać zaskarżeniu</w:t>
      </w:r>
      <w:r>
        <w:t>, co pozwoli wyelimi</w:t>
      </w:r>
      <w:r>
        <w:t>nować bezpodstawne odmowy uzgodnienia decyzji</w:t>
      </w:r>
      <w:r>
        <w:t xml:space="preserve">. </w:t>
      </w:r>
    </w:p>
    <w:p w14:paraId="15C8CAFA" w14:textId="77777777" w:rsidR="00EA7B41" w:rsidRDefault="0055188C">
      <w:pPr>
        <w:spacing w:after="187"/>
        <w:ind w:left="-5" w:right="12"/>
      </w:pPr>
      <w:r>
        <w:t xml:space="preserve">Alternatywnie, </w:t>
      </w:r>
      <w:r>
        <w:t>rozważyć należy przyznanie</w:t>
      </w:r>
      <w:r>
        <w:t xml:space="preserve"> gminie </w:t>
      </w:r>
      <w:r>
        <w:t xml:space="preserve">statusu strony postępowania o </w:t>
      </w:r>
      <w:r>
        <w:t xml:space="preserve">uznanie </w:t>
      </w:r>
      <w:r>
        <w:t xml:space="preserve">złoża za </w:t>
      </w:r>
      <w:r>
        <w:t xml:space="preserve">strategiczne. </w:t>
      </w:r>
    </w:p>
    <w:p w14:paraId="531F93A3" w14:textId="77777777" w:rsidR="00EA7B41" w:rsidRDefault="0055188C">
      <w:pPr>
        <w:numPr>
          <w:ilvl w:val="0"/>
          <w:numId w:val="3"/>
        </w:numPr>
        <w:spacing w:after="160" w:line="291" w:lineRule="auto"/>
        <w:ind w:right="12" w:hanging="360"/>
      </w:pPr>
      <w:r>
        <w:rPr>
          <w:b/>
        </w:rPr>
        <w:t xml:space="preserve">Precyzyjne określenie elementów decyzji o uznaniu złoża za strategiczne wraz z katalogiem zakazów lub ograniczeń w zagospodarowaniu nieruchomości, które można ustanowić taką decyzją oraz wskazaniem przesłanek ich ustanowienia. </w:t>
      </w:r>
    </w:p>
    <w:p w14:paraId="7D6FC49B" w14:textId="77777777" w:rsidR="00EA7B41" w:rsidRDefault="0055188C">
      <w:pPr>
        <w:ind w:left="-5" w:right="12"/>
      </w:pPr>
      <w:r>
        <w:t>Aktualnie obowiązujące przepisy przyznają ministrowi właściwemu do spraw środowiska zbyt daleko idącą dowolność przy określaniu treści decyzji o uznaniu złoża kopaliny za strategiczne, w szczególności w zakresie stwierdzania konieczności wprowadzenia zakazu trwałej zabudowy lub innego zagospodarowania. Należy doprecyzować przesłanki, jakimi organ winien się kierować kształtując treść decyzji, w szczególności w zakresie, w jakim ingeruje ona w prawa właścicieli nieruchomości.</w:t>
      </w:r>
      <w:r>
        <w:t xml:space="preserve"> </w:t>
      </w:r>
    </w:p>
    <w:p w14:paraId="43D659D5" w14:textId="77777777" w:rsidR="00EA7B41" w:rsidRDefault="0055188C">
      <w:pPr>
        <w:numPr>
          <w:ilvl w:val="0"/>
          <w:numId w:val="3"/>
        </w:numPr>
        <w:spacing w:after="160" w:line="291" w:lineRule="auto"/>
        <w:ind w:right="12" w:hanging="360"/>
      </w:pPr>
      <w:r>
        <w:rPr>
          <w:b/>
        </w:rPr>
        <w:t>Wprowadzenie terminu obowiązywania decyzji o uznaniu złoża za strategiczne</w:t>
      </w:r>
      <w:r>
        <w:t xml:space="preserve"> </w:t>
      </w:r>
      <w:r>
        <w:rPr>
          <w:b/>
        </w:rPr>
        <w:t xml:space="preserve">lub ustanowienie obowiązkowego przeglądu decyzji o uznaniu złoża za strategiczne. </w:t>
      </w:r>
    </w:p>
    <w:p w14:paraId="11410D09" w14:textId="77777777" w:rsidR="00EA7B41" w:rsidRDefault="0055188C">
      <w:pPr>
        <w:ind w:left="-5" w:right="12"/>
      </w:pPr>
      <w:r>
        <w:t xml:space="preserve">Przesłanki uznania złoża za strategiczne mogą </w:t>
      </w:r>
      <w:r>
        <w:t xml:space="preserve">ulec dezaktualizacji </w:t>
      </w:r>
      <w:r>
        <w:t xml:space="preserve">co sprawi, że dalsza jego ochrona w sposób utrudniający rozwój gminy lub ograniczający prawa właścicieli nieruchomości </w:t>
      </w:r>
      <w:r>
        <w:t xml:space="preserve">stanie </w:t>
      </w:r>
      <w:r>
        <w:t>się bezpodstawna</w:t>
      </w:r>
      <w:r>
        <w:t xml:space="preserve">. </w:t>
      </w:r>
      <w:r>
        <w:t xml:space="preserve">Dlatego decyzja o uznaniu złoża za strategiczne powinna być wydawana na określony czas </w:t>
      </w:r>
      <w:r>
        <w:t xml:space="preserve">(np. 10 lat) </w:t>
      </w:r>
      <w:r>
        <w:t>lub należy wprowadzić obowiąz</w:t>
      </w:r>
      <w:r>
        <w:t xml:space="preserve">ek okresowego </w:t>
      </w:r>
      <w:r>
        <w:t xml:space="preserve">przeglądu wydanych </w:t>
      </w:r>
      <w:r>
        <w:t xml:space="preserve">decyzji (np. co najmniej raz na 10 lat). </w:t>
      </w:r>
      <w:r>
        <w:t xml:space="preserve">Przedmiotem przeglądu powinna być analiza, czy przesłanki uznania złoża za strategiczne pozostają spełnione. Stwierdzenie aktualności decyzji o </w:t>
      </w:r>
      <w:r>
        <w:t xml:space="preserve">uznaniu złoża </w:t>
      </w:r>
      <w:r>
        <w:t xml:space="preserve">za strategiczne powinno </w:t>
      </w:r>
      <w:r>
        <w:t>następować</w:t>
      </w:r>
      <w:r>
        <w:t xml:space="preserve"> </w:t>
      </w:r>
      <w:r>
        <w:t>w drodze postanowienia, które podlega zaskarżeniu. Nieprzeprowadzenie przeglądu w wyznaczonym terminie powinno natomiast skutkować wygaśnięciem de</w:t>
      </w:r>
      <w:r>
        <w:t xml:space="preserve">cyzji. </w:t>
      </w:r>
    </w:p>
    <w:p w14:paraId="079DBEC8" w14:textId="77777777" w:rsidR="00EA7B41" w:rsidRDefault="0055188C">
      <w:pPr>
        <w:spacing w:after="187"/>
        <w:ind w:left="-5" w:right="12"/>
      </w:pPr>
      <w:r>
        <w:lastRenderedPageBreak/>
        <w:t>Ponadto należy przyznać organowi możliwość uchylenia lub zmiany decyzji o uznaniu złoża za strategiczne z urzędu</w:t>
      </w:r>
      <w:r>
        <w:t xml:space="preserve"> </w:t>
      </w:r>
      <w:r>
        <w:t xml:space="preserve">na skutek przeprowadzonego przeglądu lub </w:t>
      </w:r>
      <w:r>
        <w:t xml:space="preserve">w dowolnym momencie, </w:t>
      </w:r>
      <w:r>
        <w:t>jeżeli organ</w:t>
      </w:r>
      <w:r>
        <w:t xml:space="preserve"> </w:t>
      </w:r>
      <w:r>
        <w:t>stwierdzi, że przesłanki uznania złoża za strategiczne przestały być aktualne.</w:t>
      </w:r>
      <w:r>
        <w:rPr>
          <w:b/>
        </w:rPr>
        <w:t xml:space="preserve"> </w:t>
      </w:r>
    </w:p>
    <w:p w14:paraId="49ACAE16" w14:textId="77777777" w:rsidR="00EA7B41" w:rsidRDefault="0055188C">
      <w:pPr>
        <w:numPr>
          <w:ilvl w:val="0"/>
          <w:numId w:val="3"/>
        </w:numPr>
        <w:spacing w:after="160" w:line="291" w:lineRule="auto"/>
        <w:ind w:right="12" w:hanging="360"/>
      </w:pPr>
      <w:r>
        <w:rPr>
          <w:b/>
        </w:rPr>
        <w:t xml:space="preserve">Przyznanie prawa do odszkodowania właścicielom nieruchomości, w obrębie których decyzja o uznaniu złoża za strategiczne wprowadziła zakazy lub ograniczenia zagospodarowania. </w:t>
      </w:r>
    </w:p>
    <w:p w14:paraId="009F5B03" w14:textId="77777777" w:rsidR="00EA7B41" w:rsidRDefault="0055188C">
      <w:pPr>
        <w:spacing w:after="187"/>
        <w:ind w:left="-5" w:right="12"/>
      </w:pPr>
      <w:r>
        <w:t>W</w:t>
      </w:r>
      <w:r>
        <w:t xml:space="preserve">łaściciele takich nieruchomości mogą ponieść znaczącą stratę na skutek </w:t>
      </w:r>
      <w:r>
        <w:t>wydania decyzji o uzna</w:t>
      </w:r>
      <w:r>
        <w:t>niu złoża za strategiczne w której zostanie wprowadzony zakaz trwałej zabudowy lub inne ograniczenia w zakresie zagospodarowania nieruchomości</w:t>
      </w:r>
      <w:r>
        <w:t xml:space="preserve">. W skrajnych przypadkach </w:t>
      </w:r>
      <w:r>
        <w:t>może to doprowadzić do całkowitej utraty wartości gospodarczej nieruchomośc</w:t>
      </w:r>
      <w:r>
        <w:t xml:space="preserve">i. Tymczasem w obecnym stanie prawnym brak jest </w:t>
      </w:r>
      <w:r>
        <w:t>jakiegokolwiek mechanizmu wypłaty odszkodowań</w:t>
      </w:r>
      <w:r>
        <w:t>.</w:t>
      </w:r>
      <w:r>
        <w:rPr>
          <w:b/>
        </w:rPr>
        <w:t xml:space="preserve"> </w:t>
      </w:r>
    </w:p>
    <w:p w14:paraId="7C732D78" w14:textId="77777777" w:rsidR="00EA7B41" w:rsidRDefault="0055188C">
      <w:pPr>
        <w:numPr>
          <w:ilvl w:val="0"/>
          <w:numId w:val="3"/>
        </w:numPr>
        <w:spacing w:after="160" w:line="291" w:lineRule="auto"/>
        <w:ind w:right="12" w:hanging="360"/>
      </w:pPr>
      <w:r>
        <w:rPr>
          <w:b/>
        </w:rPr>
        <w:t>Wprowadzenie rekompensat dla gmin, na obszarze których decyzja o uznaniu złoża za strategiczne wprowadza zakazy lub ograniczenia w zagospodarowaniu nieruchomości, które mogą doprowadzić do niekorzystnych skutków społecznych i gospodarczych.</w:t>
      </w:r>
      <w:r>
        <w:t xml:space="preserve"> </w:t>
      </w:r>
      <w:r>
        <w:rPr>
          <w:b/>
        </w:rPr>
        <w:t xml:space="preserve"> </w:t>
      </w:r>
    </w:p>
    <w:p w14:paraId="69A45B50" w14:textId="77777777" w:rsidR="00EA7B41" w:rsidRDefault="0055188C">
      <w:pPr>
        <w:spacing w:after="188"/>
        <w:ind w:left="-5" w:right="12"/>
      </w:pPr>
      <w:r>
        <w:t>Wydanie decyzji o uznaniu złoża za strategiczne wprowadzającej</w:t>
      </w:r>
      <w:r>
        <w:t xml:space="preserve"> na znacznym obszarze zakaz trwa</w:t>
      </w:r>
      <w:r>
        <w:t xml:space="preserve">łej zabudowy lub inne ograniczenia zagospodarowania terenu </w:t>
      </w:r>
      <w:r>
        <w:t xml:space="preserve"> </w:t>
      </w:r>
      <w:r>
        <w:t>może powodować straty nie tylko u właścicieli nieruchomości, ale również</w:t>
      </w:r>
      <w:r>
        <w:t xml:space="preserve"> </w:t>
      </w:r>
      <w:r>
        <w:t>całej wspólnoty samorządowej. Decyzja taka może</w:t>
      </w:r>
      <w:r>
        <w:t xml:space="preserve"> zna</w:t>
      </w:r>
      <w:r>
        <w:t>cząco utrudnić rozwój gospodarczy i społeczny gminy, w związku z uniemożliwieniem</w:t>
      </w:r>
      <w:r>
        <w:t xml:space="preserve"> realizacji dotychczasowej polityki przestrzennej, ograniczeniem </w:t>
      </w:r>
      <w:r>
        <w:t>możliwości realizacji inwestycji</w:t>
      </w:r>
      <w:r>
        <w:t xml:space="preserve"> celu publicznego, w tym inwestycji infrastrukturalnych, </w:t>
      </w:r>
      <w:r>
        <w:t>czy też</w:t>
      </w:r>
      <w:r>
        <w:t xml:space="preserve"> ograniczeniem powstawania nowych miejsc pracy. </w:t>
      </w:r>
      <w:r>
        <w:t>Jednoc</w:t>
      </w:r>
      <w:r>
        <w:t>ześnie samo uznanie złoża za strategiczne (które nie gwarantuje budowy kopalni)</w:t>
      </w:r>
      <w:r>
        <w:t xml:space="preserve"> nie </w:t>
      </w:r>
      <w:r>
        <w:t>wiąże się dla gminy z żadnymi korzyściami finansowymi. Z tego powodu należy rozważyć stworzenie mechanizmu umożliwiającego zrekompensowanie strat gminom szczególnie dotkniętym wydaniem decyzji o uznaniu złoża za strategiczne.</w:t>
      </w:r>
      <w:r>
        <w:t xml:space="preserve"> </w:t>
      </w:r>
    </w:p>
    <w:p w14:paraId="61500811" w14:textId="77777777" w:rsidR="00EA7B41" w:rsidRDefault="0055188C">
      <w:pPr>
        <w:pStyle w:val="Nagwek1"/>
        <w:ind w:left="713" w:hanging="355"/>
      </w:pPr>
      <w:r>
        <w:t xml:space="preserve">Doprecyzowanie definicji </w:t>
      </w:r>
      <w:r>
        <w:t xml:space="preserve">ochrony złóż </w:t>
      </w:r>
      <w:r>
        <w:t xml:space="preserve">kopalin </w:t>
      </w:r>
    </w:p>
    <w:p w14:paraId="5652659E" w14:textId="77777777" w:rsidR="00EA7B41" w:rsidRDefault="0055188C">
      <w:pPr>
        <w:ind w:left="-5" w:right="12"/>
      </w:pPr>
      <w:r>
        <w:t xml:space="preserve">W obecnym stanie prawnym </w:t>
      </w:r>
      <w:r>
        <w:t xml:space="preserve">pojęcie ochrony złóż kopalin występuje w szeregu aktów prawnych, w szczególności w ustawach Prawo geologiczne i górnicze, Prawo ochrony środowiska oraz w ustawie o planowaniu i zagospodarowaniu przestrzennym. Przepisy ustawy Prawo ochrony środowiska </w:t>
      </w:r>
      <w:r>
        <w:t xml:space="preserve">(art. 71 ust. 1, art. 125 ust. 1) </w:t>
      </w:r>
      <w:r>
        <w:t xml:space="preserve">tworzą fikcję, jakoby ochrona złóż kopalin była instrumentem z zakresu ochrony środowiska, analogicznym do ochrony innych elementów środowiska jak powietrze, </w:t>
      </w:r>
      <w:r>
        <w:t xml:space="preserve">woda, czy klimat. Tymczasem </w:t>
      </w:r>
      <w:r>
        <w:t>ochrona złóż kopalin na zasadach określony</w:t>
      </w:r>
      <w:r>
        <w:t>ch w ustawie Prawo geologiczne i górnicze oraz ustawie o planowaniu i zagospodarowaniu przestrzennym ma na celu zabezpieczenie interesów surowcowych i gospodarczych państwa oraz niejednokrotnie stoi w sprzeczności z ochroną innych elementów środowiska.</w:t>
      </w:r>
      <w:r>
        <w:t xml:space="preserve"> </w:t>
      </w:r>
      <w:r>
        <w:t>W celu usunięcia wątpliwości interpretacyjnych należy ujednolicić i doprecyzować definicję ochrony złóż kopalin, w tym jednoznaczne określenie celów tej ochrony oraz powiązanej z nią zasady racjonalnej gospodarki złożami kopalin.</w:t>
      </w:r>
      <w:r>
        <w:t xml:space="preserve"> </w:t>
      </w:r>
    </w:p>
    <w:sectPr w:rsidR="00EA7B41">
      <w:pgSz w:w="11906" w:h="16838"/>
      <w:pgMar w:top="1419" w:right="1396" w:bottom="68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659F"/>
    <w:multiLevelType w:val="hybridMultilevel"/>
    <w:tmpl w:val="B1FA7564"/>
    <w:lvl w:ilvl="0" w:tplc="0546C8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67E7C">
      <w:start w:val="1"/>
      <w:numFmt w:val="lowerLetter"/>
      <w:lvlRestart w:val="0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249DE6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2A2044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74DCD2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2C95AE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420E2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409DE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34295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42C6A"/>
    <w:multiLevelType w:val="hybridMultilevel"/>
    <w:tmpl w:val="2E340EF8"/>
    <w:lvl w:ilvl="0" w:tplc="9C10A8F8">
      <w:start w:val="10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3255FC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9E5D82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A811C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345B82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900F5A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8810A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8DB92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645460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A36C1D"/>
    <w:multiLevelType w:val="hybridMultilevel"/>
    <w:tmpl w:val="E9AAD602"/>
    <w:lvl w:ilvl="0" w:tplc="964C7884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FEEB7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A23C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E587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CAD3C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7A9F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5E7EC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EA04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08F91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EF32AA"/>
    <w:multiLevelType w:val="hybridMultilevel"/>
    <w:tmpl w:val="B4A0DF70"/>
    <w:lvl w:ilvl="0" w:tplc="7018BFFE">
      <w:start w:val="2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3604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04B87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7E76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52A4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10A1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BE9F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C045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462A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650347"/>
    <w:multiLevelType w:val="hybridMultilevel"/>
    <w:tmpl w:val="B5F62528"/>
    <w:lvl w:ilvl="0" w:tplc="D4B84E8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4A0E4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FEAF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BCCB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28F3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32D7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60F3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58A1C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042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5363530">
    <w:abstractNumId w:val="4"/>
  </w:num>
  <w:num w:numId="2" w16cid:durableId="450588821">
    <w:abstractNumId w:val="3"/>
  </w:num>
  <w:num w:numId="3" w16cid:durableId="508449328">
    <w:abstractNumId w:val="2"/>
  </w:num>
  <w:num w:numId="4" w16cid:durableId="1917399726">
    <w:abstractNumId w:val="0"/>
  </w:num>
  <w:num w:numId="5" w16cid:durableId="29387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41"/>
    <w:rsid w:val="0055188C"/>
    <w:rsid w:val="007543E0"/>
    <w:rsid w:val="00E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918C"/>
  <w15:docId w15:val="{D975D710-717D-4076-BBEB-1852192F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9" w:line="290" w:lineRule="auto"/>
      <w:ind w:left="1507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192" w:line="259" w:lineRule="auto"/>
      <w:ind w:left="1877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2132</Words>
  <Characters>12797</Characters>
  <Application>Microsoft Office Word</Application>
  <DocSecurity>0</DocSecurity>
  <Lines>106</Lines>
  <Paragraphs>29</Paragraphs>
  <ScaleCrop>false</ScaleCrop>
  <Company/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Kwiatkowski</dc:creator>
  <cp:keywords/>
  <cp:lastModifiedBy>Wierzbicka Sylwia</cp:lastModifiedBy>
  <cp:revision>2</cp:revision>
  <dcterms:created xsi:type="dcterms:W3CDTF">2024-12-02T15:13:00Z</dcterms:created>
  <dcterms:modified xsi:type="dcterms:W3CDTF">2024-12-02T15:13:00Z</dcterms:modified>
</cp:coreProperties>
</file>