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58574" w14:textId="77777777" w:rsidR="00F376A5" w:rsidRPr="00F376A5" w:rsidRDefault="00F376A5" w:rsidP="00F376A5">
      <w:pPr>
        <w:spacing w:after="706"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Departament Odnawialnych Źródeł Energii</w:t>
      </w:r>
    </w:p>
    <w:p w14:paraId="1F6D881D" w14:textId="77777777" w:rsidR="00F376A5" w:rsidRPr="00F376A5" w:rsidRDefault="00F376A5" w:rsidP="00F376A5">
      <w:pPr>
        <w:spacing w:after="15" w:line="241" w:lineRule="auto"/>
        <w:ind w:right="3324"/>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DOZE-I.053.2.2024.MG </w:t>
      </w:r>
      <w:r w:rsidRPr="00F376A5">
        <w:rPr>
          <w:rFonts w:ascii="Calibri" w:eastAsia="Calibri" w:hAnsi="Calibri" w:cs="Calibri"/>
          <w:color w:val="000000"/>
          <w:sz w:val="18"/>
          <w:lang w:eastAsia="pl-PL"/>
        </w:rPr>
        <w:t>3493986.14309984.11746269</w:t>
      </w:r>
    </w:p>
    <w:p w14:paraId="480B7343" w14:textId="77777777" w:rsidR="00F376A5" w:rsidRPr="00F376A5" w:rsidRDefault="00F376A5" w:rsidP="00F376A5">
      <w:pPr>
        <w:spacing w:after="706"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Warszawa, 10-03-2025</w:t>
      </w:r>
    </w:p>
    <w:p w14:paraId="7A51AA0D" w14:textId="77777777" w:rsidR="00F376A5" w:rsidRPr="00F376A5" w:rsidRDefault="00F376A5" w:rsidP="00F376A5">
      <w:pPr>
        <w:spacing w:after="188" w:line="248" w:lineRule="auto"/>
        <w:jc w:val="both"/>
        <w:rPr>
          <w:rFonts w:ascii="Calibri" w:eastAsia="Calibri" w:hAnsi="Calibri" w:cs="Calibri"/>
          <w:color w:val="000000"/>
          <w:sz w:val="20"/>
          <w:lang w:eastAsia="pl-PL"/>
        </w:rPr>
      </w:pPr>
      <w:r w:rsidRPr="00F376A5">
        <w:rPr>
          <w:rFonts w:ascii="Calibri" w:eastAsia="Calibri" w:hAnsi="Calibri" w:cs="Calibri"/>
          <w:i/>
          <w:color w:val="000000"/>
          <w:sz w:val="20"/>
          <w:lang w:eastAsia="pl-PL"/>
        </w:rPr>
        <w:t>Szanowny Panie Dyrektorze</w:t>
      </w:r>
      <w:r w:rsidRPr="00F376A5">
        <w:rPr>
          <w:rFonts w:ascii="Calibri" w:eastAsia="Calibri" w:hAnsi="Calibri" w:cs="Calibri"/>
          <w:color w:val="000000"/>
          <w:sz w:val="20"/>
          <w:lang w:eastAsia="pl-PL"/>
        </w:rPr>
        <w:t>,</w:t>
      </w:r>
    </w:p>
    <w:p w14:paraId="29F5B753"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w odpowiedzi na Państwa korespondencję mailową z 19 listopada 2024 r.,  zawierającą propozycje zmian legislacyjnych dotyczących społeczności energetycznych, przekazuję do poszczególnych propozycji:</w:t>
      </w:r>
    </w:p>
    <w:p w14:paraId="5286B5B5" w14:textId="77777777" w:rsidR="00F376A5" w:rsidRPr="00F376A5" w:rsidRDefault="00F376A5" w:rsidP="00F376A5">
      <w:pPr>
        <w:tabs>
          <w:tab w:val="center" w:pos="442"/>
          <w:tab w:val="right" w:pos="7936"/>
        </w:tabs>
        <w:spacing w:after="0" w:line="259" w:lineRule="auto"/>
        <w:rPr>
          <w:rFonts w:ascii="Calibri" w:eastAsia="Calibri" w:hAnsi="Calibri" w:cs="Calibri"/>
          <w:color w:val="000000"/>
          <w:sz w:val="20"/>
          <w:lang w:eastAsia="pl-PL"/>
        </w:rPr>
      </w:pPr>
      <w:r w:rsidRPr="00F376A5">
        <w:rPr>
          <w:rFonts w:ascii="Calibri" w:eastAsia="Calibri" w:hAnsi="Calibri" w:cs="Calibri"/>
          <w:color w:val="000000"/>
          <w:sz w:val="22"/>
          <w:lang w:eastAsia="pl-PL"/>
        </w:rPr>
        <w:tab/>
      </w:r>
      <w:r w:rsidRPr="00F376A5">
        <w:rPr>
          <w:rFonts w:ascii="Calibri" w:eastAsia="Calibri" w:hAnsi="Calibri" w:cs="Calibri"/>
          <w:b/>
          <w:color w:val="000000"/>
          <w:sz w:val="20"/>
          <w:lang w:eastAsia="pl-PL"/>
        </w:rPr>
        <w:t>1.</w:t>
      </w:r>
      <w:r w:rsidRPr="00F376A5">
        <w:rPr>
          <w:rFonts w:ascii="Calibri" w:eastAsia="Calibri" w:hAnsi="Calibri" w:cs="Calibri"/>
          <w:b/>
          <w:color w:val="000000"/>
          <w:sz w:val="20"/>
          <w:lang w:eastAsia="pl-PL"/>
        </w:rPr>
        <w:tab/>
        <w:t xml:space="preserve">Ustawa z dnia 20 lutego 2015 r. o odnawialnych źródłach energii (Dz.U. 2024 poz. </w:t>
      </w:r>
    </w:p>
    <w:p w14:paraId="14F5B055" w14:textId="77777777" w:rsidR="00F376A5" w:rsidRPr="00F376A5" w:rsidRDefault="00F376A5" w:rsidP="00F376A5">
      <w:pPr>
        <w:keepNext/>
        <w:keepLines/>
        <w:spacing w:after="187" w:line="249" w:lineRule="auto"/>
        <w:jc w:val="both"/>
        <w:outlineLvl w:val="0"/>
        <w:rPr>
          <w:rFonts w:ascii="Calibri" w:eastAsia="Calibri" w:hAnsi="Calibri" w:cs="Calibri"/>
          <w:b/>
          <w:color w:val="000000"/>
          <w:sz w:val="20"/>
          <w:lang w:eastAsia="pl-PL"/>
        </w:rPr>
      </w:pPr>
      <w:r w:rsidRPr="00F376A5">
        <w:rPr>
          <w:rFonts w:ascii="Calibri" w:eastAsia="Calibri" w:hAnsi="Calibri" w:cs="Calibri"/>
          <w:b/>
          <w:color w:val="000000"/>
          <w:sz w:val="20"/>
          <w:lang w:eastAsia="pl-PL"/>
        </w:rPr>
        <w:t xml:space="preserve">1361 z </w:t>
      </w:r>
      <w:proofErr w:type="spellStart"/>
      <w:r w:rsidRPr="00F376A5">
        <w:rPr>
          <w:rFonts w:ascii="Calibri" w:eastAsia="Calibri" w:hAnsi="Calibri" w:cs="Calibri"/>
          <w:b/>
          <w:color w:val="000000"/>
          <w:sz w:val="20"/>
          <w:lang w:eastAsia="pl-PL"/>
        </w:rPr>
        <w:t>późn</w:t>
      </w:r>
      <w:proofErr w:type="spellEnd"/>
      <w:r w:rsidRPr="00F376A5">
        <w:rPr>
          <w:rFonts w:ascii="Calibri" w:eastAsia="Calibri" w:hAnsi="Calibri" w:cs="Calibri"/>
          <w:b/>
          <w:color w:val="000000"/>
          <w:sz w:val="20"/>
          <w:lang w:eastAsia="pl-PL"/>
        </w:rPr>
        <w:t>. zm.) – dalej jako „ustawa OZE” Art. 38da pkt 2</w:t>
      </w:r>
    </w:p>
    <w:p w14:paraId="307A5C9C"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noProof/>
          <w:color w:val="000000"/>
          <w:sz w:val="20"/>
          <w:lang w:eastAsia="pl-PL"/>
        </w:rPr>
        <w:drawing>
          <wp:anchor distT="0" distB="0" distL="114300" distR="114300" simplePos="0" relativeHeight="251659264" behindDoc="0" locked="0" layoutInCell="1" allowOverlap="0" wp14:anchorId="55583883" wp14:editId="7BA1AF96">
            <wp:simplePos x="0" y="0"/>
            <wp:positionH relativeFrom="page">
              <wp:posOffset>358775</wp:posOffset>
            </wp:positionH>
            <wp:positionV relativeFrom="page">
              <wp:posOffset>278130</wp:posOffset>
            </wp:positionV>
            <wp:extent cx="3145790" cy="1061720"/>
            <wp:effectExtent l="0" t="0" r="0" b="0"/>
            <wp:wrapTopAndBottom/>
            <wp:docPr id="22" name="Picture 22" descr="Obraz zawierający symbol, design&#10;&#10;Zawartość wygenerowana przez sztuczną inteligencję może być niepoprawna."/>
            <wp:cNvGraphicFramePr/>
            <a:graphic xmlns:a="http://schemas.openxmlformats.org/drawingml/2006/main">
              <a:graphicData uri="http://schemas.openxmlformats.org/drawingml/2006/picture">
                <pic:pic xmlns:pic="http://schemas.openxmlformats.org/drawingml/2006/picture">
                  <pic:nvPicPr>
                    <pic:cNvPr id="22" name="Picture 22" descr="Obraz zawierający symbol, design&#10;&#10;Zawartość wygenerowana przez sztuczną inteligencję może być niepoprawna."/>
                    <pic:cNvPicPr/>
                  </pic:nvPicPr>
                  <pic:blipFill>
                    <a:blip r:embed="rId4"/>
                    <a:stretch>
                      <a:fillRect/>
                    </a:stretch>
                  </pic:blipFill>
                  <pic:spPr>
                    <a:xfrm>
                      <a:off x="0" y="0"/>
                      <a:ext cx="3145790" cy="1061720"/>
                    </a:xfrm>
                    <a:prstGeom prst="rect">
                      <a:avLst/>
                    </a:prstGeom>
                  </pic:spPr>
                </pic:pic>
              </a:graphicData>
            </a:graphic>
          </wp:anchor>
        </w:drawing>
      </w:r>
      <w:r w:rsidRPr="00F376A5">
        <w:rPr>
          <w:rFonts w:ascii="Calibri" w:eastAsia="Calibri" w:hAnsi="Calibri" w:cs="Calibri"/>
          <w:color w:val="000000"/>
          <w:sz w:val="20"/>
          <w:lang w:eastAsia="pl-PL"/>
        </w:rPr>
        <w:t>W zakresie postulatu dotyczącego skrócenia terminu instalacji licznika zdalnego odczytu (dalej: LZO) dla spółdzielni energetycznych należy wyjaśnić, że termin czteromiesięczny jest zaczerpnięty z art. 11t ust. 7 pkt 1 ustawy – Prawo energetyczne (dalej jako „ustawa PE”) i został zaplanowany tak, aby operatorzy systemów dystrybucyjnych (OSD) mogli w sposób sprawny i rzetelny dokonać instalacji LZO u odbiorców, a tym samym dostosować swoje prace w celu osiągnięcia założonego harmonogramu, określonego w art. 11t ust. 2 ustawy PE.</w:t>
      </w:r>
    </w:p>
    <w:p w14:paraId="613F9B32"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W opinii Ministerstwa Klimatu i Środowiska, proponowana zmiana nie jest zasadna, ponieważ wiązałaby się z ingerencją w zakres realizowanych prac technicznych OSD, którzy instalują LZO w ramach ustawowego harmonogramu, a także w granicach swoich możliwości organizacyjnych i kadrowych, Dodatkowo należy podkreślić, że art. 11t ust. 7  pkt 1 ustawy – Prawo energetyczne dotyczy wszystkich odbiorców końcowych, nie tylko spółdzielni energetycznych. </w:t>
      </w:r>
    </w:p>
    <w:p w14:paraId="6031B4CA"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Dodatkowo skrócenie czasu nie jest celowe z uwagi m.in. na brak ograniczenia liczby członków należących do danej spółdzielni, więc w wielu przypadkach OSD nie byłby w stanie wykonać masowych wymian LZO. Ponadto, wymiana licznika często może się wiązać z udostępnieniem przez odbiorcę dostępu do licznika, np. gdy licznik jest zabudowany wewnątrz budynku lub na posesji odbiorcy, a co za tym idzie, ustaleniem terminu z tym odbiorcą. Z doświadczeń OSD wynika, że samo uzgodnienie terminu z odbiorcą może potrwać nawet kilka tygodni. </w:t>
      </w:r>
    </w:p>
    <w:p w14:paraId="6DF18B3D" w14:textId="77777777" w:rsidR="00F376A5" w:rsidRPr="00F376A5" w:rsidRDefault="00F376A5" w:rsidP="00F376A5">
      <w:pPr>
        <w:spacing w:after="148"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Ponadto, w trakcie instalacji licznika zdalnego odczytu zdarzają się sytuacje, gdzie konieczne jest wykonanie również dodatkowych prac, np. w celu przystosowania miejsca pod zabudowę nowego LZO, co powoduje wydłużenie terminu realizacji. </w:t>
      </w:r>
    </w:p>
    <w:p w14:paraId="6677858A" w14:textId="77777777" w:rsidR="00F376A5" w:rsidRPr="00F376A5" w:rsidRDefault="00F376A5" w:rsidP="00F376A5">
      <w:pPr>
        <w:spacing w:after="190" w:line="259" w:lineRule="auto"/>
        <w:ind w:right="-1"/>
        <w:rPr>
          <w:rFonts w:ascii="Calibri" w:eastAsia="Calibri" w:hAnsi="Calibri" w:cs="Calibri"/>
          <w:color w:val="000000"/>
          <w:sz w:val="20"/>
          <w:lang w:eastAsia="pl-PL"/>
        </w:rPr>
      </w:pPr>
      <w:r w:rsidRPr="00F376A5">
        <w:rPr>
          <w:rFonts w:ascii="Calibri" w:eastAsia="Calibri" w:hAnsi="Calibri" w:cs="Calibri"/>
          <w:noProof/>
          <w:color w:val="000000"/>
          <w:sz w:val="22"/>
          <w:lang w:eastAsia="pl-PL"/>
        </w:rPr>
        <mc:AlternateContent>
          <mc:Choice Requires="wpg">
            <w:drawing>
              <wp:inline distT="0" distB="0" distL="0" distR="0" wp14:anchorId="33F032D3" wp14:editId="20DA8EB6">
                <wp:extent cx="5040000" cy="6350"/>
                <wp:effectExtent l="0" t="0" r="0" b="0"/>
                <wp:docPr id="13375" name="Group 13375"/>
                <wp:cNvGraphicFramePr/>
                <a:graphic xmlns:a="http://schemas.openxmlformats.org/drawingml/2006/main">
                  <a:graphicData uri="http://schemas.microsoft.com/office/word/2010/wordprocessingGroup">
                    <wpg:wgp>
                      <wpg:cNvGrpSpPr/>
                      <wpg:grpSpPr>
                        <a:xfrm>
                          <a:off x="0" y="0"/>
                          <a:ext cx="5040000" cy="6350"/>
                          <a:chOff x="0" y="0"/>
                          <a:chExt cx="5040000" cy="6350"/>
                        </a:xfrm>
                      </wpg:grpSpPr>
                      <wps:wsp>
                        <wps:cNvPr id="20" name="Shape 20"/>
                        <wps:cNvSpPr/>
                        <wps:spPr>
                          <a:xfrm>
                            <a:off x="0" y="0"/>
                            <a:ext cx="5040000" cy="0"/>
                          </a:xfrm>
                          <a:custGeom>
                            <a:avLst/>
                            <a:gdLst/>
                            <a:ahLst/>
                            <a:cxnLst/>
                            <a:rect l="0" t="0" r="0" b="0"/>
                            <a:pathLst>
                              <a:path w="5040000">
                                <a:moveTo>
                                  <a:pt x="0" y="0"/>
                                </a:moveTo>
                                <a:lnTo>
                                  <a:pt x="5040000" y="0"/>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5D648E3F" id="Group 13375" o:spid="_x0000_s1026" style="width:396.85pt;height:.5pt;mso-position-horizontal-relative:char;mso-position-vertical-relative:line" coordsize="504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">
                <v:shape id="Shape 20" o:spid="_x0000_s1027" style="position:absolute;width:50400;height:0;visibility:visible;mso-wrap-style:square;v-text-anchor:top" coordsize="504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" path="m,l5040000,e" filled="f" strokeweight=".5pt">
                  <v:stroke miterlimit="83231f" joinstyle="miter"/>
                  <v:path arrowok="t" textboxrect="0,0,5040000,0"/>
                </v:shape>
                <w10:anchorlock/>
              </v:group>
            </w:pict>
          </mc:Fallback>
        </mc:AlternateContent>
      </w:r>
    </w:p>
    <w:p w14:paraId="124AEC02" w14:textId="77777777" w:rsidR="00F376A5" w:rsidRPr="00F376A5" w:rsidRDefault="00F376A5" w:rsidP="00F376A5">
      <w:pPr>
        <w:tabs>
          <w:tab w:val="right" w:pos="7936"/>
        </w:tabs>
        <w:spacing w:after="3" w:line="251" w:lineRule="auto"/>
        <w:rPr>
          <w:rFonts w:ascii="Calibri" w:eastAsia="Calibri" w:hAnsi="Calibri" w:cs="Calibri"/>
          <w:color w:val="000000"/>
          <w:sz w:val="20"/>
          <w:lang w:eastAsia="pl-PL"/>
        </w:rPr>
      </w:pPr>
      <w:r w:rsidRPr="00F376A5">
        <w:rPr>
          <w:rFonts w:ascii="Calibri" w:eastAsia="Calibri" w:hAnsi="Calibri" w:cs="Calibri"/>
          <w:color w:val="000000"/>
          <w:sz w:val="16"/>
          <w:lang w:eastAsia="pl-PL"/>
        </w:rPr>
        <w:t>Telefon: (+48) 223-691-035</w:t>
      </w:r>
      <w:r w:rsidRPr="00F376A5">
        <w:rPr>
          <w:rFonts w:ascii="Calibri" w:eastAsia="Calibri" w:hAnsi="Calibri" w:cs="Calibri"/>
          <w:color w:val="000000"/>
          <w:sz w:val="16"/>
          <w:lang w:eastAsia="pl-PL"/>
        </w:rPr>
        <w:tab/>
        <w:t xml:space="preserve">ul. Wawelska 52/54, 00-922 Warszawa  </w:t>
      </w:r>
    </w:p>
    <w:p w14:paraId="5F4CB947" w14:textId="77777777" w:rsidR="00F376A5" w:rsidRPr="00F376A5" w:rsidRDefault="00F376A5" w:rsidP="00F376A5">
      <w:pPr>
        <w:spacing w:after="3" w:line="251" w:lineRule="auto"/>
        <w:rPr>
          <w:rFonts w:ascii="Calibri" w:eastAsia="Calibri" w:hAnsi="Calibri" w:cs="Calibri"/>
          <w:color w:val="000000"/>
          <w:sz w:val="20"/>
          <w:lang w:eastAsia="pl-PL"/>
        </w:rPr>
      </w:pPr>
      <w:r w:rsidRPr="00F376A5">
        <w:rPr>
          <w:rFonts w:ascii="Calibri" w:eastAsia="Calibri" w:hAnsi="Calibri" w:cs="Calibri"/>
          <w:color w:val="000000"/>
          <w:sz w:val="16"/>
          <w:lang w:eastAsia="pl-PL"/>
        </w:rPr>
        <w:t>departament.odnawialnych.zrodel.energii@klimat.gov.pl</w:t>
      </w:r>
      <w:r w:rsidRPr="00F376A5">
        <w:rPr>
          <w:rFonts w:ascii="Calibri" w:eastAsia="Calibri" w:hAnsi="Calibri" w:cs="Calibri"/>
          <w:color w:val="000000"/>
          <w:sz w:val="16"/>
          <w:lang w:eastAsia="pl-PL"/>
        </w:rPr>
        <w:tab/>
        <w:t>Ministerstwo Klimatu i Środowiska  www.gov.pl/klimat</w:t>
      </w:r>
    </w:p>
    <w:p w14:paraId="1D6CCD9C" w14:textId="77777777" w:rsidR="00F376A5" w:rsidRPr="00F376A5" w:rsidRDefault="00F376A5" w:rsidP="00F376A5">
      <w:pPr>
        <w:spacing w:after="0" w:line="259" w:lineRule="auto"/>
        <w:jc w:val="center"/>
        <w:rPr>
          <w:rFonts w:ascii="Calibri" w:eastAsia="Calibri" w:hAnsi="Calibri" w:cs="Calibri"/>
          <w:color w:val="000000"/>
          <w:sz w:val="20"/>
          <w:lang w:eastAsia="pl-PL"/>
        </w:rPr>
      </w:pPr>
      <w:r w:rsidRPr="00F376A5">
        <w:rPr>
          <w:rFonts w:ascii="Calibri" w:eastAsia="Calibri" w:hAnsi="Calibri" w:cs="Calibri"/>
          <w:color w:val="000000"/>
          <w:sz w:val="14"/>
          <w:lang w:eastAsia="pl-PL"/>
        </w:rPr>
        <w:t>Działamy zgodnie z EMAS - zarządzając instytucją, dbamy o środowisko</w:t>
      </w:r>
    </w:p>
    <w:p w14:paraId="721893F7" w14:textId="77777777" w:rsidR="00F376A5" w:rsidRPr="00F376A5" w:rsidRDefault="00F376A5" w:rsidP="00F376A5">
      <w:pPr>
        <w:spacing w:after="187" w:line="248" w:lineRule="auto"/>
        <w:jc w:val="both"/>
        <w:rPr>
          <w:rFonts w:ascii="Calibri" w:eastAsia="Calibri" w:hAnsi="Calibri" w:cs="Calibri"/>
          <w:color w:val="000000"/>
          <w:sz w:val="20"/>
          <w:lang w:eastAsia="pl-PL"/>
        </w:rPr>
      </w:pPr>
    </w:p>
    <w:p w14:paraId="33F150B5" w14:textId="77777777" w:rsidR="00F376A5" w:rsidRPr="00F376A5" w:rsidRDefault="00F376A5" w:rsidP="00F376A5">
      <w:pPr>
        <w:spacing w:after="187" w:line="248" w:lineRule="auto"/>
        <w:jc w:val="both"/>
        <w:rPr>
          <w:rFonts w:ascii="Calibri" w:eastAsia="Calibri" w:hAnsi="Calibri" w:cs="Calibri"/>
          <w:color w:val="000000"/>
          <w:sz w:val="20"/>
          <w:lang w:eastAsia="pl-PL"/>
        </w:rPr>
      </w:pPr>
    </w:p>
    <w:p w14:paraId="4BB211D6" w14:textId="77777777" w:rsidR="00F376A5" w:rsidRPr="00F376A5" w:rsidRDefault="00F376A5" w:rsidP="00F376A5">
      <w:pPr>
        <w:spacing w:after="187" w:line="248" w:lineRule="auto"/>
        <w:jc w:val="both"/>
        <w:rPr>
          <w:rFonts w:ascii="Calibri" w:eastAsia="Calibri" w:hAnsi="Calibri" w:cs="Calibri"/>
          <w:color w:val="000000"/>
          <w:sz w:val="20"/>
          <w:lang w:eastAsia="pl-PL"/>
        </w:rPr>
      </w:pPr>
    </w:p>
    <w:p w14:paraId="09630FAB" w14:textId="77777777" w:rsidR="00F376A5" w:rsidRPr="00F376A5" w:rsidRDefault="00F376A5" w:rsidP="00F376A5">
      <w:pPr>
        <w:spacing w:after="187" w:line="248" w:lineRule="auto"/>
        <w:jc w:val="both"/>
        <w:rPr>
          <w:rFonts w:ascii="Calibri" w:eastAsia="Calibri" w:hAnsi="Calibri" w:cs="Calibri"/>
          <w:color w:val="000000"/>
          <w:sz w:val="20"/>
          <w:lang w:eastAsia="pl-PL"/>
        </w:rPr>
      </w:pPr>
    </w:p>
    <w:p w14:paraId="385CCD31" w14:textId="77777777" w:rsidR="00F376A5" w:rsidRPr="00F376A5" w:rsidRDefault="00F376A5" w:rsidP="00F376A5">
      <w:pPr>
        <w:spacing w:after="187" w:line="248" w:lineRule="auto"/>
        <w:jc w:val="both"/>
        <w:rPr>
          <w:rFonts w:ascii="Calibri" w:eastAsia="Calibri" w:hAnsi="Calibri" w:cs="Calibri"/>
          <w:color w:val="000000"/>
          <w:sz w:val="20"/>
          <w:lang w:eastAsia="pl-PL"/>
        </w:rPr>
      </w:pPr>
    </w:p>
    <w:p w14:paraId="5B38A1DF"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lastRenderedPageBreak/>
        <w:t>Z posiadanych informacji wynika, że w sytuacjach, w których wnioski o zainstalowanie liczników zdalnego odczytu są składane z pewnym wyprzedzeniem, oczekiwanie na ich instalację nie stanowi praktycznego problemu w rozpoczęciu działalności spółdzielni. Należy także zwrócić uwagę, że spółdzielnia energetyczna może złożyć wniosek o instalację licznika zdalnego odczytu jeszcze przed uzyskaniem wpisu do wykazu KOWR. Zgodnie z art. 38f ustawy OZE - spółdzielnia może rozpocząć działalność w szczególności w zakresie wytwarzania energii elektrycznej - dopiero po zamieszczeniu jej danych w wykazie KOWR. Niemniej, bezzwłoczne zawnioskowanie o instalację licznika zdalnego odczytu, zaraz po złożeniu wpisu do KRS i przed zamieszczeniem danych w wykazie KOWR, powinno zaowocować sprawną i szybka instalacją licznika zdalnego odczytu.</w:t>
      </w:r>
    </w:p>
    <w:p w14:paraId="26A6D662" w14:textId="77777777" w:rsidR="00F376A5" w:rsidRPr="00F376A5" w:rsidRDefault="00F376A5" w:rsidP="00F376A5">
      <w:pPr>
        <w:keepNext/>
        <w:keepLines/>
        <w:spacing w:after="187" w:line="249" w:lineRule="auto"/>
        <w:jc w:val="both"/>
        <w:outlineLvl w:val="0"/>
        <w:rPr>
          <w:rFonts w:ascii="Calibri" w:eastAsia="Calibri" w:hAnsi="Calibri" w:cs="Calibri"/>
          <w:b/>
          <w:color w:val="000000"/>
          <w:sz w:val="20"/>
          <w:lang w:eastAsia="pl-PL"/>
        </w:rPr>
      </w:pPr>
      <w:r w:rsidRPr="00F376A5">
        <w:rPr>
          <w:rFonts w:ascii="Calibri" w:eastAsia="Calibri" w:hAnsi="Calibri" w:cs="Calibri"/>
          <w:b/>
          <w:color w:val="000000"/>
          <w:sz w:val="20"/>
          <w:lang w:eastAsia="pl-PL"/>
        </w:rPr>
        <w:t>Art. 2 pkt 19</w:t>
      </w:r>
      <w:r w:rsidRPr="00F376A5">
        <w:rPr>
          <w:rFonts w:ascii="Calibri" w:eastAsia="Calibri" w:hAnsi="Calibri" w:cs="Calibri"/>
          <w:color w:val="000000"/>
          <w:sz w:val="20"/>
          <w:lang w:eastAsia="pl-PL"/>
        </w:rPr>
        <w:t xml:space="preserve"> </w:t>
      </w:r>
    </w:p>
    <w:p w14:paraId="697B366E"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W odniesieniu do postulatu zwiększenia mocy </w:t>
      </w:r>
      <w:proofErr w:type="spellStart"/>
      <w:r w:rsidRPr="00F376A5">
        <w:rPr>
          <w:rFonts w:ascii="Calibri" w:eastAsia="Calibri" w:hAnsi="Calibri" w:cs="Calibri"/>
          <w:color w:val="000000"/>
          <w:sz w:val="20"/>
          <w:lang w:eastAsia="pl-PL"/>
        </w:rPr>
        <w:t>mikroinstalacji</w:t>
      </w:r>
      <w:proofErr w:type="spellEnd"/>
      <w:r w:rsidRPr="00F376A5">
        <w:rPr>
          <w:rFonts w:ascii="Calibri" w:eastAsia="Calibri" w:hAnsi="Calibri" w:cs="Calibri"/>
          <w:color w:val="000000"/>
          <w:sz w:val="20"/>
          <w:lang w:eastAsia="pl-PL"/>
        </w:rPr>
        <w:t xml:space="preserve"> z 50 do 150 kW należy podkreślić, że zgodnie z art. 7 ust. 8d</w:t>
      </w:r>
      <w:r w:rsidRPr="00F376A5">
        <w:rPr>
          <w:rFonts w:ascii="Calibri" w:eastAsia="Calibri" w:hAnsi="Calibri" w:cs="Calibri"/>
          <w:color w:val="000000"/>
          <w:sz w:val="20"/>
          <w:vertAlign w:val="superscript"/>
          <w:lang w:eastAsia="pl-PL"/>
        </w:rPr>
        <w:t xml:space="preserve">4 </w:t>
      </w:r>
      <w:r w:rsidRPr="00F376A5">
        <w:rPr>
          <w:rFonts w:ascii="Calibri" w:eastAsia="Calibri" w:hAnsi="Calibri" w:cs="Calibri"/>
          <w:color w:val="000000"/>
          <w:sz w:val="20"/>
          <w:lang w:eastAsia="pl-PL"/>
        </w:rPr>
        <w:t xml:space="preserve"> ustawy PE, w przypadku gdy podmiot, ubiegający się o  przyłączenie </w:t>
      </w:r>
      <w:proofErr w:type="spellStart"/>
      <w:r w:rsidRPr="00F376A5">
        <w:rPr>
          <w:rFonts w:ascii="Calibri" w:eastAsia="Calibri" w:hAnsi="Calibri" w:cs="Calibri"/>
          <w:color w:val="000000"/>
          <w:sz w:val="20"/>
          <w:lang w:eastAsia="pl-PL"/>
        </w:rPr>
        <w:t>mikroinstalacji</w:t>
      </w:r>
      <w:proofErr w:type="spellEnd"/>
      <w:r w:rsidRPr="00F376A5">
        <w:rPr>
          <w:rFonts w:ascii="Calibri" w:eastAsia="Calibri" w:hAnsi="Calibri" w:cs="Calibri"/>
          <w:color w:val="000000"/>
          <w:sz w:val="20"/>
          <w:lang w:eastAsia="pl-PL"/>
        </w:rPr>
        <w:t xml:space="preserve"> do sieci dystrybucyjnej, jest przyłączony do sieci jako odbiorca końcowy, a moc zainstalowana </w:t>
      </w:r>
      <w:proofErr w:type="spellStart"/>
      <w:r w:rsidRPr="00F376A5">
        <w:rPr>
          <w:rFonts w:ascii="Calibri" w:eastAsia="Calibri" w:hAnsi="Calibri" w:cs="Calibri"/>
          <w:color w:val="000000"/>
          <w:sz w:val="20"/>
          <w:lang w:eastAsia="pl-PL"/>
        </w:rPr>
        <w:t>mikroinstalacji</w:t>
      </w:r>
      <w:proofErr w:type="spellEnd"/>
      <w:r w:rsidRPr="00F376A5">
        <w:rPr>
          <w:rFonts w:ascii="Calibri" w:eastAsia="Calibri" w:hAnsi="Calibri" w:cs="Calibri"/>
          <w:color w:val="000000"/>
          <w:sz w:val="20"/>
          <w:lang w:eastAsia="pl-PL"/>
        </w:rPr>
        <w:t xml:space="preserve">, o przyłączenie której ubiega się ten podmiot, nie jest większa niż określona w wydanych warunkach przyłączenia, przyłączenie do sieci odbywa się </w:t>
      </w:r>
      <w:r w:rsidRPr="00F376A5">
        <w:rPr>
          <w:rFonts w:ascii="Calibri" w:eastAsia="Calibri" w:hAnsi="Calibri" w:cs="Calibri"/>
          <w:b/>
          <w:color w:val="000000"/>
          <w:sz w:val="20"/>
          <w:lang w:eastAsia="pl-PL"/>
        </w:rPr>
        <w:t xml:space="preserve">na podstawie zgłoszenia przyłączenia </w:t>
      </w:r>
      <w:proofErr w:type="spellStart"/>
      <w:r w:rsidRPr="00F376A5">
        <w:rPr>
          <w:rFonts w:ascii="Calibri" w:eastAsia="Calibri" w:hAnsi="Calibri" w:cs="Calibri"/>
          <w:b/>
          <w:color w:val="000000"/>
          <w:sz w:val="20"/>
          <w:lang w:eastAsia="pl-PL"/>
        </w:rPr>
        <w:t>mikroinstalacji</w:t>
      </w:r>
      <w:proofErr w:type="spellEnd"/>
      <w:r w:rsidRPr="00F376A5">
        <w:rPr>
          <w:rFonts w:ascii="Calibri" w:eastAsia="Calibri" w:hAnsi="Calibri" w:cs="Calibri"/>
          <w:color w:val="000000"/>
          <w:sz w:val="20"/>
          <w:lang w:eastAsia="pl-PL"/>
        </w:rPr>
        <w:t xml:space="preserve">, po zainstalowaniu odpowiednich układów zabezpieczających i urządzenia </w:t>
      </w:r>
      <w:proofErr w:type="spellStart"/>
      <w:r w:rsidRPr="00F376A5">
        <w:rPr>
          <w:rFonts w:ascii="Calibri" w:eastAsia="Calibri" w:hAnsi="Calibri" w:cs="Calibri"/>
          <w:color w:val="000000"/>
          <w:sz w:val="20"/>
          <w:lang w:eastAsia="pl-PL"/>
        </w:rPr>
        <w:t>pomiaroworozliczeniowego</w:t>
      </w:r>
      <w:proofErr w:type="spellEnd"/>
      <w:r w:rsidRPr="00F376A5">
        <w:rPr>
          <w:rFonts w:ascii="Calibri" w:eastAsia="Calibri" w:hAnsi="Calibri" w:cs="Calibri"/>
          <w:color w:val="000000"/>
          <w:sz w:val="20"/>
          <w:lang w:eastAsia="pl-PL"/>
        </w:rPr>
        <w:t xml:space="preserve">. W innym przypadku przyłączenie </w:t>
      </w:r>
      <w:proofErr w:type="spellStart"/>
      <w:r w:rsidRPr="00F376A5">
        <w:rPr>
          <w:rFonts w:ascii="Calibri" w:eastAsia="Calibri" w:hAnsi="Calibri" w:cs="Calibri"/>
          <w:color w:val="000000"/>
          <w:sz w:val="20"/>
          <w:lang w:eastAsia="pl-PL"/>
        </w:rPr>
        <w:t>mikroinstalacji</w:t>
      </w:r>
      <w:proofErr w:type="spellEnd"/>
      <w:r w:rsidRPr="00F376A5">
        <w:rPr>
          <w:rFonts w:ascii="Calibri" w:eastAsia="Calibri" w:hAnsi="Calibri" w:cs="Calibri"/>
          <w:color w:val="000000"/>
          <w:sz w:val="20"/>
          <w:lang w:eastAsia="pl-PL"/>
        </w:rPr>
        <w:t xml:space="preserve"> do sieci dystrybucyjnej odbywa się na podstawie umowy o przyłączenie do sieci. Ta regulacja wynika z art. 17 ust. 2 Dyrektywy Parlamentu Europejskiego I Rady (UE) 2018/2001 z dnia 11 grudnia 2018 r. w sprawie promowania stosowania energii ze źródeł odnawialnych, zgodnie z którą, państwa członkowskie mogą zezwolić na procedurę zwykłego powiadomienia w  odniesieniu do instalacji lub zagregowanych jednostek produkcyjnych o mocy elektrycznej nieprzekraczającej 50 kW, pod warunkiem że </w:t>
      </w:r>
      <w:r w:rsidRPr="00F376A5">
        <w:rPr>
          <w:rFonts w:ascii="Calibri" w:eastAsia="Calibri" w:hAnsi="Calibri" w:cs="Calibri"/>
          <w:b/>
          <w:color w:val="000000"/>
          <w:sz w:val="20"/>
          <w:lang w:eastAsia="pl-PL"/>
        </w:rPr>
        <w:t>zachowane zostaną stabilność, niezawodność i bezpieczeństwo sieci</w:t>
      </w:r>
      <w:r w:rsidRPr="00F376A5">
        <w:rPr>
          <w:rFonts w:ascii="Calibri" w:eastAsia="Calibri" w:hAnsi="Calibri" w:cs="Calibri"/>
          <w:color w:val="000000"/>
          <w:sz w:val="20"/>
          <w:lang w:eastAsia="pl-PL"/>
        </w:rPr>
        <w:t xml:space="preserve">. </w:t>
      </w:r>
    </w:p>
    <w:p w14:paraId="36E40915" w14:textId="77777777" w:rsidR="00F376A5" w:rsidRPr="00F376A5" w:rsidRDefault="00F376A5" w:rsidP="00F376A5">
      <w:pPr>
        <w:spacing w:after="159"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Ponadto zgodnie z art. 7 ust. 8 pkt 3 lit. b ustawy PE za przyłączenie </w:t>
      </w:r>
      <w:proofErr w:type="spellStart"/>
      <w:r w:rsidRPr="00F376A5">
        <w:rPr>
          <w:rFonts w:ascii="Calibri" w:eastAsia="Calibri" w:hAnsi="Calibri" w:cs="Calibri"/>
          <w:color w:val="000000"/>
          <w:sz w:val="20"/>
          <w:lang w:eastAsia="pl-PL"/>
        </w:rPr>
        <w:t>mikroinstalacji</w:t>
      </w:r>
      <w:proofErr w:type="spellEnd"/>
      <w:r w:rsidRPr="00F376A5">
        <w:rPr>
          <w:rFonts w:ascii="Calibri" w:eastAsia="Calibri" w:hAnsi="Calibri" w:cs="Calibri"/>
          <w:color w:val="000000"/>
          <w:sz w:val="20"/>
          <w:lang w:eastAsia="pl-PL"/>
        </w:rPr>
        <w:t xml:space="preserve"> nie pobiera się opłaty. </w:t>
      </w:r>
    </w:p>
    <w:p w14:paraId="653D2C6A"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W świetle zaś art. 7 ust. 8d</w:t>
      </w:r>
      <w:r w:rsidRPr="00F376A5">
        <w:rPr>
          <w:rFonts w:ascii="Calibri" w:eastAsia="Calibri" w:hAnsi="Calibri" w:cs="Calibri"/>
          <w:color w:val="000000"/>
          <w:sz w:val="20"/>
          <w:vertAlign w:val="superscript"/>
          <w:lang w:eastAsia="pl-PL"/>
        </w:rPr>
        <w:t>12</w:t>
      </w:r>
      <w:r w:rsidRPr="00F376A5">
        <w:rPr>
          <w:rFonts w:ascii="Calibri" w:eastAsia="Calibri" w:hAnsi="Calibri" w:cs="Calibri"/>
          <w:color w:val="000000"/>
          <w:sz w:val="20"/>
          <w:lang w:eastAsia="pl-PL"/>
        </w:rPr>
        <w:t xml:space="preserve"> ustawy PE w przypadku przyłączenia do sieci dystrybucyjnej </w:t>
      </w:r>
      <w:proofErr w:type="spellStart"/>
      <w:r w:rsidRPr="00F376A5">
        <w:rPr>
          <w:rFonts w:ascii="Calibri" w:eastAsia="Calibri" w:hAnsi="Calibri" w:cs="Calibri"/>
          <w:color w:val="000000"/>
          <w:sz w:val="20"/>
          <w:lang w:eastAsia="pl-PL"/>
        </w:rPr>
        <w:t>mikroinstalacji</w:t>
      </w:r>
      <w:proofErr w:type="spellEnd"/>
      <w:r w:rsidRPr="00F376A5">
        <w:rPr>
          <w:rFonts w:ascii="Calibri" w:eastAsia="Calibri" w:hAnsi="Calibri" w:cs="Calibri"/>
          <w:color w:val="000000"/>
          <w:sz w:val="20"/>
          <w:lang w:eastAsia="pl-PL"/>
        </w:rPr>
        <w:t xml:space="preserve"> z magazynem energii elektrycznej, do mocy zainstalowanej </w:t>
      </w:r>
      <w:proofErr w:type="spellStart"/>
      <w:r w:rsidRPr="00F376A5">
        <w:rPr>
          <w:rFonts w:ascii="Calibri" w:eastAsia="Calibri" w:hAnsi="Calibri" w:cs="Calibri"/>
          <w:color w:val="000000"/>
          <w:sz w:val="20"/>
          <w:lang w:eastAsia="pl-PL"/>
        </w:rPr>
        <w:t>mikroinstalacji</w:t>
      </w:r>
      <w:proofErr w:type="spellEnd"/>
      <w:r w:rsidRPr="00F376A5">
        <w:rPr>
          <w:rFonts w:ascii="Calibri" w:eastAsia="Calibri" w:hAnsi="Calibri" w:cs="Calibri"/>
          <w:color w:val="000000"/>
          <w:sz w:val="20"/>
          <w:lang w:eastAsia="pl-PL"/>
        </w:rPr>
        <w:t xml:space="preserve"> nie wlicza się mocy zainstalowanej magazynu energii elektrycznej, o ile moc zainstalowana magazynu energii elektrycznej i łączna moc możliwa do wprowadzenia do sieci dystrybucyjnej przez </w:t>
      </w:r>
      <w:proofErr w:type="spellStart"/>
      <w:r w:rsidRPr="00F376A5">
        <w:rPr>
          <w:rFonts w:ascii="Calibri" w:eastAsia="Calibri" w:hAnsi="Calibri" w:cs="Calibri"/>
          <w:color w:val="000000"/>
          <w:sz w:val="20"/>
          <w:lang w:eastAsia="pl-PL"/>
        </w:rPr>
        <w:t>mikroinstalację</w:t>
      </w:r>
      <w:proofErr w:type="spellEnd"/>
      <w:r w:rsidRPr="00F376A5">
        <w:rPr>
          <w:rFonts w:ascii="Calibri" w:eastAsia="Calibri" w:hAnsi="Calibri" w:cs="Calibri"/>
          <w:color w:val="000000"/>
          <w:sz w:val="20"/>
          <w:lang w:eastAsia="pl-PL"/>
        </w:rPr>
        <w:t xml:space="preserve"> z magazynem energii elektrycznej jest nie większa od mocy </w:t>
      </w:r>
      <w:proofErr w:type="spellStart"/>
      <w:r w:rsidRPr="00F376A5">
        <w:rPr>
          <w:rFonts w:ascii="Calibri" w:eastAsia="Calibri" w:hAnsi="Calibri" w:cs="Calibri"/>
          <w:color w:val="000000"/>
          <w:sz w:val="20"/>
          <w:lang w:eastAsia="pl-PL"/>
        </w:rPr>
        <w:t>mikroinstalacji</w:t>
      </w:r>
      <w:proofErr w:type="spellEnd"/>
      <w:r w:rsidRPr="00F376A5">
        <w:rPr>
          <w:rFonts w:ascii="Calibri" w:eastAsia="Calibri" w:hAnsi="Calibri" w:cs="Calibri"/>
          <w:color w:val="000000"/>
          <w:sz w:val="20"/>
          <w:lang w:eastAsia="pl-PL"/>
        </w:rPr>
        <w:t xml:space="preserve">.  </w:t>
      </w:r>
    </w:p>
    <w:p w14:paraId="76DDCAC7"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W świetle powyższych regulacji zwiększenie mocy </w:t>
      </w:r>
      <w:proofErr w:type="spellStart"/>
      <w:r w:rsidRPr="00F376A5">
        <w:rPr>
          <w:rFonts w:ascii="Calibri" w:eastAsia="Calibri" w:hAnsi="Calibri" w:cs="Calibri"/>
          <w:color w:val="000000"/>
          <w:sz w:val="20"/>
          <w:lang w:eastAsia="pl-PL"/>
        </w:rPr>
        <w:t>mikroinstalacji</w:t>
      </w:r>
      <w:proofErr w:type="spellEnd"/>
      <w:r w:rsidRPr="00F376A5">
        <w:rPr>
          <w:rFonts w:ascii="Calibri" w:eastAsia="Calibri" w:hAnsi="Calibri" w:cs="Calibri"/>
          <w:color w:val="000000"/>
          <w:sz w:val="20"/>
          <w:lang w:eastAsia="pl-PL"/>
        </w:rPr>
        <w:t xml:space="preserve"> z 50 do 150 kW miałoby bardzo istotny wpływ na bezpieczeństwo pracy sieci elektroenergetycznej oraz spowodowałoby obciążenie pozostałych odbiorców kosztami przyłączenia i dostosowania sieci elektroenergetycznej do pracy w systemie </w:t>
      </w:r>
      <w:proofErr w:type="spellStart"/>
      <w:r w:rsidRPr="00F376A5">
        <w:rPr>
          <w:rFonts w:ascii="Calibri" w:eastAsia="Calibri" w:hAnsi="Calibri" w:cs="Calibri"/>
          <w:color w:val="000000"/>
          <w:sz w:val="20"/>
          <w:lang w:eastAsia="pl-PL"/>
        </w:rPr>
        <w:t>mikroinstalacji</w:t>
      </w:r>
      <w:proofErr w:type="spellEnd"/>
      <w:r w:rsidRPr="00F376A5">
        <w:rPr>
          <w:rFonts w:ascii="Calibri" w:eastAsia="Calibri" w:hAnsi="Calibri" w:cs="Calibri"/>
          <w:color w:val="000000"/>
          <w:sz w:val="20"/>
          <w:lang w:eastAsia="pl-PL"/>
        </w:rPr>
        <w:t xml:space="preserve"> o znacznie większej mocy. </w:t>
      </w:r>
    </w:p>
    <w:p w14:paraId="35B92031"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Należy także wskazać, że zgodnie z art. 4 ust. 2 pkt 1 ustawy  OZE, rozliczenia prosumenta są dokonywane na podstawie wskazań układu pomiarowo-rozliczeniowego, który mierzy ilość energii elektrycznej w punkcie poboru energii (PPE). Punkt poboru energii, zgodnie z art. 3 pkt 67 ustawy PE, jest przypisany do konkretnego odbiorcy energii, co oznacza, że dysponując takim punktem, odbiorca ma prawo do przyłączenia </w:t>
      </w:r>
      <w:proofErr w:type="spellStart"/>
      <w:r w:rsidRPr="00F376A5">
        <w:rPr>
          <w:rFonts w:ascii="Calibri" w:eastAsia="Calibri" w:hAnsi="Calibri" w:cs="Calibri"/>
          <w:color w:val="000000"/>
          <w:sz w:val="20"/>
          <w:lang w:eastAsia="pl-PL"/>
        </w:rPr>
        <w:t>mikroinstalacji</w:t>
      </w:r>
      <w:proofErr w:type="spellEnd"/>
      <w:r w:rsidRPr="00F376A5">
        <w:rPr>
          <w:rFonts w:ascii="Calibri" w:eastAsia="Calibri" w:hAnsi="Calibri" w:cs="Calibri"/>
          <w:color w:val="000000"/>
          <w:sz w:val="20"/>
          <w:lang w:eastAsia="pl-PL"/>
        </w:rPr>
        <w:t>, produkcji energii elektrycznej oraz rozliczania się jako prosument.</w:t>
      </w:r>
    </w:p>
    <w:p w14:paraId="1A14C0DC"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W świetle powyższych regulacji, prosument posiadający dwie lub więcej  </w:t>
      </w:r>
      <w:proofErr w:type="spellStart"/>
      <w:r w:rsidRPr="00F376A5">
        <w:rPr>
          <w:rFonts w:ascii="Calibri" w:eastAsia="Calibri" w:hAnsi="Calibri" w:cs="Calibri"/>
          <w:color w:val="000000"/>
          <w:sz w:val="20"/>
          <w:lang w:eastAsia="pl-PL"/>
        </w:rPr>
        <w:t>mikroinstalacji</w:t>
      </w:r>
      <w:proofErr w:type="spellEnd"/>
      <w:r w:rsidRPr="00F376A5">
        <w:rPr>
          <w:rFonts w:ascii="Calibri" w:eastAsia="Calibri" w:hAnsi="Calibri" w:cs="Calibri"/>
          <w:color w:val="000000"/>
          <w:sz w:val="20"/>
          <w:lang w:eastAsia="pl-PL"/>
        </w:rPr>
        <w:t xml:space="preserve"> fotowoltaicznych o mocy do 50 kW każda, przyłączonych do dwóch lub więcej odrębnych PPE, ma prawo do korzystania z rozliczeń </w:t>
      </w:r>
      <w:proofErr w:type="spellStart"/>
      <w:r w:rsidRPr="00F376A5">
        <w:rPr>
          <w:rFonts w:ascii="Calibri" w:eastAsia="Calibri" w:hAnsi="Calibri" w:cs="Calibri"/>
          <w:color w:val="000000"/>
          <w:sz w:val="20"/>
          <w:lang w:eastAsia="pl-PL"/>
        </w:rPr>
        <w:t>prosumenckich</w:t>
      </w:r>
      <w:proofErr w:type="spellEnd"/>
      <w:r w:rsidRPr="00F376A5">
        <w:rPr>
          <w:rFonts w:ascii="Calibri" w:eastAsia="Calibri" w:hAnsi="Calibri" w:cs="Calibri"/>
          <w:color w:val="000000"/>
          <w:sz w:val="20"/>
          <w:lang w:eastAsia="pl-PL"/>
        </w:rPr>
        <w:t xml:space="preserve"> dla każdej z tych instalacji. Ponadto, zachowuje prawo do uproszczonej procedury przyłączenia </w:t>
      </w:r>
      <w:proofErr w:type="spellStart"/>
      <w:r w:rsidRPr="00F376A5">
        <w:rPr>
          <w:rFonts w:ascii="Calibri" w:eastAsia="Calibri" w:hAnsi="Calibri" w:cs="Calibri"/>
          <w:color w:val="000000"/>
          <w:sz w:val="20"/>
          <w:lang w:eastAsia="pl-PL"/>
        </w:rPr>
        <w:t>mikroinstalacji</w:t>
      </w:r>
      <w:proofErr w:type="spellEnd"/>
      <w:r w:rsidRPr="00F376A5">
        <w:rPr>
          <w:rFonts w:ascii="Calibri" w:eastAsia="Calibri" w:hAnsi="Calibri" w:cs="Calibri"/>
          <w:color w:val="000000"/>
          <w:sz w:val="20"/>
          <w:lang w:eastAsia="pl-PL"/>
        </w:rPr>
        <w:t>, zgodnie z art. 7 ust. 8d</w:t>
      </w:r>
      <w:r w:rsidRPr="00F376A5">
        <w:rPr>
          <w:rFonts w:ascii="Calibri" w:eastAsia="Calibri" w:hAnsi="Calibri" w:cs="Calibri"/>
          <w:color w:val="000000"/>
          <w:sz w:val="20"/>
          <w:vertAlign w:val="superscript"/>
          <w:lang w:eastAsia="pl-PL"/>
        </w:rPr>
        <w:t xml:space="preserve">4 </w:t>
      </w:r>
      <w:r w:rsidRPr="00F376A5">
        <w:rPr>
          <w:rFonts w:ascii="Calibri" w:eastAsia="Calibri" w:hAnsi="Calibri" w:cs="Calibri"/>
          <w:color w:val="000000"/>
          <w:sz w:val="20"/>
          <w:lang w:eastAsia="pl-PL"/>
        </w:rPr>
        <w:t xml:space="preserve"> ustawy PE.</w:t>
      </w:r>
    </w:p>
    <w:p w14:paraId="29376F38" w14:textId="77777777" w:rsidR="00F376A5" w:rsidRPr="00F376A5" w:rsidRDefault="00F376A5" w:rsidP="00F376A5">
      <w:pPr>
        <w:keepNext/>
        <w:keepLines/>
        <w:spacing w:after="187" w:line="249" w:lineRule="auto"/>
        <w:jc w:val="both"/>
        <w:outlineLvl w:val="0"/>
        <w:rPr>
          <w:rFonts w:ascii="Calibri" w:eastAsia="Calibri" w:hAnsi="Calibri" w:cs="Calibri"/>
          <w:b/>
          <w:color w:val="000000"/>
          <w:sz w:val="20"/>
          <w:lang w:eastAsia="pl-PL"/>
        </w:rPr>
      </w:pPr>
      <w:r w:rsidRPr="00F376A5">
        <w:rPr>
          <w:rFonts w:ascii="Calibri" w:eastAsia="Calibri" w:hAnsi="Calibri" w:cs="Calibri"/>
          <w:b/>
          <w:color w:val="000000"/>
          <w:sz w:val="20"/>
          <w:lang w:eastAsia="pl-PL"/>
        </w:rPr>
        <w:t xml:space="preserve">Art. 2 pkt 33a </w:t>
      </w:r>
    </w:p>
    <w:p w14:paraId="4EB29321" w14:textId="77777777" w:rsidR="00F376A5" w:rsidRPr="00F376A5" w:rsidRDefault="00F376A5" w:rsidP="00F376A5">
      <w:pPr>
        <w:spacing w:after="188"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W odniesieniu do tej uwagi, zakładającej uwzględnienie Państwowego Gospodarstwa Leśnego Lasy Państwowe (dalej: PGL LP) jako podmiotu, który może zakładać spółdzielnię energetyczną, należy </w:t>
      </w:r>
      <w:r w:rsidRPr="00F376A5">
        <w:rPr>
          <w:rFonts w:ascii="Calibri" w:eastAsia="Calibri" w:hAnsi="Calibri" w:cs="Calibri"/>
          <w:color w:val="000000"/>
          <w:sz w:val="20"/>
          <w:lang w:eastAsia="pl-PL"/>
        </w:rPr>
        <w:lastRenderedPageBreak/>
        <w:t>podkreślić, że przedmiotem działalności tejże spółdzielni jest „</w:t>
      </w:r>
      <w:r w:rsidRPr="00F376A5">
        <w:rPr>
          <w:rFonts w:ascii="Calibri" w:eastAsia="Calibri" w:hAnsi="Calibri" w:cs="Calibri"/>
          <w:i/>
          <w:color w:val="000000"/>
          <w:sz w:val="20"/>
          <w:lang w:eastAsia="pl-PL"/>
        </w:rPr>
        <w:t xml:space="preserve">wytwarzanie energii elektrycznej lub biogazu, lub biogazu rolniczego, lub </w:t>
      </w:r>
      <w:proofErr w:type="spellStart"/>
      <w:r w:rsidRPr="00F376A5">
        <w:rPr>
          <w:rFonts w:ascii="Calibri" w:eastAsia="Calibri" w:hAnsi="Calibri" w:cs="Calibri"/>
          <w:i/>
          <w:color w:val="000000"/>
          <w:sz w:val="20"/>
          <w:lang w:eastAsia="pl-PL"/>
        </w:rPr>
        <w:t>biometanu</w:t>
      </w:r>
      <w:proofErr w:type="spellEnd"/>
      <w:r w:rsidRPr="00F376A5">
        <w:rPr>
          <w:rFonts w:ascii="Calibri" w:eastAsia="Calibri" w:hAnsi="Calibri" w:cs="Calibri"/>
          <w:i/>
          <w:color w:val="000000"/>
          <w:sz w:val="20"/>
          <w:lang w:eastAsia="pl-PL"/>
        </w:rPr>
        <w:t>, lub ciepła w instalacjach odnawialnego źródła energii, obrót nimi lub ich magazynowanie, dokonywane w  ramach działalności prowadzonej wyłącznie na rzecz tych spółdzielni oraz ich członków</w:t>
      </w:r>
      <w:r w:rsidRPr="00F376A5">
        <w:rPr>
          <w:rFonts w:ascii="Calibri" w:eastAsia="Calibri" w:hAnsi="Calibri" w:cs="Calibri"/>
          <w:color w:val="000000"/>
          <w:sz w:val="20"/>
          <w:lang w:eastAsia="pl-PL"/>
        </w:rPr>
        <w:t>”.</w:t>
      </w:r>
    </w:p>
    <w:p w14:paraId="33C34662"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Nadrzędnym celem działalności PGL LP jest prowadzenie gospodarki leśnej, przy uwzględnieniu przede wszystkim wymogów ochrony przyrody. Działalność w zakresie wytwarzania energii elektrycznej nie jest ustawowym zadaniem PGL LP. Zgodnie z art. 4  ust. 1 ustawy z dnia 28 września 1991 r. o lasach (tj. Dz. U. z 2024 r. poz. 530 z </w:t>
      </w:r>
      <w:proofErr w:type="spellStart"/>
      <w:r w:rsidRPr="00F376A5">
        <w:rPr>
          <w:rFonts w:ascii="Calibri" w:eastAsia="Calibri" w:hAnsi="Calibri" w:cs="Calibri"/>
          <w:color w:val="000000"/>
          <w:sz w:val="20"/>
          <w:lang w:eastAsia="pl-PL"/>
        </w:rPr>
        <w:t>późn</w:t>
      </w:r>
      <w:proofErr w:type="spellEnd"/>
      <w:r w:rsidRPr="00F376A5">
        <w:rPr>
          <w:rFonts w:ascii="Calibri" w:eastAsia="Calibri" w:hAnsi="Calibri" w:cs="Calibri"/>
          <w:color w:val="000000"/>
          <w:sz w:val="20"/>
          <w:lang w:eastAsia="pl-PL"/>
        </w:rPr>
        <w:t>. zm.) przedmiotem działalności PGL LP jest zarządzanie lasami Skarbu Państwa, a ust. 3 tego artykułu stanowi, iż w ramach zarządu Lasy Państwowe prowadzą gospodarkę leśną, gospodarują gruntami i innymi nieruchomościami oraz ruchomościami związanymi z  gospodarką leśną, a także prowadzą ewidencję majątku Skarbu Państwa oraz ustalają jego wartość. Uwzględnienie PGL LP jako podmiotu mogącego założyć spółdzielnię energetyczną poprzedzone powinno być szeroką debatą społeczną co do potrzeby rozszerzenia ustawowych zadań PGL LP.</w:t>
      </w:r>
    </w:p>
    <w:p w14:paraId="656FFEEE"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Mając powyższe na uwadze uwzględnienie tej uwagi nie jest uzasadnione na obecnym etapie, przy aktualnym kształcie działalności PGL LP. </w:t>
      </w:r>
    </w:p>
    <w:p w14:paraId="1493EECB" w14:textId="77777777" w:rsidR="00F376A5" w:rsidRPr="00F376A5" w:rsidRDefault="00F376A5" w:rsidP="00F376A5">
      <w:pPr>
        <w:keepNext/>
        <w:keepLines/>
        <w:spacing w:after="187" w:line="249" w:lineRule="auto"/>
        <w:jc w:val="both"/>
        <w:outlineLvl w:val="0"/>
        <w:rPr>
          <w:rFonts w:ascii="Calibri" w:eastAsia="Calibri" w:hAnsi="Calibri" w:cs="Calibri"/>
          <w:b/>
          <w:color w:val="000000"/>
          <w:sz w:val="20"/>
          <w:lang w:eastAsia="pl-PL"/>
        </w:rPr>
      </w:pPr>
      <w:r w:rsidRPr="00F376A5">
        <w:rPr>
          <w:rFonts w:ascii="Calibri" w:eastAsia="Calibri" w:hAnsi="Calibri" w:cs="Calibri"/>
          <w:b/>
          <w:color w:val="000000"/>
          <w:sz w:val="20"/>
          <w:lang w:eastAsia="pl-PL"/>
        </w:rPr>
        <w:t>2. Ustawa z dnia 9 marca 2023 r. o zmianie ustawy o inwestycjach w zakresie elektrowni wiatrowych oraz niektórych innych ustaw (Dz. U. 2023 poz. 553 i  z  2024 r. poz. 859) Art. 10 pkt 1 – w art. 1 w pkt 10 w dodawanym art. 6g w ust. 1</w:t>
      </w:r>
    </w:p>
    <w:p w14:paraId="0A3C9EAB"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W odniesieniu do tej uwagi, należy zaznaczyć, że wszelkie rozszerzenia proponowanego  mechanizmu są dobrym rozwiązaniem. Z tego też powodu w ramach procedowanego projektu ustawy o zmianie ustawy o inwestycjach w zakresie elektrowni wiatrowych oraz niektórych innych ustaw (nr UD89 w wykazie prac Rady Ministrów) rozszerza się ten mechanizm na mieszkańców gmin pobliskich, jak i na same gminy pobliskie. </w:t>
      </w:r>
    </w:p>
    <w:p w14:paraId="529FAD15"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Niemniej jednak Ministerstwo Klimatu i Środowiska stoi na stanowisku, że ewentualne rozszerzenia mechanizmu gratyfikacji na inne kooperatywy energetyczne powinny być wprowadzane stopniowo. Obecnie priorytetem jest przygotowanie takich rozwiązań, które nie będą prowadzić do wątpliwości regulacyjnych w odniesieniu do nabywania przez mieszkańca gminy udziałów w mocy zainstalowanej elektrowni wiatrowej w formule prosumenta wirtualnego. W momencie zebrania praktycznego doświadczenia w zakresie  funkcjonowaniu tego systemu (co nastąpić może dopiero od momentu jego uruchomienia), zostanie poddane analizie ewentualne rozszerzenie regulacji. </w:t>
      </w:r>
    </w:p>
    <w:p w14:paraId="52BFE9DA"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Należy podkreślić, że ww. projektowany mechanizm dedykowany inwestycjom wiatrakowym i społecznościom lokalnym jest rozwiązaniem zupełnie nowatorskim i w zasadzie pilotażowym, nie tylko w skali europejskiej, dlatego wymaga ostrożnego podejścia oraz ewaluacji jego efektywności i wpływu na system elektroenergetyczny.</w:t>
      </w:r>
    </w:p>
    <w:p w14:paraId="277B2744" w14:textId="77777777" w:rsidR="00F376A5" w:rsidRPr="00F376A5" w:rsidRDefault="00F376A5" w:rsidP="00F376A5">
      <w:pPr>
        <w:tabs>
          <w:tab w:val="center" w:pos="442"/>
          <w:tab w:val="center" w:pos="4190"/>
        </w:tabs>
        <w:spacing w:after="163" w:line="259" w:lineRule="auto"/>
        <w:rPr>
          <w:rFonts w:ascii="Calibri" w:eastAsia="Calibri" w:hAnsi="Calibri" w:cs="Calibri"/>
          <w:color w:val="000000"/>
          <w:sz w:val="20"/>
          <w:lang w:eastAsia="pl-PL"/>
        </w:rPr>
      </w:pPr>
      <w:r w:rsidRPr="00F376A5">
        <w:rPr>
          <w:rFonts w:ascii="Calibri" w:eastAsia="Calibri" w:hAnsi="Calibri" w:cs="Calibri"/>
          <w:color w:val="000000"/>
          <w:sz w:val="22"/>
          <w:lang w:eastAsia="pl-PL"/>
        </w:rPr>
        <w:tab/>
      </w:r>
      <w:r w:rsidRPr="00F376A5">
        <w:rPr>
          <w:rFonts w:ascii="Calibri" w:eastAsia="Calibri" w:hAnsi="Calibri" w:cs="Calibri"/>
          <w:b/>
          <w:color w:val="000000"/>
          <w:sz w:val="20"/>
          <w:lang w:eastAsia="pl-PL"/>
        </w:rPr>
        <w:t>3.</w:t>
      </w:r>
      <w:r w:rsidRPr="00F376A5">
        <w:rPr>
          <w:rFonts w:ascii="Calibri" w:eastAsia="Calibri" w:hAnsi="Calibri" w:cs="Calibri"/>
          <w:b/>
          <w:color w:val="000000"/>
          <w:sz w:val="20"/>
          <w:lang w:eastAsia="pl-PL"/>
        </w:rPr>
        <w:tab/>
        <w:t>Ustawa z dnia 16 września 1982 r. – Prawo spółdzielcze (Dz.U. 2024 poz. 593)</w:t>
      </w:r>
    </w:p>
    <w:p w14:paraId="3A9E11BA"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Poniższe odpowiedzi zostały opracowane w oparciu o stanowisko Ministerstwa Sprawiedliwości. </w:t>
      </w:r>
    </w:p>
    <w:p w14:paraId="5D1AE4FC" w14:textId="77777777" w:rsidR="00F376A5" w:rsidRPr="00F376A5" w:rsidRDefault="00F376A5" w:rsidP="00F376A5">
      <w:pPr>
        <w:keepNext/>
        <w:keepLines/>
        <w:spacing w:after="187" w:line="249" w:lineRule="auto"/>
        <w:jc w:val="both"/>
        <w:outlineLvl w:val="0"/>
        <w:rPr>
          <w:rFonts w:ascii="Calibri" w:eastAsia="Calibri" w:hAnsi="Calibri" w:cs="Calibri"/>
          <w:b/>
          <w:color w:val="000000"/>
          <w:sz w:val="20"/>
          <w:lang w:eastAsia="pl-PL"/>
        </w:rPr>
      </w:pPr>
      <w:r w:rsidRPr="00F376A5">
        <w:rPr>
          <w:rFonts w:ascii="Calibri" w:eastAsia="Calibri" w:hAnsi="Calibri" w:cs="Calibri"/>
          <w:b/>
          <w:color w:val="000000"/>
          <w:sz w:val="20"/>
          <w:lang w:eastAsia="pl-PL"/>
        </w:rPr>
        <w:t>Art. 91</w:t>
      </w:r>
    </w:p>
    <w:p w14:paraId="6BCF7E45" w14:textId="77777777" w:rsidR="00F376A5" w:rsidRPr="00F376A5" w:rsidRDefault="00F376A5" w:rsidP="00F376A5">
      <w:pPr>
        <w:spacing w:after="188"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Jako główny powód wprowadzenia wyłączenia obowiązku lustracji dla spółdzielni energetycznych wskazali Państwo, że „</w:t>
      </w:r>
      <w:r w:rsidRPr="00F376A5">
        <w:rPr>
          <w:rFonts w:ascii="Calibri" w:eastAsia="Calibri" w:hAnsi="Calibri" w:cs="Calibri"/>
          <w:i/>
          <w:color w:val="000000"/>
          <w:sz w:val="20"/>
          <w:lang w:eastAsia="pl-PL"/>
        </w:rPr>
        <w:t>zmniejszanie obciążeń administracyjnych poprzez zwolnienie z obowiązku lustracji składek zachęci uczestników rynku do zakładania nowych społeczności co przyczyni się do szybszej transformacji energetycznej</w:t>
      </w:r>
      <w:r w:rsidRPr="00F376A5">
        <w:rPr>
          <w:rFonts w:ascii="Calibri" w:eastAsia="Calibri" w:hAnsi="Calibri" w:cs="Calibri"/>
          <w:color w:val="000000"/>
          <w:sz w:val="20"/>
          <w:lang w:eastAsia="pl-PL"/>
        </w:rPr>
        <w:t>”. Z kolei w  przypadku zwolnienia spółdzielni energetycznych z obowiązku odprowadzania składek na rzecz Krajowej Rady Spółdzielczej wskazano, że „</w:t>
      </w:r>
      <w:r w:rsidRPr="00F376A5">
        <w:rPr>
          <w:rFonts w:ascii="Calibri" w:eastAsia="Calibri" w:hAnsi="Calibri" w:cs="Calibri"/>
          <w:i/>
          <w:color w:val="000000"/>
          <w:sz w:val="20"/>
          <w:lang w:eastAsia="pl-PL"/>
        </w:rPr>
        <w:t>zmniejszanie obciążeń administracyjnych poprzez zwolnienie z obowiązku składek zachęci uczestników rynku do zakładania nowych społeczności co przyczyni się do szybszej transformacji energetycznej</w:t>
      </w:r>
      <w:r w:rsidRPr="00F376A5">
        <w:rPr>
          <w:rFonts w:ascii="Calibri" w:eastAsia="Calibri" w:hAnsi="Calibri" w:cs="Calibri"/>
          <w:color w:val="000000"/>
          <w:sz w:val="20"/>
          <w:lang w:eastAsia="pl-PL"/>
        </w:rPr>
        <w:t xml:space="preserve">”. </w:t>
      </w:r>
    </w:p>
    <w:p w14:paraId="122C1E65"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lastRenderedPageBreak/>
        <w:t>W pierwszym przypadku należy zwrócić uwagę, że przepis art. 91 ustawy Prawo spółdzielcze mówiący o obowiązku lustracji każdej spółdzielni, która polega na badaniu legalności (zgodność działań spółdzielni z prawem), gospodarności (umiejętność dobrego, oszczędnego gospodarowania) i rzetelności (wiarygodność zaufania np. w zakresie prowadzenia ksiąg rachunkowych czy sporządzanych sprawozdań finansowych) całości jej działania i nie ogranicza się tylko do „lustracji składek” uiszczonych przez członków takiej spółdzielni. Z punktu widzenia zakresu tematyki objętej kontrolą rozróżnia się zatem lustrację pełną, częściową i specjalną przeprowadzoną w celu sprawdzenia konkretnych zarzutów. (…) Artykuł 91 § 3 ustanawia zasadę lustracji związkowej; prowadzą ją nieodpłatnie w ramach składki członkowskiej właściwe związki rewizyjne wobec spółdzielni w nich zrzeszonych. Natomiast spółdzielnie niezrzeszone zlecają przeprowadzenie lustracji wybranemu związkowi rewizyjnemu lub Krajowej Radzie Spółdzielczej. Lustracja przeprowadzana na zlecenie jest odpłatna. Od tej zasady nie ma wyjątków. Tym samym wprowadzenie regulacji wyłączającej obowiązkową - co trzy lata - lustrację, a w okresie pozostawania w stanie likwidacji corocznie, jest zbyt daleko posunięte i godzi w  podstawowe zasady ruchu spółdzielczego, w szczególności zasadę demokratycznej kontroli członkowskiej oraz zasadę współpracy między spółdzielniami. Zasada demokratycznej kontroli członkowskiej wyraża się w tym, że spółdzielnie są autonomicznymi organizacjami wzajemnej pomocy, kontrolowanymi przez swoich członków. Jeżeli zawierają porozumienia z innymi organizacjami, włączając w to organy państwowe i samorządowe, lub pozyskują swój kapitał z zewnętrznych źródeł, to czynią to tylko na warunkach zapewniających demokratyczną kontrolę przez swoich członków oraz zachowanie swojej spółdzielczej autonomii. Spółdzielnie są bowiem demokratycznymi organizacjami kontrolowanymi przez swoich członków, którzy aktywnie uczestniczą w  określaniu swojej polityki i podejmowaniu decyzji. Osoby pełniące funkcje przedstawicielskie z wyboru są odpowiedzialne wobec członków spółdzielni. Zasada współpracy między spółdzielniami z kolei wyraża się w tym, że spółdzielnie w najbardziej efektywny sposób służą swoim członkom i umacniają ruch spółdzielczy poprzez współpracę w ramach struktur lokalnych, krajowych, regionalnych i międzynarodowych. W związku z  powyższym nie znajduje uzasadnienia propozycja dodania art. 91a do przedmiotowej ustawy, w zaproponowanym brzmieniu, wyłączająca obowiązek lustracji dla spółdzielni energetycznych. Celem lustracji jest zbadanie legalności, gospodarności i rzetelności jej działania, jak też wskazywanie członkom na nieprawidłowości w działalności organów spółdzielni oraz udzielanie organizacyjnej i  instruktażowej pomocy w usuwaniu stwierdzonych nieprawidłowości, a nie tylko „lustracja składek”.</w:t>
      </w:r>
    </w:p>
    <w:p w14:paraId="4196CFF3" w14:textId="77777777" w:rsidR="00F376A5" w:rsidRPr="00F376A5" w:rsidRDefault="00F376A5" w:rsidP="00F376A5">
      <w:pPr>
        <w:keepNext/>
        <w:keepLines/>
        <w:spacing w:after="187" w:line="249" w:lineRule="auto"/>
        <w:jc w:val="both"/>
        <w:outlineLvl w:val="0"/>
        <w:rPr>
          <w:rFonts w:ascii="Calibri" w:eastAsia="Calibri" w:hAnsi="Calibri" w:cs="Calibri"/>
          <w:b/>
          <w:color w:val="000000"/>
          <w:sz w:val="20"/>
          <w:lang w:eastAsia="pl-PL"/>
        </w:rPr>
      </w:pPr>
      <w:r w:rsidRPr="00F376A5">
        <w:rPr>
          <w:rFonts w:ascii="Calibri" w:eastAsia="Calibri" w:hAnsi="Calibri" w:cs="Calibri"/>
          <w:b/>
          <w:color w:val="000000"/>
          <w:sz w:val="20"/>
          <w:lang w:eastAsia="pl-PL"/>
        </w:rPr>
        <w:t>Art. 266</w:t>
      </w:r>
    </w:p>
    <w:p w14:paraId="51B46D26"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W przypadku zaproponowanego zwolnienia spółdzielni energetycznych z obowiązku odprowadzania składek na rzecz Krajowej Rady Spółdzielczej, także można dopatrzeć się naruszenia podstawowej zasady ruchu spółdzielczego, tj. zasady współpracy między spółdzielniami. Ponadto proponowany przepis art. 266a, może również skutkować tym, że spółdzielnia energetyczna zwolniona ustawowo od obowiązku uiszczania składek na rzecz Krajowej Rady Spółdzielczej, będzie mogła taką niewydatkowaną nadwyżkę przeznaczyć np. na obowiązkowe składki w innej organizacji samorządu gospodarczego, zrzeszającej osoby i podmioty prowadzące określoną działalność gospodarczą – izbie gospodarczej. Należy więc postawić pytanie czy intencją występującej izby gospodarczej jest tylko zmniejszanie obciążeń administracyjnych poprzez zwolnienia spółdzielni energetycznych z  obowiązku odprowadzania składek na rzecz Krajowej Rady Spółdzielczej i odciążenie tym samym spółdzielni energetycznych? Zachodzi bowiem przypuszczenie, że nowe spółdzielnie energetyczne będą werbowane i zachęcane do członkostwa w innych organizacjach samorządu gospodarczego, istniejących poza ruchem spółdzielczym np. izbach gospodarczych, gdyż będąc zwolnione ustawowo od obowiązku uiszczania składek, będą mogły takie środki przeznaczyć na uiszczenie składek członkowskich w innych organizacjach samorządu gospodarczego. Mając powyższe na uwadze, propozycję dodania art. 226a do ustawy prawo spółdzielcze, w zaproponowanym brzmieniu, wyłączającą obowiązek uiszczania składek na rzecz Krajowej Rady Spółdzielczej w opinii Ministerstwa Sprawiedliwości, należy ocenić dezaprobująco.</w:t>
      </w:r>
    </w:p>
    <w:p w14:paraId="11CC3CC6" w14:textId="77777777" w:rsidR="00F376A5" w:rsidRPr="00F376A5" w:rsidRDefault="00F376A5" w:rsidP="00F376A5">
      <w:pPr>
        <w:tabs>
          <w:tab w:val="center" w:pos="442"/>
          <w:tab w:val="center" w:pos="4234"/>
        </w:tabs>
        <w:spacing w:after="163" w:line="259" w:lineRule="auto"/>
        <w:rPr>
          <w:rFonts w:ascii="Calibri" w:eastAsia="Calibri" w:hAnsi="Calibri" w:cs="Calibri"/>
          <w:color w:val="000000"/>
          <w:sz w:val="20"/>
          <w:lang w:eastAsia="pl-PL"/>
        </w:rPr>
      </w:pPr>
      <w:r w:rsidRPr="00F376A5">
        <w:rPr>
          <w:rFonts w:ascii="Calibri" w:eastAsia="Calibri" w:hAnsi="Calibri" w:cs="Calibri"/>
          <w:color w:val="000000"/>
          <w:sz w:val="22"/>
          <w:lang w:eastAsia="pl-PL"/>
        </w:rPr>
        <w:tab/>
      </w:r>
      <w:r w:rsidRPr="00F376A5">
        <w:rPr>
          <w:rFonts w:ascii="Calibri" w:eastAsia="Calibri" w:hAnsi="Calibri" w:cs="Calibri"/>
          <w:b/>
          <w:color w:val="000000"/>
          <w:sz w:val="20"/>
          <w:lang w:eastAsia="pl-PL"/>
        </w:rPr>
        <w:t>4.</w:t>
      </w:r>
      <w:r w:rsidRPr="00F376A5">
        <w:rPr>
          <w:rFonts w:ascii="Calibri" w:eastAsia="Calibri" w:hAnsi="Calibri" w:cs="Calibri"/>
          <w:b/>
          <w:color w:val="000000"/>
          <w:sz w:val="20"/>
          <w:lang w:eastAsia="pl-PL"/>
        </w:rPr>
        <w:tab/>
        <w:t>Ustawa z dnia 10 kwietnia 1997 r. – Prawo energetyczne (Dz.U. 2024 poz. 266)</w:t>
      </w:r>
    </w:p>
    <w:p w14:paraId="634435F8" w14:textId="77777777" w:rsidR="00F376A5" w:rsidRPr="00F376A5" w:rsidRDefault="00F376A5" w:rsidP="00F376A5">
      <w:pPr>
        <w:keepNext/>
        <w:keepLines/>
        <w:spacing w:after="211" w:line="249" w:lineRule="auto"/>
        <w:jc w:val="both"/>
        <w:outlineLvl w:val="0"/>
        <w:rPr>
          <w:rFonts w:ascii="Calibri" w:eastAsia="Calibri" w:hAnsi="Calibri" w:cs="Calibri"/>
          <w:b/>
          <w:color w:val="000000"/>
          <w:sz w:val="20"/>
          <w:lang w:eastAsia="pl-PL"/>
        </w:rPr>
      </w:pPr>
      <w:r w:rsidRPr="00F376A5">
        <w:rPr>
          <w:rFonts w:ascii="Calibri" w:eastAsia="Calibri" w:hAnsi="Calibri" w:cs="Calibri"/>
          <w:b/>
          <w:color w:val="000000"/>
          <w:sz w:val="20"/>
          <w:lang w:eastAsia="pl-PL"/>
        </w:rPr>
        <w:lastRenderedPageBreak/>
        <w:t>Art. 8 d</w:t>
      </w:r>
      <w:r w:rsidRPr="00F376A5">
        <w:rPr>
          <w:rFonts w:ascii="Calibri" w:eastAsia="Calibri" w:hAnsi="Calibri" w:cs="Calibri"/>
          <w:b/>
          <w:color w:val="000000"/>
          <w:sz w:val="20"/>
          <w:vertAlign w:val="superscript"/>
          <w:lang w:eastAsia="pl-PL"/>
        </w:rPr>
        <w:t>14</w:t>
      </w:r>
      <w:r w:rsidRPr="00F376A5">
        <w:rPr>
          <w:rFonts w:ascii="Calibri" w:eastAsia="Calibri" w:hAnsi="Calibri" w:cs="Calibri"/>
          <w:b/>
          <w:color w:val="000000"/>
          <w:sz w:val="20"/>
          <w:lang w:eastAsia="pl-PL"/>
        </w:rPr>
        <w:t xml:space="preserve"> pkt 2 lit. b </w:t>
      </w:r>
    </w:p>
    <w:p w14:paraId="4AD75438"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Należy zaznaczyć, że przedstawione propozycje zmian przepisów dotyczących warunków przyłączenia instalacji odnawialnych źródeł energii (OZE), które mają działać w ramach spółdzielni energetycznych, mogą stanowić poważne zagrożenia dla stabilności funkcjonowania systemu elektroenergetycznego.</w:t>
      </w:r>
    </w:p>
    <w:p w14:paraId="41C6BC1D"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Proponowana zmiana dotycząca usunięcia przepisu art. 7 ust. 8d</w:t>
      </w:r>
      <w:r w:rsidRPr="00F376A5">
        <w:rPr>
          <w:rFonts w:ascii="Calibri" w:eastAsia="Calibri" w:hAnsi="Calibri" w:cs="Calibri"/>
          <w:color w:val="000000"/>
          <w:sz w:val="20"/>
          <w:vertAlign w:val="superscript"/>
          <w:lang w:eastAsia="pl-PL"/>
        </w:rPr>
        <w:t>14</w:t>
      </w:r>
      <w:r w:rsidRPr="00F376A5">
        <w:rPr>
          <w:rFonts w:ascii="Calibri" w:eastAsia="Calibri" w:hAnsi="Calibri" w:cs="Calibri"/>
          <w:color w:val="000000"/>
          <w:sz w:val="20"/>
          <w:lang w:eastAsia="pl-PL"/>
        </w:rPr>
        <w:t xml:space="preserve"> pkt 2b zdaje się przeczyć idei funkcjonowania spółdzielni energetycznych jako organizacji, w której dąży się do wewnętrznego bilansowania oraz zwiększenia niezależności energetycznej tych spółdzielni. W przypadku zwolnienia spółdzielni z obowiązku bilansowania się, powstanie zachęta do instalowania źródeł o najniższym koszcie (np. wyłącznie źródła PV), które nie zapewnią stabilnych dostaw. Osiągnięty w ten sposób skutek może wręcz prowadzić do pogorszenia stabilności pracy sieci – spółdzielnia energetyczna, będzie wprowadzała nadwyżki energii do sieci elektroenergetycznej, korzystając z sieci jako „magazynu energii” w stosunku 1:0,6 w korzystnych warunkach pogodowych, natomiast w niekorzystnych warunkach będzie powodować destabilizację sieci, co może prowadzić do pogłębienia się już obecnie istniejących problemów z jakością energii elektrycznej i bilansowania mocy w systemie elektroenergetycznym.</w:t>
      </w:r>
    </w:p>
    <w:p w14:paraId="002B813A"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W odniesieniu do propozycji skrócenia terminu wydawania warunków przyłączenia i przyłączenia do sieci (art. 7 ust 8d</w:t>
      </w:r>
      <w:r w:rsidRPr="00F376A5">
        <w:rPr>
          <w:rFonts w:ascii="Calibri" w:eastAsia="Calibri" w:hAnsi="Calibri" w:cs="Calibri"/>
          <w:color w:val="000000"/>
          <w:sz w:val="20"/>
          <w:vertAlign w:val="superscript"/>
          <w:lang w:eastAsia="pl-PL"/>
        </w:rPr>
        <w:t>14</w:t>
      </w:r>
      <w:r w:rsidRPr="00F376A5">
        <w:rPr>
          <w:rFonts w:ascii="Calibri" w:eastAsia="Calibri" w:hAnsi="Calibri" w:cs="Calibri"/>
          <w:color w:val="000000"/>
          <w:sz w:val="20"/>
          <w:lang w:eastAsia="pl-PL"/>
        </w:rPr>
        <w:t xml:space="preserve"> pkt 1) należy wskazać, że narzucenie terminu wydania warunków przyłączenia do 30 dni od złożenia kompletnego wniosku oraz wprowadzenia obowiązku realizacji przyłączenia do sieci w ciągu 90 dni od wydania warunków stoi w sprzeczności do złożoności procesu przyłączeniowego, który wymaga przeprowadzenia szczegółowych analiz technicznych, uwzględnienia obciążenia sieci, planów rozwoju infrastruktury, a także spełnienia szeregu wymogów formalno-prawnych, które są już uregulowane. Terminy te ponadto w żadnym stopniu nie są spójne z otoczeniem formalnoprawnym w procesie budowlanym. Operator systemu elektroenergetycznego, aby przyłączyć instalację, musi uzyskać prawo do terenu pozwalające na zabudowę infrastruktury technicznej, dokonać uzgodnień ewentualnych skrzyżowań z pozostałymi gestorami sieci, wykonać projekt techniczny, uzyskać wymagane prawem zgłoszenia lub pozwolenia na budowę, zlecić roboty budowlane i je odebrać. Ponadto, w procesie uwzględnione powinny zostać również czynniki dynamiczne takie jak: aktualne ograniczenia w dostępności wykonawców, materiałów oraz rosnącego obciążenia sieciowego, szczególnie w związku z dynamicznym rozwojem OZE. Propozycja przepisu nie zauważa również, że koniecznym elementem do realizacji przyłączenia do sieci jest zawarcie pomiędzy podmiotem o to występującym a przedsiębiorstwem energetycznym umowy o przyłączenie. Zgodnie z przepisem § 4 ust 13 rozporządzenia Ministra Klimatu i  Środowiska z dnia 28 kwietnia 2023 r. w sprawie szczegółowych warunków funkcjonowania systemu elektroenergetycznego - warunki przyłączenia są przekazywane wnioskodawcy wraz z projektem umowy o przyłączenie do sieci. Wydane warunki przyłączenia wraz z projektem umowy o przyłączenie, stanowią zobowiązanie przedsiębiorstwa energetycznego do zawarcia umowy o przyłączenie w terminie 2 lat od dnia dostarczenia warunków przyłączenia. Samo wydanie warunków przyłączenia, nie może rozpoczynać procesu inwestycyjnego, którego celem jest realizacja przyłącza. Za to odpowiada umowa o przyłączenie, wiążąca strony umowy do należytego wykonania zakresu wskazanego w warunkach przyłączenia – czas podpisania umowy o przyłączenie po wydaniu przez OSD warunków przyłączenia, zależy w dużej mierze od inwestora. </w:t>
      </w:r>
    </w:p>
    <w:p w14:paraId="200935A2"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Dodatkowo, w zakresie propozycji zapisów art. 7 ust 8d</w:t>
      </w:r>
      <w:r w:rsidRPr="00F376A5">
        <w:rPr>
          <w:rFonts w:ascii="Calibri" w:eastAsia="Calibri" w:hAnsi="Calibri" w:cs="Calibri"/>
          <w:color w:val="000000"/>
          <w:sz w:val="20"/>
          <w:vertAlign w:val="superscript"/>
          <w:lang w:eastAsia="pl-PL"/>
        </w:rPr>
        <w:t>14</w:t>
      </w:r>
      <w:r w:rsidRPr="00F376A5">
        <w:rPr>
          <w:rFonts w:ascii="Calibri" w:eastAsia="Calibri" w:hAnsi="Calibri" w:cs="Calibri"/>
          <w:color w:val="000000"/>
          <w:sz w:val="20"/>
          <w:lang w:eastAsia="pl-PL"/>
        </w:rPr>
        <w:t xml:space="preserve"> pkt 3, należy wskazać, że umowy o przyłączenie do sieci zawierają postanowienia dotyczące odpowiedzialności stron za niedotrzymanie warunków umowy. Obowiązek zamieszczania tego typu postanowień wynika wprost z treści obowiązującego przepisu art. 7 ust 2 ustawy PE. </w:t>
      </w:r>
    </w:p>
    <w:p w14:paraId="1C5B5E19"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Przedstawiona propozycja „Procedury uznania domniemania pozytywnego” wydaje się sprzeczna z porządkiem prawnym w Polsce. Uznanie, że nastąpiło niedotrzymanie terminu przez przedsiębiorstwo energetyczne, za które to przedsiębiorstwo ponosi odpowiedzialność, nastąpić może dopiero w toku postępowania sądowego, regulowanego przepisami kodeksu postępowania </w:t>
      </w:r>
      <w:r w:rsidRPr="00F376A5">
        <w:rPr>
          <w:rFonts w:ascii="Calibri" w:eastAsia="Calibri" w:hAnsi="Calibri" w:cs="Calibri"/>
          <w:color w:val="000000"/>
          <w:sz w:val="20"/>
          <w:lang w:eastAsia="pl-PL"/>
        </w:rPr>
        <w:lastRenderedPageBreak/>
        <w:t xml:space="preserve">cywilnego (KPC). Domniemania modyfikują ustawowe zasady dotyczące ciężaru dowodu i jako takie mogą być ustanawiane tylko w ustawie, a nie rozporządzeniu. Tym bardziej, że przekroczenie terminu realizacji przyłączenia nie musi wiązać się z winą operatora systemu elektroenergetycznego. Jeżeli dojdzie do takiego przekroczenia, to jest to kwestia opóźnienia w realizacji umowy o przyłączenie, które to opóźnienie może być lub może nie być zwłoką w rozumieniu przepisów kodeksu cywilnego (KC). Konsekwencja takiego stanu to ewentualny spór cywilnoprawny podlegający rozstrzygnięciu przez sądy powszechne na podstawie przepisów KPC. </w:t>
      </w:r>
    </w:p>
    <w:p w14:paraId="7835A990"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Zauważyć należy, że wysokość możliwej „rekompensaty finansowej” reguluje KC w ramach zasad ustalania wysokości i sposobu naprawienia szkody, a podstawowym warunkiem zasądzenia odszkodowania jest udowodnienie wysokości szkody pozostającej w normalnym związku przyczynowym z niewykonaniem lub nienależytym wykonaniem umowy – w tym wypadku umowy o przyłączenie. Należy więc stwierdzić, że rozporządzenie do ustawy PE nie może modyfikować zasad określonych przepisami KC i KPC.</w:t>
      </w:r>
    </w:p>
    <w:p w14:paraId="3DB6FA44"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Tym niemniej należy zwrócić uwagę, że podczas procesu konsultacji projektu ustawy o  zmianie ustawy – Prawo energetyczne (UC84) kwestie związane z przyłączeniem do sieci będą szczegółowe dyskutowane i wszelkie postulaty zgłoszone przez spółdzielnie energetyczne w tym zakresie będą analizowane.</w:t>
      </w:r>
    </w:p>
    <w:p w14:paraId="2FABCD68"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 xml:space="preserve">Jednocześnie uprzejmie informuję, że zwróciliśmy się do Ministerstwa Rolnictwa i Rozwoju Wsi (dalej: </w:t>
      </w:r>
      <w:proofErr w:type="spellStart"/>
      <w:r w:rsidRPr="00F376A5">
        <w:rPr>
          <w:rFonts w:ascii="Calibri" w:eastAsia="Calibri" w:hAnsi="Calibri" w:cs="Calibri"/>
          <w:color w:val="000000"/>
          <w:sz w:val="20"/>
          <w:lang w:eastAsia="pl-PL"/>
        </w:rPr>
        <w:t>MRiRW</w:t>
      </w:r>
      <w:proofErr w:type="spellEnd"/>
      <w:r w:rsidRPr="00F376A5">
        <w:rPr>
          <w:rFonts w:ascii="Calibri" w:eastAsia="Calibri" w:hAnsi="Calibri" w:cs="Calibri"/>
          <w:color w:val="000000"/>
          <w:sz w:val="20"/>
          <w:lang w:eastAsia="pl-PL"/>
        </w:rPr>
        <w:t xml:space="preserve">), które jest inicjatorem idei spółdzielni energetycznych i aktywnie działa na rzecz poprawy warunków ich działania z prośbą o opinię w sprawie przekazanych postulatów. W odpowiedzi </w:t>
      </w:r>
      <w:proofErr w:type="spellStart"/>
      <w:r w:rsidRPr="00F376A5">
        <w:rPr>
          <w:rFonts w:ascii="Calibri" w:eastAsia="Calibri" w:hAnsi="Calibri" w:cs="Calibri"/>
          <w:color w:val="000000"/>
          <w:sz w:val="20"/>
          <w:lang w:eastAsia="pl-PL"/>
        </w:rPr>
        <w:t>MRiRW</w:t>
      </w:r>
      <w:proofErr w:type="spellEnd"/>
      <w:r w:rsidRPr="00F376A5">
        <w:rPr>
          <w:rFonts w:ascii="Calibri" w:eastAsia="Calibri" w:hAnsi="Calibri" w:cs="Calibri"/>
          <w:color w:val="000000"/>
          <w:sz w:val="20"/>
          <w:lang w:eastAsia="pl-PL"/>
        </w:rPr>
        <w:t xml:space="preserve"> poinformowało, że nie zasługują one na uwzględnienie. Zdaniem </w:t>
      </w:r>
      <w:proofErr w:type="spellStart"/>
      <w:r w:rsidRPr="00F376A5">
        <w:rPr>
          <w:rFonts w:ascii="Calibri" w:eastAsia="Calibri" w:hAnsi="Calibri" w:cs="Calibri"/>
          <w:color w:val="000000"/>
          <w:sz w:val="20"/>
          <w:lang w:eastAsia="pl-PL"/>
        </w:rPr>
        <w:t>MRiRW</w:t>
      </w:r>
      <w:proofErr w:type="spellEnd"/>
      <w:r w:rsidRPr="00F376A5">
        <w:rPr>
          <w:rFonts w:ascii="Calibri" w:eastAsia="Calibri" w:hAnsi="Calibri" w:cs="Calibri"/>
          <w:color w:val="000000"/>
          <w:sz w:val="20"/>
          <w:lang w:eastAsia="pl-PL"/>
        </w:rPr>
        <w:t xml:space="preserve"> w wielu zgłoszonych obszarach są one sprzeczne z celem zakładania i  funkcjonowania spółdzielni energetycznych, których przedmiotem działania jest lokalne wytwarzanie i zużywanie energii na potrzeby własne spółdzielni energetycznej i jej członków. Jednocześnie przedstawione propozycje preferują rozwój niestabilnych i  zależnych od warunków atmosferycznych instalacji OZE, co potęguje występujące na obszarach wiejskich problemy związane z gwarancją i stabilnością dostaw energii. Dywersyfikacja źródeł energii w celu zapewnienia bezpieczeństwa energetycznego wymaga umożliwienia rozwoju również innych źródeł energii odnawialnej, tj. instalacji OZE o  większej stabilności profilu wytwarzania energii elektrycznej. Z tego względu wszystkie przyjmowane rozwiązania powinny wspierać różne źródła energii odnawialnych, co wpisuje się w założenia Polityki Energetycznej Państwa dotyczące dywersyfikacji źródeł energii.</w:t>
      </w:r>
    </w:p>
    <w:p w14:paraId="6CF3EC4A" w14:textId="77777777" w:rsidR="00F376A5" w:rsidRPr="00F376A5" w:rsidRDefault="00F376A5" w:rsidP="00F376A5">
      <w:pPr>
        <w:spacing w:after="630"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Dziękuję za przesłane postulaty i mając nadzieję, że powyższe wyjaśnienia będą dla Państwa wystarczające, chcę zapewnić o otwartości Ministerstwa Klimatu i Środowiska na wdrożenie regulacji prawnych, stymulujących rozwój spółdzielni energetycznych w Polsce, dążących do obniżenia kosztów energii i systemu elektroenergetycznego a także bezpiecznych dla krajowego systemu elektroenergetycznego.</w:t>
      </w:r>
    </w:p>
    <w:p w14:paraId="64BCC718" w14:textId="77777777" w:rsidR="00F376A5" w:rsidRPr="00F376A5" w:rsidRDefault="00F376A5" w:rsidP="00F376A5">
      <w:pPr>
        <w:spacing w:after="187" w:line="248" w:lineRule="auto"/>
        <w:jc w:val="both"/>
        <w:rPr>
          <w:rFonts w:ascii="Calibri" w:eastAsia="Calibri" w:hAnsi="Calibri" w:cs="Calibri"/>
          <w:color w:val="000000"/>
          <w:sz w:val="20"/>
          <w:lang w:eastAsia="pl-PL"/>
        </w:rPr>
      </w:pPr>
      <w:r w:rsidRPr="00F376A5">
        <w:rPr>
          <w:rFonts w:ascii="Calibri" w:eastAsia="Calibri" w:hAnsi="Calibri" w:cs="Calibri"/>
          <w:color w:val="000000"/>
          <w:sz w:val="20"/>
          <w:lang w:eastAsia="pl-PL"/>
        </w:rPr>
        <w:t>Z wyrazami szacunku</w:t>
      </w:r>
    </w:p>
    <w:p w14:paraId="392ED96F" w14:textId="77777777" w:rsidR="00F376A5" w:rsidRPr="00F376A5" w:rsidRDefault="00F376A5" w:rsidP="00F376A5">
      <w:pPr>
        <w:spacing w:after="187" w:line="248" w:lineRule="auto"/>
        <w:jc w:val="both"/>
        <w:rPr>
          <w:rFonts w:ascii="Calibri" w:eastAsia="Calibri" w:hAnsi="Calibri" w:cs="Calibri"/>
          <w:color w:val="000000"/>
          <w:sz w:val="20"/>
          <w:lang w:eastAsia="pl-PL"/>
        </w:rPr>
      </w:pPr>
    </w:p>
    <w:p w14:paraId="73940C41" w14:textId="77777777" w:rsidR="00BC7DCD" w:rsidRDefault="00BC7DCD"/>
    <w:sectPr w:rsidR="00BC7DCD" w:rsidSect="00F376A5">
      <w:pgSz w:w="11906" w:h="16838"/>
      <w:pgMar w:top="2113" w:right="1985" w:bottom="978" w:left="198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A5"/>
    <w:rsid w:val="00BC7DCD"/>
    <w:rsid w:val="00C70AA9"/>
    <w:rsid w:val="00D529A5"/>
    <w:rsid w:val="00F376A5"/>
    <w:rsid w:val="00F64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3217"/>
  <w15:chartTrackingRefBased/>
  <w15:docId w15:val="{60DE6725-1F5D-4CBD-992E-955DB5DC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3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3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376A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376A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376A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376A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76A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76A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76A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76A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376A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376A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376A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376A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376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76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76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76A5"/>
    <w:rPr>
      <w:rFonts w:eastAsiaTheme="majorEastAsia" w:cstheme="majorBidi"/>
      <w:color w:val="272727" w:themeColor="text1" w:themeTint="D8"/>
    </w:rPr>
  </w:style>
  <w:style w:type="paragraph" w:styleId="Tytu">
    <w:name w:val="Title"/>
    <w:basedOn w:val="Normalny"/>
    <w:next w:val="Normalny"/>
    <w:link w:val="TytuZnak"/>
    <w:uiPriority w:val="10"/>
    <w:qFormat/>
    <w:rsid w:val="00F3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76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76A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76A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76A5"/>
    <w:pPr>
      <w:spacing w:before="160"/>
      <w:jc w:val="center"/>
    </w:pPr>
    <w:rPr>
      <w:i/>
      <w:iCs/>
      <w:color w:val="404040" w:themeColor="text1" w:themeTint="BF"/>
    </w:rPr>
  </w:style>
  <w:style w:type="character" w:customStyle="1" w:styleId="CytatZnak">
    <w:name w:val="Cytat Znak"/>
    <w:basedOn w:val="Domylnaczcionkaakapitu"/>
    <w:link w:val="Cytat"/>
    <w:uiPriority w:val="29"/>
    <w:rsid w:val="00F376A5"/>
    <w:rPr>
      <w:i/>
      <w:iCs/>
      <w:color w:val="404040" w:themeColor="text1" w:themeTint="BF"/>
    </w:rPr>
  </w:style>
  <w:style w:type="paragraph" w:styleId="Akapitzlist">
    <w:name w:val="List Paragraph"/>
    <w:basedOn w:val="Normalny"/>
    <w:uiPriority w:val="34"/>
    <w:qFormat/>
    <w:rsid w:val="00F376A5"/>
    <w:pPr>
      <w:ind w:left="720"/>
      <w:contextualSpacing/>
    </w:pPr>
  </w:style>
  <w:style w:type="character" w:styleId="Wyrnienieintensywne">
    <w:name w:val="Intense Emphasis"/>
    <w:basedOn w:val="Domylnaczcionkaakapitu"/>
    <w:uiPriority w:val="21"/>
    <w:qFormat/>
    <w:rsid w:val="00F376A5"/>
    <w:rPr>
      <w:i/>
      <w:iCs/>
      <w:color w:val="0F4761" w:themeColor="accent1" w:themeShade="BF"/>
    </w:rPr>
  </w:style>
  <w:style w:type="paragraph" w:styleId="Cytatintensywny">
    <w:name w:val="Intense Quote"/>
    <w:basedOn w:val="Normalny"/>
    <w:next w:val="Normalny"/>
    <w:link w:val="CytatintensywnyZnak"/>
    <w:uiPriority w:val="30"/>
    <w:qFormat/>
    <w:rsid w:val="00F3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376A5"/>
    <w:rPr>
      <w:i/>
      <w:iCs/>
      <w:color w:val="0F4761" w:themeColor="accent1" w:themeShade="BF"/>
    </w:rPr>
  </w:style>
  <w:style w:type="character" w:styleId="Odwoanieintensywne">
    <w:name w:val="Intense Reference"/>
    <w:basedOn w:val="Domylnaczcionkaakapitu"/>
    <w:uiPriority w:val="32"/>
    <w:qFormat/>
    <w:rsid w:val="00F376A5"/>
    <w:rPr>
      <w:b/>
      <w:bCs/>
      <w:smallCaps/>
      <w:color w:val="0F4761" w:themeColor="accent1" w:themeShade="BF"/>
      <w:spacing w:val="5"/>
    </w:rPr>
  </w:style>
  <w:style w:type="numbering" w:customStyle="1" w:styleId="Bezlisty1">
    <w:name w:val="Bez listy1"/>
    <w:next w:val="Bezlisty"/>
    <w:uiPriority w:val="99"/>
    <w:semiHidden/>
    <w:unhideWhenUsed/>
    <w:rsid w:val="00F37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3190</Words>
  <Characters>19146</Characters>
  <Application>Microsoft Office Word</Application>
  <DocSecurity>0</DocSecurity>
  <Lines>159</Lines>
  <Paragraphs>44</Paragraphs>
  <ScaleCrop>false</ScaleCrop>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Wierzbicka Sylwia</dc:creator>
  <cp:keywords/>
  <dc:description/>
  <cp:lastModifiedBy>Wierzbicka Sylwia</cp:lastModifiedBy>
  <cp:revision>1</cp:revision>
  <dcterms:created xsi:type="dcterms:W3CDTF">2025-03-17T12:16:00Z</dcterms:created>
  <dcterms:modified xsi:type="dcterms:W3CDTF">2025-03-17T12:17:00Z</dcterms:modified>
</cp:coreProperties>
</file>