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3EDC1" w14:textId="77777777" w:rsidR="00281FB5" w:rsidRDefault="005179B4">
      <w:pPr>
        <w:spacing w:after="83" w:line="259" w:lineRule="auto"/>
        <w:ind w:left="5443" w:hanging="10"/>
      </w:pPr>
      <w:r>
        <w:rPr>
          <w:sz w:val="22"/>
        </w:rPr>
        <w:t>Załącznik do uchwały Nr LXV/506/2024</w:t>
      </w:r>
    </w:p>
    <w:p w14:paraId="4004F92D" w14:textId="77777777" w:rsidR="00281FB5" w:rsidRDefault="005179B4">
      <w:pPr>
        <w:spacing w:after="83" w:line="342" w:lineRule="auto"/>
        <w:ind w:left="5443" w:hanging="10"/>
      </w:pPr>
      <w:r>
        <w:rPr>
          <w:sz w:val="22"/>
        </w:rPr>
        <w:t>Zgromadzenia Górnośląsko-Zagłębiowskiej Metropolii z dnia 29 maja 2024 r.</w:t>
      </w:r>
    </w:p>
    <w:p w14:paraId="19D81B0D" w14:textId="77777777" w:rsidR="00281FB5" w:rsidRDefault="005179B4">
      <w:pPr>
        <w:spacing w:after="86" w:line="265" w:lineRule="auto"/>
        <w:ind w:left="2607" w:right="590" w:hanging="10"/>
        <w:jc w:val="center"/>
      </w:pPr>
      <w:r>
        <w:rPr>
          <w:sz w:val="26"/>
        </w:rPr>
        <w:t>Pan Donald Tusk</w:t>
      </w:r>
    </w:p>
    <w:p w14:paraId="12928430" w14:textId="77777777" w:rsidR="00281FB5" w:rsidRDefault="005179B4">
      <w:pPr>
        <w:spacing w:after="81" w:line="265" w:lineRule="auto"/>
        <w:ind w:left="5256" w:hanging="10"/>
      </w:pPr>
      <w:r>
        <w:rPr>
          <w:sz w:val="26"/>
        </w:rPr>
        <w:t>Prezes Rady Ministrów Rzeczypospolitej</w:t>
      </w:r>
    </w:p>
    <w:p w14:paraId="19E5DD56" w14:textId="77777777" w:rsidR="00281FB5" w:rsidRDefault="005179B4">
      <w:pPr>
        <w:spacing w:after="504" w:line="265" w:lineRule="auto"/>
        <w:ind w:left="2607" w:right="1046" w:hanging="10"/>
        <w:jc w:val="center"/>
      </w:pPr>
      <w:r>
        <w:rPr>
          <w:sz w:val="26"/>
        </w:rPr>
        <w:t>Polskiej Pani</w:t>
      </w:r>
    </w:p>
    <w:p w14:paraId="2268F30D" w14:textId="77777777" w:rsidR="00281FB5" w:rsidRDefault="005179B4">
      <w:pPr>
        <w:spacing w:after="86" w:line="265" w:lineRule="auto"/>
        <w:ind w:left="2607" w:hanging="10"/>
        <w:jc w:val="center"/>
      </w:pPr>
      <w:r>
        <w:rPr>
          <w:sz w:val="26"/>
        </w:rPr>
        <w:t>Paulina Hennig-Kloska</w:t>
      </w:r>
    </w:p>
    <w:p w14:paraId="2F410627" w14:textId="77777777" w:rsidR="00281FB5" w:rsidRDefault="005179B4">
      <w:pPr>
        <w:spacing w:after="507" w:line="265" w:lineRule="auto"/>
        <w:ind w:left="5256" w:hanging="10"/>
      </w:pPr>
      <w:r>
        <w:rPr>
          <w:sz w:val="26"/>
        </w:rPr>
        <w:t>Minister Klimatu i Środowiska</w:t>
      </w:r>
    </w:p>
    <w:p w14:paraId="6C95C422" w14:textId="77777777" w:rsidR="00281FB5" w:rsidRDefault="005179B4">
      <w:pPr>
        <w:spacing w:after="198" w:line="265" w:lineRule="auto"/>
        <w:ind w:left="1752" w:hanging="10"/>
      </w:pPr>
      <w:r>
        <w:rPr>
          <w:sz w:val="26"/>
        </w:rPr>
        <w:t>Apel sprawie propozycji dodania art. 26b do ustawy o odpadach</w:t>
      </w:r>
    </w:p>
    <w:p w14:paraId="48922E82" w14:textId="77777777" w:rsidR="00281FB5" w:rsidRDefault="005179B4">
      <w:pPr>
        <w:ind w:left="465" w:right="835"/>
      </w:pPr>
      <w:r>
        <w:t>Art. 26b</w:t>
      </w:r>
    </w:p>
    <w:p w14:paraId="2B0F0945" w14:textId="77777777" w:rsidR="00281FB5" w:rsidRDefault="005179B4">
      <w:pPr>
        <w:spacing w:after="281" w:line="236" w:lineRule="auto"/>
        <w:ind w:left="451" w:right="763"/>
        <w:jc w:val="both"/>
      </w:pPr>
      <w:r>
        <w:t>l. Działania, o których mowa w art. 26a ust. l, podejmowane przez wójta, burmistrza lub prezydenta miasta wobec odpadów niebędących odpadami komunalnymi, stanowiq zadanie z zakresu administracji rzqdowęj zlecone gminie 2. Środki na realizację zadania, o którym mowa w ust. I zapewnia budžet państwa w formie dotacji celowej przekazywanej przez wojewodę.</w:t>
      </w:r>
    </w:p>
    <w:p w14:paraId="7AE35FF3" w14:textId="77777777" w:rsidR="00281FB5" w:rsidRDefault="005179B4">
      <w:pPr>
        <w:pStyle w:val="Nagwek1"/>
        <w:spacing w:after="255"/>
        <w:ind w:left="0" w:right="254"/>
      </w:pPr>
      <w:r>
        <w:t>UZASADNIENIE</w:t>
      </w:r>
    </w:p>
    <w:p w14:paraId="7FE4DCD8" w14:textId="77777777" w:rsidR="00281FB5" w:rsidRDefault="005179B4">
      <w:pPr>
        <w:ind w:left="465" w:right="835"/>
      </w:pPr>
      <w:r>
        <w:t>Proponowany przepis aft. 26b ma na celu uzupełnienie dotychczasowej regulacji zawartej w art. 26a, który został dodany do ustawy z dnia 14 grudnia 2012 r. o odpadach na mocy art. 6 pkt I l ustawy z dnia 19 lipca 2019 r. o zmianie ustawy o utrzymaniu czystości i porządku w gminach oraz niektórych innych ustaw (Dz. U. poz. 1579) zmieniającej ustawę z dniem 6 września 2019 r. Celem wprowadŽenia tego przepisu była m.in. poprawa skuteczności egzekwowania obowiązku usuwania odpadów. Przepis ten dotyczy zarówno od</w:t>
      </w:r>
      <w:r>
        <w:t xml:space="preserve">padów komunalnych, jak i odpadów niebędących odpadami komunalnymi. Natomiast przepis art. 7 ust. I pkt 3 ustawy o samorządzie gminnym (dalej: u.s.g.) wśród zadań własnych gminy wymienia m.in. sprawy utrzymania czystości i porządku oraz urządzeń sanitarnych, a także wysypisk i unieszkodliwiania odpadów komunalnych. Z przywołanych przepisów wynika, że zadania własne gminy w zakresie gospodarowania odpadami nie obejmują odpadów niebezpiecznych, których wytwórcami nie są </w:t>
      </w:r>
      <w:r>
        <w:rPr>
          <w:noProof/>
        </w:rPr>
        <w:drawing>
          <wp:inline distT="0" distB="0" distL="0" distR="0" wp14:anchorId="1FBC0CBE" wp14:editId="0C4192EB">
            <wp:extent cx="810768" cy="140248"/>
            <wp:effectExtent l="0" t="0" r="0" b="0"/>
            <wp:docPr id="2083" name="Picture 2083"/>
            <wp:cNvGraphicFramePr/>
            <a:graphic xmlns:a="http://schemas.openxmlformats.org/drawingml/2006/main">
              <a:graphicData uri="http://schemas.openxmlformats.org/drawingml/2006/picture">
                <pic:pic xmlns:pic="http://schemas.openxmlformats.org/drawingml/2006/picture">
                  <pic:nvPicPr>
                    <pic:cNvPr id="2083" name="Picture 2083"/>
                    <pic:cNvPicPr/>
                  </pic:nvPicPr>
                  <pic:blipFill>
                    <a:blip r:embed="rId4"/>
                    <a:stretch>
                      <a:fillRect/>
                    </a:stretch>
                  </pic:blipFill>
                  <pic:spPr>
                    <a:xfrm>
                      <a:off x="0" y="0"/>
                      <a:ext cx="810768" cy="140248"/>
                    </a:xfrm>
                    <a:prstGeom prst="rect">
                      <a:avLst/>
                    </a:prstGeom>
                  </pic:spPr>
                </pic:pic>
              </a:graphicData>
            </a:graphic>
          </wp:inline>
        </w:drawing>
      </w:r>
      <w:r>
        <w:t xml:space="preserve"> domowe. W związku z tym zadanie polega</w:t>
      </w:r>
      <w:r>
        <w:t xml:space="preserve">jące na usunięciu odpadów i gospodarowaniu nimi w odniesieniu do odpadów niebędących odpadami komunalnymi </w:t>
      </w:r>
      <w:r>
        <w:rPr>
          <w:u w:val="single" w:color="000000"/>
        </w:rPr>
        <w:t>nie stanowi zadania własnego gminy</w:t>
      </w:r>
      <w:r>
        <w:t>. Jest to zadanie z zakresu administracji rządowej.</w:t>
      </w:r>
    </w:p>
    <w:p w14:paraId="09F93625" w14:textId="77777777" w:rsidR="00281FB5" w:rsidRDefault="005179B4">
      <w:pPr>
        <w:spacing w:after="622" w:line="236" w:lineRule="auto"/>
        <w:ind w:left="451" w:right="763"/>
        <w:jc w:val="both"/>
      </w:pPr>
      <w:r>
        <w:t>W przepisie art. 26a nie ma wyraźnej regulacji, z której wynikałoby, w jaki sposób i z jakich środków ma nastąpić sfinansowanie kosztów wykonania decyzji. W ust. 6 art. 26a postanowiono jedynie, że: Właściwy organ žqda od posiadacza odpadów odpowiedzialnego za gospodarowanie odpadami zwrotu poniesionych przez siebie kosztów działań polegających na usunięciu odpadów i gospodarowaniu nimi. Nie stanowi on wystarczającej podstawy do przyjęcia, że gmina, której organ wykonawczy wydał decyzję, ma obowiązek sfinan</w:t>
      </w:r>
      <w:r>
        <w:t>sowania kosztów jej realizacji, w sytuacji gdy decyzja nie dotyczy odpadów komunalnych. Żaden przepis nie nakłada również obowiązku sfinansowania kosztów realizacji decyzji na organ, który ją wydał. Należy więc przyjąć, że wykonanie decyzji winno być sfinansowane ze</w:t>
      </w:r>
    </w:p>
    <w:p w14:paraId="389EDDAB" w14:textId="77777777" w:rsidR="00281FB5" w:rsidRDefault="005179B4">
      <w:pPr>
        <w:spacing w:after="59" w:line="259" w:lineRule="auto"/>
        <w:ind w:left="34" w:firstLine="0"/>
      </w:pPr>
      <w:r>
        <w:rPr>
          <w:rFonts w:ascii="Calibri" w:eastAsia="Calibri" w:hAnsi="Calibri" w:cs="Calibri"/>
          <w:noProof/>
          <w:sz w:val="22"/>
        </w:rPr>
        <mc:AlternateContent>
          <mc:Choice Requires="wpg">
            <w:drawing>
              <wp:inline distT="0" distB="0" distL="0" distR="0" wp14:anchorId="4AADF632" wp14:editId="0ECAB82E">
                <wp:extent cx="6333745" cy="12196"/>
                <wp:effectExtent l="0" t="0" r="0" b="0"/>
                <wp:docPr id="6756" name="Group 6756"/>
                <wp:cNvGraphicFramePr/>
                <a:graphic xmlns:a="http://schemas.openxmlformats.org/drawingml/2006/main">
                  <a:graphicData uri="http://schemas.microsoft.com/office/word/2010/wordprocessingGroup">
                    <wpg:wgp>
                      <wpg:cNvGrpSpPr/>
                      <wpg:grpSpPr>
                        <a:xfrm>
                          <a:off x="0" y="0"/>
                          <a:ext cx="6333745" cy="12196"/>
                          <a:chOff x="0" y="0"/>
                          <a:chExt cx="6333745" cy="12196"/>
                        </a:xfrm>
                      </wpg:grpSpPr>
                      <wps:wsp>
                        <wps:cNvPr id="6755" name="Shape 6755"/>
                        <wps:cNvSpPr/>
                        <wps:spPr>
                          <a:xfrm>
                            <a:off x="0" y="0"/>
                            <a:ext cx="6333745" cy="12196"/>
                          </a:xfrm>
                          <a:custGeom>
                            <a:avLst/>
                            <a:gdLst/>
                            <a:ahLst/>
                            <a:cxnLst/>
                            <a:rect l="0" t="0" r="0" b="0"/>
                            <a:pathLst>
                              <a:path w="6333745" h="12196">
                                <a:moveTo>
                                  <a:pt x="0" y="6098"/>
                                </a:moveTo>
                                <a:lnTo>
                                  <a:pt x="6333745"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6" style="width:498.72pt;height:0.960327pt;mso-position-horizontal-relative:char;mso-position-vertical-relative:line" coordsize="63337,121">
                <v:shape id="Shape 6755" style="position:absolute;width:63337;height:121;left:0;top:0;" coordsize="6333745,12196" path="m0,6098l6333745,6098">
                  <v:stroke weight="0.960327pt" endcap="flat" joinstyle="miter" miterlimit="1" on="true" color="#000000"/>
                  <v:fill on="false" color="#000000"/>
                </v:shape>
              </v:group>
            </w:pict>
          </mc:Fallback>
        </mc:AlternateContent>
      </w:r>
    </w:p>
    <w:p w14:paraId="41AAB3C0" w14:textId="77777777" w:rsidR="00281FB5" w:rsidRDefault="005179B4">
      <w:pPr>
        <w:tabs>
          <w:tab w:val="center" w:pos="9679"/>
        </w:tabs>
        <w:spacing w:after="72" w:line="259" w:lineRule="auto"/>
        <w:ind w:left="-15" w:firstLine="0"/>
      </w:pPr>
      <w:r>
        <w:rPr>
          <w:sz w:val="18"/>
        </w:rPr>
        <w:t>Id: E4E22666-B86E-4654-8387-lA89C4F7A714. PodDisanv</w:t>
      </w:r>
      <w:r>
        <w:rPr>
          <w:sz w:val="18"/>
        </w:rPr>
        <w:tab/>
        <w:t>Strona I</w:t>
      </w:r>
    </w:p>
    <w:p w14:paraId="4CBEA34B" w14:textId="77777777" w:rsidR="00281FB5" w:rsidRDefault="005179B4">
      <w:pPr>
        <w:ind w:left="465" w:right="835"/>
      </w:pPr>
      <w:r>
        <w:lastRenderedPageBreak/>
        <w:t>środków tego organu/instytucji, do której zadań należy usuwanie i zagospodarowanie odpadów stanowiących przedmiot decyzji. Zatem gmina ma obowiązek pokrycia kosztów wykonania decyzji jedynie wówczas, gdy jej przedmiotem są odpady komunalne, co do których gmina wykonuje obowiązkowe zadanie własne. Gminy nie dysponują zatem środkami własnymi, które mogłyby przeznaczyć na sfinansowanie zadania usunięcia odpadów niebezpiecz-nych, niebędących odpadami komunalnymi. W szczególności źródłem finansowania nie mogą tu</w:t>
      </w:r>
      <w:r>
        <w:t xml:space="preserve"> być opłaty za gospodarowanie odpadami komunalnymi, pobierane od mieszkańców. Finansowanie kosztów wykonania decyzji wydanej na podstawie art. 26a ustawy o odpadach, w przypadku gdy odnosi się ona do odpadów innych niż komunalne, winno się odbywać ze środków budżetu państwa.</w:t>
      </w:r>
    </w:p>
    <w:p w14:paraId="488B4638" w14:textId="77777777" w:rsidR="00281FB5" w:rsidRDefault="005179B4">
      <w:pPr>
        <w:spacing w:after="9669"/>
        <w:ind w:left="465" w:right="835"/>
      </w:pPr>
      <w:r>
        <w:t>W związku z powyższym istnieje konieczność uzupełnienia regulacji art. 26a ustawy o odpadach poprzez wskazanie wprost, że działania, o których mowa w art. 26a ust. 1, podejmowane przez wójta, burmistrza lub prezydenta miasta wobec odpadów niebędących odpadami komunalnymi, stanowią zadanie z zakresu administracji rządowej zlecone gminie. Regulacji tej towarzyszyć powinno, zgodnie z art. 8 ust. 4 u.s.g., określenie zasad i terminów finansowania tego zadania. Z tego względu proponuje się dodanie bezpośrednio p</w:t>
      </w:r>
      <w:r>
        <w:t>o art. 26a nowego art. 26b o wskazanej treści.</w:t>
      </w:r>
    </w:p>
    <w:p w14:paraId="2211A13F" w14:textId="77777777" w:rsidR="00281FB5" w:rsidRDefault="005179B4">
      <w:pPr>
        <w:spacing w:after="62" w:line="259" w:lineRule="auto"/>
        <w:ind w:left="-5" w:firstLine="0"/>
      </w:pPr>
      <w:r>
        <w:rPr>
          <w:rFonts w:ascii="Calibri" w:eastAsia="Calibri" w:hAnsi="Calibri" w:cs="Calibri"/>
          <w:noProof/>
          <w:sz w:val="22"/>
        </w:rPr>
        <mc:AlternateContent>
          <mc:Choice Requires="wpg">
            <w:drawing>
              <wp:inline distT="0" distB="0" distL="0" distR="0" wp14:anchorId="1208724A" wp14:editId="69152F7C">
                <wp:extent cx="6339840" cy="9147"/>
                <wp:effectExtent l="0" t="0" r="0" b="0"/>
                <wp:docPr id="6758" name="Group 6758"/>
                <wp:cNvGraphicFramePr/>
                <a:graphic xmlns:a="http://schemas.openxmlformats.org/drawingml/2006/main">
                  <a:graphicData uri="http://schemas.microsoft.com/office/word/2010/wordprocessingGroup">
                    <wpg:wgp>
                      <wpg:cNvGrpSpPr/>
                      <wpg:grpSpPr>
                        <a:xfrm>
                          <a:off x="0" y="0"/>
                          <a:ext cx="6339840" cy="9147"/>
                          <a:chOff x="0" y="0"/>
                          <a:chExt cx="6339840" cy="9147"/>
                        </a:xfrm>
                      </wpg:grpSpPr>
                      <wps:wsp>
                        <wps:cNvPr id="6757" name="Shape 6757"/>
                        <wps:cNvSpPr/>
                        <wps:spPr>
                          <a:xfrm>
                            <a:off x="0" y="0"/>
                            <a:ext cx="6339840" cy="9147"/>
                          </a:xfrm>
                          <a:custGeom>
                            <a:avLst/>
                            <a:gdLst/>
                            <a:ahLst/>
                            <a:cxnLst/>
                            <a:rect l="0" t="0" r="0" b="0"/>
                            <a:pathLst>
                              <a:path w="6339840" h="9147">
                                <a:moveTo>
                                  <a:pt x="0" y="4573"/>
                                </a:moveTo>
                                <a:lnTo>
                                  <a:pt x="633984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758" style="width:499.2pt;height:0.720215pt;mso-position-horizontal-relative:char;mso-position-vertical-relative:line" coordsize="63398,91">
                <v:shape id="Shape 6757" style="position:absolute;width:63398;height:91;left:0;top:0;" coordsize="6339840,9147" path="m0,4573l6339840,4573">
                  <v:stroke weight="0.720215pt" endcap="flat" joinstyle="miter" miterlimit="1" on="true" color="#000000"/>
                  <v:fill on="false" color="#000000"/>
                </v:shape>
              </v:group>
            </w:pict>
          </mc:Fallback>
        </mc:AlternateContent>
      </w:r>
    </w:p>
    <w:p w14:paraId="1963ABA1" w14:textId="77777777" w:rsidR="00281FB5" w:rsidRDefault="005179B4">
      <w:pPr>
        <w:tabs>
          <w:tab w:val="center" w:pos="9667"/>
        </w:tabs>
        <w:spacing w:after="72" w:line="259" w:lineRule="auto"/>
        <w:ind w:left="-15" w:firstLine="0"/>
      </w:pPr>
      <w:r>
        <w:rPr>
          <w:sz w:val="18"/>
        </w:rPr>
        <w:t>Id: E4E22666-B86E-4654-8387-lA89C4F7A714. PodDisanv</w:t>
      </w:r>
      <w:r>
        <w:rPr>
          <w:sz w:val="18"/>
        </w:rPr>
        <w:tab/>
        <w:t>Strona 2</w:t>
      </w:r>
    </w:p>
    <w:sectPr w:rsidR="00281FB5">
      <w:pgSz w:w="11904" w:h="16829"/>
      <w:pgMar w:top="1239" w:right="662" w:bottom="144" w:left="92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FB5"/>
    <w:rsid w:val="00281FB5"/>
    <w:rsid w:val="005179B4"/>
    <w:rsid w:val="008533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2C438"/>
  <w15:docId w15:val="{B4966817-4997-46B7-AC02-7797E4EF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78" w:line="228" w:lineRule="auto"/>
      <w:ind w:left="480" w:firstLine="4"/>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261" w:line="259" w:lineRule="auto"/>
      <w:ind w:left="480"/>
      <w:jc w:val="center"/>
      <w:outlineLvl w:val="0"/>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3547</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Wierzbicka Sylwia</dc:creator>
  <cp:keywords/>
  <cp:lastModifiedBy>Wierzbicka Sylwia</cp:lastModifiedBy>
  <cp:revision>2</cp:revision>
  <dcterms:created xsi:type="dcterms:W3CDTF">2024-10-10T07:30:00Z</dcterms:created>
  <dcterms:modified xsi:type="dcterms:W3CDTF">2024-10-10T07:30:00Z</dcterms:modified>
</cp:coreProperties>
</file>