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vertAnchor="text" w:tblpX="7232" w:tblpY="-908"/>
        <w:tblOverlap w:val="never"/>
        <w:tblW w:w="2699" w:type="dxa"/>
        <w:tblInd w:w="0" w:type="dxa"/>
        <w:tblCellMar>
          <w:top w:w="0" w:type="dxa"/>
          <w:left w:w="59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9822"/>
      </w:tblGrid>
      <w:tr w:rsidR="00C32471" w14:paraId="07AB9F1B" w14:textId="77777777">
        <w:trPr>
          <w:trHeight w:val="1529"/>
        </w:trPr>
        <w:tc>
          <w:tcPr>
            <w:tcW w:w="269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6AD2C1C" w14:textId="77777777" w:rsidR="00C32471" w:rsidRDefault="0016363D">
            <w:pPr>
              <w:spacing w:after="0" w:line="259" w:lineRule="auto"/>
              <w:ind w:left="504" w:right="0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07C89D21" wp14:editId="3640A3E6">
                  <wp:simplePos x="0" y="0"/>
                  <wp:positionH relativeFrom="column">
                    <wp:posOffset>357771</wp:posOffset>
                  </wp:positionH>
                  <wp:positionV relativeFrom="paragraph">
                    <wp:posOffset>-31002</wp:posOffset>
                  </wp:positionV>
                  <wp:extent cx="609621" cy="240858"/>
                  <wp:effectExtent l="0" t="0" r="0" b="0"/>
                  <wp:wrapSquare wrapText="bothSides"/>
                  <wp:docPr id="12188" name="Picture 12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8" name="Picture 12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21" cy="24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sz w:val="14"/>
                <w:vertAlign w:val="superscript"/>
              </w:rPr>
              <w:t xml:space="preserve">7 </w:t>
            </w:r>
            <w:r>
              <w:rPr>
                <w:rFonts w:ascii="Calibri" w:eastAsia="Calibri" w:hAnsi="Calibri" w:cs="Calibri"/>
                <w:sz w:val="14"/>
              </w:rPr>
              <w:t>SRODOWISKA</w:t>
            </w:r>
          </w:p>
          <w:p w14:paraId="6C821F63" w14:textId="77777777" w:rsidR="00C32471" w:rsidRDefault="0016363D">
            <w:pPr>
              <w:spacing w:after="0" w:line="259" w:lineRule="auto"/>
              <w:ind w:left="504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OGÓLNA</w:t>
            </w:r>
          </w:p>
          <w:tbl>
            <w:tblPr>
              <w:tblStyle w:val="TableGrid"/>
              <w:tblW w:w="2194" w:type="dxa"/>
              <w:tblInd w:w="19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"/>
              <w:gridCol w:w="9442"/>
            </w:tblGrid>
            <w:tr w:rsidR="00C32471" w14:paraId="25755ECA" w14:textId="77777777">
              <w:trPr>
                <w:trHeight w:val="619"/>
              </w:trPr>
              <w:tc>
                <w:tcPr>
                  <w:tcW w:w="3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6FB047C" w14:textId="77777777" w:rsidR="00C32471" w:rsidRDefault="0016363D">
                  <w:pPr>
                    <w:framePr w:wrap="around" w:vAnchor="text" w:hAnchor="text" w:x="7232" w:y="-908"/>
                    <w:spacing w:after="0" w:line="259" w:lineRule="auto"/>
                    <w:ind w:left="0" w:right="0" w:firstLine="0"/>
                    <w:suppressOverlap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68DC8F23" wp14:editId="706C10B9">
                        <wp:extent cx="173742" cy="73172"/>
                        <wp:effectExtent l="0" t="0" r="0" b="0"/>
                        <wp:docPr id="42737" name="Picture 4273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737" name="Picture 4273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742" cy="731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7FC0F" w14:textId="77777777" w:rsidR="00C32471" w:rsidRDefault="00C32471">
                  <w:pPr>
                    <w:framePr w:wrap="around" w:vAnchor="text" w:hAnchor="text" w:x="7232" w:y="-908"/>
                    <w:spacing w:after="0" w:line="259" w:lineRule="auto"/>
                    <w:ind w:left="-8431" w:right="10316" w:firstLine="0"/>
                    <w:suppressOverlap/>
                    <w:jc w:val="left"/>
                  </w:pPr>
                </w:p>
                <w:tbl>
                  <w:tblPr>
                    <w:tblStyle w:val="TableGrid"/>
                    <w:tblW w:w="1848" w:type="dxa"/>
                    <w:tblInd w:w="36" w:type="dxa"/>
                    <w:tblCellMar>
                      <w:top w:w="0" w:type="dxa"/>
                      <w:left w:w="115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8"/>
                  </w:tblGrid>
                  <w:tr w:rsidR="00C32471" w14:paraId="572F4384" w14:textId="77777777">
                    <w:trPr>
                      <w:trHeight w:val="752"/>
                    </w:trPr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</w:tcPr>
                      <w:p w14:paraId="3CBDC4AF" w14:textId="77777777" w:rsidR="00C32471" w:rsidRDefault="0016363D">
                        <w:pPr>
                          <w:framePr w:wrap="around" w:vAnchor="text" w:hAnchor="text" w:x="7232" w:y="-908"/>
                          <w:spacing w:after="0" w:line="259" w:lineRule="auto"/>
                          <w:ind w:left="0" w:right="29" w:firstLine="0"/>
                          <w:suppressOverlap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2024 -09- 0 2</w:t>
                        </w:r>
                      </w:p>
                    </w:tc>
                  </w:tr>
                </w:tbl>
                <w:p w14:paraId="4B3E05E7" w14:textId="77777777" w:rsidR="00C32471" w:rsidRDefault="00C32471">
                  <w:pPr>
                    <w:framePr w:wrap="around" w:vAnchor="text" w:hAnchor="text" w:x="7232" w:y="-908"/>
                    <w:spacing w:after="160" w:line="259" w:lineRule="auto"/>
                    <w:ind w:left="0" w:right="0" w:firstLine="0"/>
                    <w:suppressOverlap/>
                    <w:jc w:val="left"/>
                  </w:pPr>
                </w:p>
              </w:tc>
            </w:tr>
            <w:tr w:rsidR="00C32471" w14:paraId="0BD95302" w14:textId="77777777">
              <w:trPr>
                <w:trHeight w:val="133"/>
              </w:trPr>
              <w:tc>
                <w:tcPr>
                  <w:tcW w:w="3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22621" w14:textId="77777777" w:rsidR="00C32471" w:rsidRDefault="0016363D">
                  <w:pPr>
                    <w:framePr w:wrap="around" w:vAnchor="text" w:hAnchor="text" w:x="7232" w:y="-908"/>
                    <w:spacing w:after="0" w:line="259" w:lineRule="auto"/>
                    <w:ind w:left="0" w:right="0" w:firstLine="0"/>
                    <w:suppressOverlap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7CCA6F55" wp14:editId="7D1DFFE5">
                        <wp:extent cx="70106" cy="73172"/>
                        <wp:effectExtent l="0" t="0" r="0" b="0"/>
                        <wp:docPr id="12075" name="Picture 1207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75" name="Picture 1207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106" cy="731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D830D" w14:textId="77777777" w:rsidR="00C32471" w:rsidRDefault="00C32471">
                  <w:pPr>
                    <w:framePr w:wrap="around" w:vAnchor="text" w:hAnchor="text" w:x="7232" w:y="-908"/>
                    <w:spacing w:after="160" w:line="259" w:lineRule="auto"/>
                    <w:ind w:left="0" w:right="0" w:firstLine="0"/>
                    <w:suppressOverlap/>
                    <w:jc w:val="left"/>
                  </w:pPr>
                </w:p>
              </w:tc>
            </w:tr>
          </w:tbl>
          <w:p w14:paraId="2B521991" w14:textId="77777777" w:rsidR="00C32471" w:rsidRDefault="0016363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L.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dz</w:t>
            </w:r>
            <w:proofErr w:type="spellEnd"/>
          </w:p>
        </w:tc>
      </w:tr>
    </w:tbl>
    <w:p w14:paraId="5E03709A" w14:textId="43B309A1" w:rsidR="00C32471" w:rsidRDefault="0016363D">
      <w:pPr>
        <w:tabs>
          <w:tab w:val="center" w:pos="5450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2EEE350" wp14:editId="219335ED">
            <wp:simplePos x="0" y="0"/>
            <wp:positionH relativeFrom="column">
              <wp:posOffset>2965630</wp:posOffset>
            </wp:positionH>
            <wp:positionV relativeFrom="paragraph">
              <wp:posOffset>-405905</wp:posOffset>
            </wp:positionV>
            <wp:extent cx="688871" cy="384153"/>
            <wp:effectExtent l="0" t="0" r="0" b="0"/>
            <wp:wrapSquare wrapText="bothSides"/>
            <wp:docPr id="12264" name="Picture 12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4" name="Picture 122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871" cy="384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78891FA" wp14:editId="3D54FC3C">
            <wp:simplePos x="0" y="0"/>
            <wp:positionH relativeFrom="column">
              <wp:posOffset>-167819</wp:posOffset>
            </wp:positionH>
            <wp:positionV relativeFrom="paragraph">
              <wp:posOffset>-277854</wp:posOffset>
            </wp:positionV>
            <wp:extent cx="941864" cy="256102"/>
            <wp:effectExtent l="0" t="0" r="0" b="0"/>
            <wp:wrapSquare wrapText="bothSides"/>
            <wp:docPr id="12267" name="Picture 12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" name="Picture 122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1864" cy="256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eastAsia="Calibri" w:hAnsi="Calibri" w:cs="Calibri"/>
          <w:sz w:val="20"/>
        </w:rPr>
        <w:t>pGE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r>
        <w:rPr>
          <w:sz w:val="20"/>
        </w:rPr>
        <w:t xml:space="preserve">Zarząd </w:t>
      </w:r>
      <w:r>
        <w:rPr>
          <w:sz w:val="20"/>
        </w:rPr>
        <w:t>PGE Polska Grupa Energetyczna S.A</w:t>
      </w:r>
      <w:r>
        <w:rPr>
          <w:sz w:val="20"/>
        </w:rPr>
        <w:tab/>
        <w:t>RPW/70898/2024 P</w:t>
      </w:r>
    </w:p>
    <w:p w14:paraId="45039AB6" w14:textId="77777777" w:rsidR="00C32471" w:rsidRDefault="0016363D">
      <w:pPr>
        <w:spacing w:after="578" w:line="283" w:lineRule="auto"/>
        <w:ind w:left="1493" w:right="2404" w:firstLine="3197"/>
        <w:jc w:val="left"/>
      </w:pPr>
      <w:r>
        <w:rPr>
          <w:rFonts w:ascii="Calibri" w:eastAsia="Calibri" w:hAnsi="Calibri" w:cs="Calibri"/>
          <w:sz w:val="14"/>
        </w:rPr>
        <w:t xml:space="preserve">Data : 2024-09-02 tel.: (+48 22) 340 17 03 </w:t>
      </w:r>
      <w:proofErr w:type="spellStart"/>
      <w:r>
        <w:rPr>
          <w:rFonts w:ascii="Calibri" w:eastAsia="Calibri" w:hAnsi="Calibri" w:cs="Calibri"/>
          <w:sz w:val="14"/>
        </w:rPr>
        <w:t>MKiS</w:t>
      </w:r>
      <w:proofErr w:type="spellEnd"/>
    </w:p>
    <w:p w14:paraId="36531EFF" w14:textId="77777777" w:rsidR="00C32471" w:rsidRDefault="0016363D">
      <w:pPr>
        <w:spacing w:after="2608" w:line="216" w:lineRule="auto"/>
        <w:ind w:left="7915" w:right="0" w:hanging="893"/>
        <w:jc w:val="left"/>
      </w:pPr>
      <w:r>
        <w:rPr>
          <w:sz w:val="22"/>
        </w:rPr>
        <w:t xml:space="preserve">Warszawa, 27 sierpnia 2024 r. </w:t>
      </w:r>
      <w:proofErr w:type="spellStart"/>
      <w:r>
        <w:rPr>
          <w:rFonts w:ascii="Calibri" w:eastAsia="Calibri" w:hAnsi="Calibri" w:cs="Calibri"/>
          <w:sz w:val="22"/>
        </w:rPr>
        <w:t>sz</w:t>
      </w:r>
      <w:proofErr w:type="spellEnd"/>
      <w:r>
        <w:rPr>
          <w:rFonts w:ascii="Calibri" w:eastAsia="Calibri" w:hAnsi="Calibri" w:cs="Calibri"/>
          <w:sz w:val="22"/>
        </w:rPr>
        <w:t>/ ą $ 2 /2024/w</w:t>
      </w:r>
    </w:p>
    <w:p w14:paraId="2DD8DF2D" w14:textId="77777777" w:rsidR="00C32471" w:rsidRDefault="0016363D">
      <w:pPr>
        <w:spacing w:after="0" w:line="259" w:lineRule="auto"/>
        <w:ind w:left="0" w:right="1108" w:firstLine="0"/>
        <w:jc w:val="right"/>
      </w:pPr>
      <w:r>
        <w:rPr>
          <w:sz w:val="30"/>
        </w:rPr>
        <w:t xml:space="preserve">Pani Paulina </w:t>
      </w:r>
      <w:proofErr w:type="spellStart"/>
      <w:r>
        <w:rPr>
          <w:sz w:val="30"/>
        </w:rPr>
        <w:t>Hennig</w:t>
      </w:r>
      <w:proofErr w:type="spellEnd"/>
      <w:r>
        <w:rPr>
          <w:sz w:val="30"/>
        </w:rPr>
        <w:t>-Kloska</w:t>
      </w:r>
    </w:p>
    <w:p w14:paraId="73F68036" w14:textId="77777777" w:rsidR="00C32471" w:rsidRDefault="0016363D">
      <w:pPr>
        <w:spacing w:after="0" w:line="259" w:lineRule="auto"/>
        <w:ind w:left="0" w:right="844" w:firstLine="0"/>
        <w:jc w:val="right"/>
      </w:pPr>
      <w:r>
        <w:rPr>
          <w:sz w:val="28"/>
        </w:rPr>
        <w:t>Minister Klimatu i Środowiska</w:t>
      </w:r>
    </w:p>
    <w:p w14:paraId="52A180AA" w14:textId="77777777" w:rsidR="00C32471" w:rsidRDefault="0016363D">
      <w:pPr>
        <w:spacing w:after="306" w:line="259" w:lineRule="auto"/>
        <w:ind w:left="2107" w:right="0" w:firstLine="0"/>
        <w:jc w:val="left"/>
      </w:pPr>
      <w:r>
        <w:rPr>
          <w:noProof/>
        </w:rPr>
        <w:drawing>
          <wp:inline distT="0" distB="0" distL="0" distR="0" wp14:anchorId="005D7087" wp14:editId="1BB29FA5">
            <wp:extent cx="4096650" cy="509155"/>
            <wp:effectExtent l="0" t="0" r="0" b="0"/>
            <wp:docPr id="42739" name="Picture 42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39" name="Picture 427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6650" cy="50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1ED13" w14:textId="77777777" w:rsidR="00C32471" w:rsidRDefault="0016363D">
      <w:pPr>
        <w:spacing w:after="151"/>
        <w:ind w:left="1493" w:right="13"/>
      </w:pPr>
      <w:r>
        <w:t xml:space="preserve">w imieniu PGE Polska Grupa Energetyczna S.A. („PGE S.A.") zwracamy się z prośbą </w:t>
      </w:r>
      <w:r>
        <w:rPr>
          <w:rFonts w:ascii="Calibri" w:eastAsia="Calibri" w:hAnsi="Calibri" w:cs="Calibri"/>
        </w:rPr>
        <w:t xml:space="preserve">o </w:t>
      </w:r>
      <w:r>
        <w:t>uwzględnienie przedstawionych poniżej postulatów legislacyjnych i wprowadzenie zmian w ustawach:</w:t>
      </w:r>
    </w:p>
    <w:p w14:paraId="4880BA48" w14:textId="77777777" w:rsidR="00C32471" w:rsidRDefault="0016363D">
      <w:pPr>
        <w:numPr>
          <w:ilvl w:val="0"/>
          <w:numId w:val="1"/>
        </w:numPr>
        <w:spacing w:after="274"/>
        <w:ind w:right="13" w:hanging="355"/>
      </w:pPr>
      <w:r>
        <w:t xml:space="preserve">z dnia 3 października 2008 r. o udostępnianiu informacji o środowisku i jego ochronie, udziale społeczeństwa w ochronie środowiska oraz o ocenach oddziaływania na środowisko (Dz.U. z 2024 r. poz. 1112, „ustawa </w:t>
      </w:r>
      <w:proofErr w:type="spellStart"/>
      <w:r>
        <w:t>ocenowa</w:t>
      </w:r>
      <w:proofErr w:type="spellEnd"/>
      <w:r>
        <w:t>”) oraz</w:t>
      </w:r>
    </w:p>
    <w:p w14:paraId="0D7747D5" w14:textId="77777777" w:rsidR="00C32471" w:rsidRDefault="0016363D">
      <w:pPr>
        <w:numPr>
          <w:ilvl w:val="0"/>
          <w:numId w:val="1"/>
        </w:numPr>
        <w:spacing w:after="183"/>
        <w:ind w:right="13" w:hanging="355"/>
      </w:pPr>
      <w:r>
        <w:t>z dnia 14 kwietnia 2023 r. o przygotowaniu i realizacji inwestycji w zakresie elektrowni szczytowo-pompowych oraz inwestycji towarzyszących (Dz. U. z 2023 r. poz. 1113, „specustawa ESP").</w:t>
      </w:r>
    </w:p>
    <w:p w14:paraId="340B6A88" w14:textId="77777777" w:rsidR="00C32471" w:rsidRDefault="0016363D">
      <w:pPr>
        <w:ind w:left="1493" w:right="13"/>
      </w:pPr>
      <w:r>
        <w:t>Poniżej opisujemy zidentyfikowane problemy związane z treścią przepisów wskazanych ustaw, ich wpływ na proces inwestycyjny oraz propozycje rozwiązań.</w:t>
      </w:r>
    </w:p>
    <w:p w14:paraId="3502A711" w14:textId="77777777" w:rsidR="00C32471" w:rsidRDefault="0016363D">
      <w:pPr>
        <w:spacing w:after="50" w:line="216" w:lineRule="auto"/>
        <w:ind w:left="1502" w:right="4" w:hanging="10"/>
      </w:pPr>
      <w:r>
        <w:rPr>
          <w:sz w:val="28"/>
        </w:rPr>
        <w:t xml:space="preserve">Ad. 1) Zidentyfikowane problemy i potrzeby zmian w ustawie </w:t>
      </w:r>
      <w:proofErr w:type="spellStart"/>
      <w:r>
        <w:rPr>
          <w:sz w:val="28"/>
        </w:rPr>
        <w:t>ocenowej</w:t>
      </w:r>
      <w:proofErr w:type="spellEnd"/>
      <w:r>
        <w:rPr>
          <w:sz w:val="28"/>
        </w:rPr>
        <w:t>.</w:t>
      </w:r>
    </w:p>
    <w:p w14:paraId="41D011D7" w14:textId="77777777" w:rsidR="00C32471" w:rsidRDefault="0016363D">
      <w:pPr>
        <w:ind w:left="1493" w:right="13"/>
      </w:pPr>
      <w:r>
        <w:t xml:space="preserve">Aktualnie obowiązujące przepisy ustawy </w:t>
      </w:r>
      <w:proofErr w:type="spellStart"/>
      <w:r>
        <w:t>ocenowej</w:t>
      </w:r>
      <w:proofErr w:type="spellEnd"/>
      <w:r>
        <w:t xml:space="preserve"> nie określają inwestycji towarzyszącej inwestycji w ESP, polegającej na budowie linii elektroenergetycznej wyprowadzającej moc z ESP, jako inwestycji strategicznej. Skutkiem takiego stanu prawnego jest sytuacja, w której organ prowadzący postępowanie w sprawie wydania decyzji o środowiskowych uwarunkowaniach dla inwestycji towarzyszącej inwestycji w ESP na pierwszym etapie postępowania jest zobowiązany badać</w:t>
      </w:r>
    </w:p>
    <w:p w14:paraId="664936B3" w14:textId="77777777" w:rsidR="00C32471" w:rsidRDefault="0016363D">
      <w:pPr>
        <w:spacing w:after="0" w:line="259" w:lineRule="auto"/>
        <w:ind w:left="-235" w:right="0" w:firstLine="0"/>
        <w:jc w:val="left"/>
      </w:pPr>
      <w:r>
        <w:rPr>
          <w:noProof/>
        </w:rPr>
        <w:drawing>
          <wp:inline distT="0" distB="0" distL="0" distR="0" wp14:anchorId="2EA3440D" wp14:editId="4876770C">
            <wp:extent cx="935752" cy="259151"/>
            <wp:effectExtent l="0" t="0" r="0" b="0"/>
            <wp:docPr id="14243" name="Picture 14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" name="Picture 142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5752" cy="25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469D0" w14:textId="77777777" w:rsidR="00C32471" w:rsidRDefault="0016363D">
      <w:pPr>
        <w:pStyle w:val="Nagwek1"/>
        <w:spacing w:after="512"/>
        <w:ind w:left="24"/>
      </w:pPr>
      <w:r>
        <w:lastRenderedPageBreak/>
        <w:t>PGE</w:t>
      </w:r>
    </w:p>
    <w:p w14:paraId="071C22EA" w14:textId="77777777" w:rsidR="00C32471" w:rsidRDefault="0016363D">
      <w:pPr>
        <w:spacing w:after="230"/>
        <w:ind w:left="1493" w:right="13"/>
      </w:pPr>
      <w:r>
        <w:t>zgodność przedsięwzięcia z miejscowym planem zagospodarowania przestrzennego („</w:t>
      </w:r>
      <w:proofErr w:type="spellStart"/>
      <w:r>
        <w:t>mpzp</w:t>
      </w:r>
      <w:proofErr w:type="spellEnd"/>
      <w:r>
        <w:t xml:space="preserve">”). Jednocześnie, inwestycja towarzysząca inwestycji w ESP jest prowadzona na podstawie specustawy ESP, więc dla takiej inwestycji jest wydawana decyzja lokalizacyjna, która jest wiążąca dla organów sporządzających </w:t>
      </w:r>
      <w:proofErr w:type="spellStart"/>
      <w:r>
        <w:t>mpzp</w:t>
      </w:r>
      <w:proofErr w:type="spellEnd"/>
      <w:r>
        <w:t xml:space="preserve">. Dodatkowo, do inwestycji prowadzonych na podstawie specustawy ESP nie stosuje się przepisów ustawy o planowaniu i zagospodarowaniu przestrzennym. Przepisy ustawy </w:t>
      </w:r>
      <w:proofErr w:type="spellStart"/>
      <w:r>
        <w:t>ocenowej</w:t>
      </w:r>
      <w:proofErr w:type="spellEnd"/>
      <w:r>
        <w:t xml:space="preserve"> są więc sprzeczne z przepisami specustawy ESP, a ta sprzeczność powoduje istotne komplikacje w postępowaniu o wydani</w:t>
      </w:r>
      <w:r>
        <w:t>e decyzji o środowiskowych uwarunkowaniach dla inwestycji towarzyszącej inwestycji w ESP, które mogą prowadzić do braku możliwości uzyskania decyzji środowiskowej. Decyzja środowiskowa dla inwestycji jest pierwszą decyzją w procesie inwestycyjnym konieczną do uzyskania przez inwestorów, która jest niezbędna do złożenia wniosku o wydanie decyzji lokalizacyjnej na podstawie przepisów specustawy ESP.</w:t>
      </w:r>
    </w:p>
    <w:p w14:paraId="5D741005" w14:textId="77777777" w:rsidR="00C32471" w:rsidRDefault="0016363D">
      <w:pPr>
        <w:ind w:left="1493" w:right="13"/>
      </w:pPr>
      <w:r>
        <w:t>Brak wprowadzenia postulowanej zmiany oznacza w praktyce wstrzymanie procesu inwestycyjnego albo jego bardzo istotne wydłużenie.</w:t>
      </w:r>
    </w:p>
    <w:p w14:paraId="489785AE" w14:textId="77777777" w:rsidR="00C32471" w:rsidRDefault="0016363D">
      <w:pPr>
        <w:ind w:left="1493" w:right="76"/>
      </w:pPr>
      <w:r>
        <w:t xml:space="preserve">Ponadto, zidentyfikowaliśmy dwa przepisy ustawy </w:t>
      </w:r>
      <w:proofErr w:type="spellStart"/>
      <w:r>
        <w:t>ocenowej</w:t>
      </w:r>
      <w:proofErr w:type="spellEnd"/>
      <w:r>
        <w:t xml:space="preserve">, gdzie inwestycje prowadzone na podstawie specustawy ESP, w odróżnieniu od inwestycji prowadzonych na podstawie innych specustaw, nie zostały uwzględnione, co może powodować komplikacje i opóźnienia w procesie inwestycyjnym. Wspomniane dwa przepisy ustawy </w:t>
      </w:r>
      <w:proofErr w:type="spellStart"/>
      <w:r>
        <w:t>ocenowej</w:t>
      </w:r>
      <w:proofErr w:type="spellEnd"/>
      <w:r>
        <w:t xml:space="preserve"> wraz z propozycjami ich zmian zamieściliśmy w załączniku do niniejszego pisma.</w:t>
      </w:r>
    </w:p>
    <w:p w14:paraId="77F03355" w14:textId="77777777" w:rsidR="00C32471" w:rsidRDefault="0016363D">
      <w:pPr>
        <w:spacing w:after="50" w:line="216" w:lineRule="auto"/>
        <w:ind w:left="1502" w:right="4" w:hanging="10"/>
      </w:pPr>
      <w:r>
        <w:rPr>
          <w:sz w:val="28"/>
        </w:rPr>
        <w:t>Ad. 2) Zidentyfikowane problemy i potrzeby zmian w specustawie ESP</w:t>
      </w:r>
    </w:p>
    <w:p w14:paraId="54EE3CE3" w14:textId="77777777" w:rsidR="00C32471" w:rsidRDefault="0016363D">
      <w:pPr>
        <w:spacing w:after="194"/>
        <w:ind w:left="1493" w:right="81"/>
      </w:pPr>
      <w:r>
        <w:t>Przepisy specustawy ESP, w odróżnieniu od innych specustaw inwestycyjnych, nie uwzględniają nowej instytucji wprowadzonej w ustawie o planowaniu i zagospodarowaniu przestrzennym, tj. „planu ogólnego gminy”, która zastąpiła studium uwarunkowań i kierunków zagospodarowania przestrzennego.</w:t>
      </w:r>
    </w:p>
    <w:p w14:paraId="52A2B7CA" w14:textId="77777777" w:rsidR="00C32471" w:rsidRDefault="0016363D">
      <w:pPr>
        <w:spacing w:after="114"/>
        <w:ind w:left="1493" w:right="76"/>
      </w:pPr>
      <w:r>
        <w:t xml:space="preserve">Istotne jest, że zgodnie z przepisami specustawy ESP, wydana decyzja lokalizacyjna wiąże organy sporządzające studium uwarunkowań i kierunków zagospodarowania przestrzennego, a następnie </w:t>
      </w:r>
      <w:proofErr w:type="spellStart"/>
      <w:r>
        <w:t>mpzp</w:t>
      </w:r>
      <w:proofErr w:type="spellEnd"/>
      <w:r>
        <w:t>. Ponadto, do inwestycji prowadzonych na podstawie specustawy ESP nie stosuje się przepisów ustawy o planowaniu i zagospodarowaniu przestrzennym.</w:t>
      </w:r>
    </w:p>
    <w:p w14:paraId="4771ACBB" w14:textId="77777777" w:rsidR="00C32471" w:rsidRDefault="0016363D">
      <w:pPr>
        <w:spacing w:after="875"/>
        <w:ind w:left="1493" w:right="13"/>
      </w:pPr>
      <w:r>
        <w:t>Dlatego konieczne jest doprecyzowanie specustawy ESP poprzez wskazanie, że organ właściwy do sporządzenia planu ogólnego gminy jest związany decyzją o ustaleniu lokalizacji inwestycji w ESP oraz decyzją o ustaleniu lokalizacji</w:t>
      </w:r>
    </w:p>
    <w:p w14:paraId="6EFC4E6F" w14:textId="77777777" w:rsidR="00C32471" w:rsidRDefault="0016363D">
      <w:pPr>
        <w:spacing w:after="0" w:line="259" w:lineRule="auto"/>
        <w:ind w:left="1512" w:right="0" w:firstLine="0"/>
        <w:jc w:val="left"/>
      </w:pPr>
      <w:r>
        <w:rPr>
          <w:noProof/>
        </w:rPr>
        <w:drawing>
          <wp:inline distT="0" distB="0" distL="0" distR="0" wp14:anchorId="03C1D66A" wp14:editId="3E4B45D3">
            <wp:extent cx="557793" cy="6098"/>
            <wp:effectExtent l="0" t="0" r="0" b="0"/>
            <wp:docPr id="14242" name="Picture 14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" name="Picture 142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793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9E39F" w14:textId="77777777" w:rsidR="00C32471" w:rsidRDefault="0016363D">
      <w:pPr>
        <w:spacing w:after="0" w:line="259" w:lineRule="auto"/>
        <w:ind w:left="-279" w:right="0" w:firstLine="0"/>
        <w:jc w:val="left"/>
      </w:pPr>
      <w:r>
        <w:rPr>
          <w:noProof/>
        </w:rPr>
        <w:drawing>
          <wp:inline distT="0" distB="0" distL="0" distR="0" wp14:anchorId="68C274A9" wp14:editId="07025C67">
            <wp:extent cx="936084" cy="259151"/>
            <wp:effectExtent l="0" t="0" r="0" b="0"/>
            <wp:docPr id="15693" name="Picture 15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" name="Picture 1569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6084" cy="25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E28CB" w14:textId="77777777" w:rsidR="00C32471" w:rsidRDefault="0016363D">
      <w:pPr>
        <w:pStyle w:val="Nagwek1"/>
        <w:spacing w:after="476"/>
        <w:ind w:left="24"/>
      </w:pPr>
      <w:proofErr w:type="spellStart"/>
      <w:r>
        <w:lastRenderedPageBreak/>
        <w:t>pGE</w:t>
      </w:r>
      <w:proofErr w:type="spellEnd"/>
    </w:p>
    <w:p w14:paraId="49EFF260" w14:textId="77777777" w:rsidR="00C32471" w:rsidRDefault="0016363D">
      <w:pPr>
        <w:spacing w:after="120"/>
        <w:ind w:left="1493" w:right="13"/>
      </w:pPr>
      <w:r>
        <w:t>inwestycji towarzyszącej inwestycji w ESP. W przypadku wejścia w życie planu ogólnego gminy na terenie planowanej inwestycji w ESP i braku dostosowania przepisów specustawy ESP, może dojść do wątpliwości przy interpretacji przepisów przez właściwe organy, a w konsekwencji, przepisy specustawy ESP, które miały uprościć i przyśpieszyć proces inwestycyjny, nie znajdą zastosowania, z uwagi na sprzeczność pomiędzy przepisami specustawy ESP i ustawy o planowaniu i zagospodarowaniu przestrzennym.</w:t>
      </w:r>
    </w:p>
    <w:p w14:paraId="153225D1" w14:textId="77777777" w:rsidR="00C32471" w:rsidRDefault="0016363D">
      <w:pPr>
        <w:ind w:left="1493" w:right="13"/>
      </w:pPr>
      <w:r>
        <w:t>W ocenie PGE S.A., proponowane zmiany mają charakter precyzujący aktualnie obowiązujące przepisy i pozwalają wykluczyć sprzeczności w systemie prawa, tzn. niezgodności pomiędzy przepisami, które prowadzą do istotnych problemów podczas ich stosowania. Jednocześnie, nieuwzględnienie postulowanych zmian będzie stanowiło istotne bariery w prowadzeniu inwestycji w zakresie elektrowni szczytowo-pompowych, co znacznie utrudni bądź nawet uniemożliwi prowadzenie procesu inwestycyjnego na podstawie przepisów specusta</w:t>
      </w:r>
      <w:r>
        <w:t>wy ESP. Tym samym cel wdrożenia w polskim prawie specustawy ESP nie zostanie osiągnięty.</w:t>
      </w:r>
    </w:p>
    <w:p w14:paraId="3FE18DB4" w14:textId="77777777" w:rsidR="00C32471" w:rsidRDefault="0016363D">
      <w:pPr>
        <w:spacing w:after="0"/>
        <w:ind w:left="1493" w:right="13"/>
      </w:pPr>
      <w:r>
        <w:t>W załączeniu do pisma przekazujemy propozycje przepisów zmieniających wskazane ustawy, uwzględniające przedstawione postulaty wraz z ich uzasadnieniem, z prośbą o ich pilne uwzględnienie w procesie legislacyjnym.</w:t>
      </w:r>
    </w:p>
    <w:p w14:paraId="4B0616DE" w14:textId="77777777" w:rsidR="00C32471" w:rsidRDefault="0016363D">
      <w:pPr>
        <w:spacing w:after="2223" w:line="259" w:lineRule="auto"/>
        <w:ind w:left="6487" w:right="-480" w:firstLine="0"/>
        <w:jc w:val="left"/>
      </w:pPr>
      <w:r>
        <w:rPr>
          <w:noProof/>
        </w:rPr>
        <w:drawing>
          <wp:inline distT="0" distB="0" distL="0" distR="0" wp14:anchorId="009F8934" wp14:editId="035F42B2">
            <wp:extent cx="2411864" cy="445129"/>
            <wp:effectExtent l="0" t="0" r="0" b="0"/>
            <wp:docPr id="42741" name="Picture 4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1" name="Picture 4274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1864" cy="44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832BE" w14:textId="77777777" w:rsidR="00C32471" w:rsidRDefault="0016363D">
      <w:pPr>
        <w:spacing w:after="205" w:line="259" w:lineRule="auto"/>
        <w:ind w:left="1489" w:right="0" w:firstLine="0"/>
        <w:jc w:val="left"/>
      </w:pPr>
      <w:r>
        <w:rPr>
          <w:sz w:val="30"/>
        </w:rPr>
        <w:t>Załącznik:</w:t>
      </w:r>
    </w:p>
    <w:p w14:paraId="26AF72AD" w14:textId="77777777" w:rsidR="00C32471" w:rsidRDefault="0016363D">
      <w:pPr>
        <w:spacing w:after="767"/>
        <w:ind w:left="1493" w:right="13"/>
      </w:pPr>
      <w:r>
        <w:rPr>
          <w:noProof/>
        </w:rPr>
        <w:drawing>
          <wp:inline distT="0" distB="0" distL="0" distR="0" wp14:anchorId="788E5FFB" wp14:editId="09052A2A">
            <wp:extent cx="42688" cy="18293"/>
            <wp:effectExtent l="0" t="0" r="0" b="0"/>
            <wp:docPr id="15666" name="Picture 15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6" name="Picture 1566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6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postulaty legislacyjne PGE S.A. dotyczące zmian w ustawie </w:t>
      </w:r>
      <w:proofErr w:type="spellStart"/>
      <w:r>
        <w:t>ocenowej</w:t>
      </w:r>
      <w:proofErr w:type="spellEnd"/>
      <w:r>
        <w:t xml:space="preserve"> i specustawie ESP.</w:t>
      </w:r>
    </w:p>
    <w:p w14:paraId="33CF0D8C" w14:textId="77777777" w:rsidR="00C32471" w:rsidRDefault="0016363D">
      <w:pPr>
        <w:spacing w:after="176" w:line="259" w:lineRule="auto"/>
        <w:ind w:left="1493" w:right="0" w:firstLine="0"/>
        <w:jc w:val="left"/>
      </w:pPr>
      <w:r>
        <w:rPr>
          <w:sz w:val="28"/>
          <w:u w:val="single" w:color="000000"/>
        </w:rPr>
        <w:t>Do wiadomości:</w:t>
      </w:r>
    </w:p>
    <w:p w14:paraId="29477E44" w14:textId="77777777" w:rsidR="00C32471" w:rsidRDefault="0016363D">
      <w:pPr>
        <w:spacing w:after="1772"/>
        <w:ind w:left="1863" w:right="13"/>
      </w:pPr>
      <w:r>
        <w:t xml:space="preserve">1. </w:t>
      </w:r>
      <w:proofErr w:type="spellStart"/>
      <w:r>
        <w:t>Sz.P</w:t>
      </w:r>
      <w:proofErr w:type="spellEnd"/>
      <w:r>
        <w:t xml:space="preserve">. Piotr Oławski — Generalny Dyrektor Ochrony </w:t>
      </w:r>
      <w:proofErr w:type="spellStart"/>
      <w:r>
        <w:t>Srodowiska</w:t>
      </w:r>
      <w:proofErr w:type="spellEnd"/>
      <w:r>
        <w:t>.</w:t>
      </w:r>
    </w:p>
    <w:p w14:paraId="36C3B857" w14:textId="77777777" w:rsidR="00C32471" w:rsidRDefault="0016363D">
      <w:pPr>
        <w:spacing w:after="370" w:line="259" w:lineRule="auto"/>
        <w:ind w:left="1493" w:right="14" w:hanging="10"/>
        <w:jc w:val="center"/>
      </w:pPr>
      <w:r>
        <w:t>3 / 10</w:t>
      </w:r>
    </w:p>
    <w:p w14:paraId="0D83BFF2" w14:textId="77777777" w:rsidR="00C32471" w:rsidRDefault="0016363D">
      <w:pPr>
        <w:spacing w:after="0" w:line="259" w:lineRule="auto"/>
        <w:ind w:left="-250" w:right="0" w:firstLine="0"/>
        <w:jc w:val="left"/>
      </w:pPr>
      <w:r>
        <w:rPr>
          <w:noProof/>
        </w:rPr>
        <w:lastRenderedPageBreak/>
        <w:drawing>
          <wp:inline distT="0" distB="0" distL="0" distR="0" wp14:anchorId="262F38CB" wp14:editId="7CA28BAD">
            <wp:extent cx="941863" cy="253053"/>
            <wp:effectExtent l="0" t="0" r="0" b="0"/>
            <wp:docPr id="17501" name="Picture 17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1" name="Picture 1750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41863" cy="25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74E54" w14:textId="77777777" w:rsidR="00C32471" w:rsidRDefault="0016363D">
      <w:pPr>
        <w:pStyle w:val="Nagwek1"/>
        <w:ind w:left="24"/>
      </w:pPr>
      <w:r>
        <w:rPr>
          <w:rFonts w:ascii="Calibri" w:eastAsia="Calibri" w:hAnsi="Calibri" w:cs="Calibri"/>
        </w:rPr>
        <w:t>PGE</w:t>
      </w:r>
    </w:p>
    <w:p w14:paraId="2034B4D3" w14:textId="77777777" w:rsidR="00C32471" w:rsidRDefault="0016363D">
      <w:pPr>
        <w:spacing w:after="838"/>
        <w:ind w:left="1493" w:right="13"/>
      </w:pPr>
      <w:r>
        <w:t>Załącznik nr 1.</w:t>
      </w:r>
    </w:p>
    <w:p w14:paraId="2109C0FF" w14:textId="77777777" w:rsidR="00C32471" w:rsidRDefault="0016363D">
      <w:pPr>
        <w:spacing w:after="246" w:line="216" w:lineRule="auto"/>
        <w:ind w:left="2208" w:right="4" w:hanging="533"/>
      </w:pPr>
      <w:r>
        <w:rPr>
          <w:rFonts w:ascii="Calibri" w:eastAsia="Calibri" w:hAnsi="Calibri" w:cs="Calibri"/>
          <w:sz w:val="28"/>
        </w:rPr>
        <w:t xml:space="preserve">1. </w:t>
      </w:r>
      <w:r>
        <w:rPr>
          <w:sz w:val="28"/>
        </w:rPr>
        <w:t>Zmiany w ustawie z dnia 3 października 2008 r. o udostępnianiu informacji o środowisku i jego ochronie, udziale społeczeństwa w ochronie środowiska oraz o ocenach oddziaływania na środowisko (Dz.U. z 2024 r. poz. 1112) — katalog inwestycji strategicznych oraz pierwszeństwo decyzji o środowiskowych uwarunkowaniach</w:t>
      </w:r>
    </w:p>
    <w:p w14:paraId="0E3DAEE9" w14:textId="77777777" w:rsidR="00C32471" w:rsidRDefault="0016363D">
      <w:pPr>
        <w:spacing w:after="264" w:line="222" w:lineRule="auto"/>
        <w:ind w:left="2208" w:right="23" w:hanging="341"/>
      </w:pPr>
      <w:r>
        <w:rPr>
          <w:sz w:val="24"/>
        </w:rPr>
        <w:t>1) w ustawie z dnia 3 października 2008 r. o udostępnianiu informacji o środowisku i jego ochronie, udziale społeczeństwa w ochronie środowiska oraz o ocenach oddziaływania na środowisko (Dz.U. z 2024 r. poz. 1112) wprowadza się następujące zmiany:</w:t>
      </w:r>
    </w:p>
    <w:p w14:paraId="6F6BE3ED" w14:textId="77777777" w:rsidR="00C32471" w:rsidRDefault="0016363D">
      <w:pPr>
        <w:spacing w:after="247" w:line="243" w:lineRule="auto"/>
        <w:ind w:left="2193" w:right="14" w:hanging="365"/>
      </w:pPr>
      <w:r>
        <w:rPr>
          <w:rFonts w:ascii="Calibri" w:eastAsia="Calibri" w:hAnsi="Calibri" w:cs="Calibri"/>
          <w:sz w:val="24"/>
        </w:rPr>
        <w:t xml:space="preserve">a) Art. 59a ust. 4 pkt 21 ustawy z dnia z dnia 3 października 2008 r. o udostępnianiu informacji o środowisku i jego ochronie, udziale </w:t>
      </w:r>
      <w:r>
        <w:rPr>
          <w:sz w:val="24"/>
        </w:rPr>
        <w:t xml:space="preserve">społeczeństwa w ochronie środowiska oraz o ocenach oddziaływania na </w:t>
      </w:r>
      <w:r>
        <w:rPr>
          <w:rFonts w:ascii="Calibri" w:eastAsia="Calibri" w:hAnsi="Calibri" w:cs="Calibri"/>
          <w:sz w:val="24"/>
        </w:rPr>
        <w:t>środowisko otrzymuje brzmienie:</w:t>
      </w:r>
    </w:p>
    <w:p w14:paraId="1913FFA6" w14:textId="77777777" w:rsidR="00C32471" w:rsidRDefault="0016363D">
      <w:pPr>
        <w:ind w:left="1493" w:right="76"/>
      </w:pPr>
      <w:r>
        <w:t xml:space="preserve">21) inwestycji w zakresie elektrowni szczytowo-pompowej oraz inwestycji </w:t>
      </w:r>
      <w:r>
        <w:rPr>
          <w:rFonts w:ascii="Calibri" w:eastAsia="Calibri" w:hAnsi="Calibri" w:cs="Calibri"/>
        </w:rPr>
        <w:t xml:space="preserve">towarzyszącej realizowanych na podstawie ustawy z dnia 14 kwietnia 2023 r. </w:t>
      </w:r>
      <w:r>
        <w:t xml:space="preserve">o przygotowaniu i realizacji inwestycji w zakresie elektrowni </w:t>
      </w:r>
      <w:proofErr w:type="spellStart"/>
      <w:r>
        <w:t>szczytowo</w:t>
      </w:r>
      <w:r>
        <w:rPr>
          <w:rFonts w:ascii="Calibri" w:eastAsia="Calibri" w:hAnsi="Calibri" w:cs="Calibri"/>
        </w:rPr>
        <w:t>pompowych</w:t>
      </w:r>
      <w:proofErr w:type="spellEnd"/>
      <w:r>
        <w:rPr>
          <w:rFonts w:ascii="Calibri" w:eastAsia="Calibri" w:hAnsi="Calibri" w:cs="Calibri"/>
        </w:rPr>
        <w:t xml:space="preserve"> oraz inwestycji towarzyszących (Dz. U. poz. 1113).</w:t>
      </w:r>
    </w:p>
    <w:p w14:paraId="2F434338" w14:textId="77777777" w:rsidR="00C32471" w:rsidRDefault="0016363D">
      <w:pPr>
        <w:ind w:left="1493" w:right="13"/>
      </w:pPr>
      <w:r>
        <w:t>Uzasadnienie:</w:t>
      </w:r>
    </w:p>
    <w:p w14:paraId="427692DC" w14:textId="77777777" w:rsidR="00C32471" w:rsidRDefault="0016363D">
      <w:pPr>
        <w:ind w:left="1493" w:right="86"/>
      </w:pPr>
      <w:r>
        <w:t xml:space="preserve">W ustawie z dnia 3 października 2008 r. o udostępnianiu informacji o środowisku i jego ochronie, udziale społeczeństwa w ochronie środowiska oraz o ocenach oddziaływania na środowisko (Dz.U. z 2024 r. poz. 1112, „ustawa </w:t>
      </w:r>
      <w:proofErr w:type="spellStart"/>
      <w:r>
        <w:t>ocenowa</w:t>
      </w:r>
      <w:proofErr w:type="spellEnd"/>
      <w:r>
        <w:t xml:space="preserve">”), ustawą z dnia 13 lipca 2023 r. o zmianie ustawy o udostępnianiu informacji o środowisku i jego ochronie, udziale społeczeństwa w ochronie środowiska oraz o ocenach oddziaływania na środowisko oraz niektórych innych ustaw (Dz.U. z 2023 r. poz. 1890, „ustawa zmieniająca”), która weszła w życie 16 października 2023 r., w art. 59a ust. 4 wprowadzono katalog inwestycji strategicznych, dla których stosuje się wyłączenia ze stosowania części przepisów ustawy </w:t>
      </w:r>
      <w:proofErr w:type="spellStart"/>
      <w:r>
        <w:t>ocenowej</w:t>
      </w:r>
      <w:proofErr w:type="spellEnd"/>
      <w:r>
        <w:t>.</w:t>
      </w:r>
    </w:p>
    <w:p w14:paraId="59ECE1C1" w14:textId="77777777" w:rsidR="00C32471" w:rsidRDefault="0016363D">
      <w:pPr>
        <w:ind w:left="1493" w:right="13"/>
      </w:pPr>
      <w:r>
        <w:t xml:space="preserve">Do inwestycji strategicznych m.in. nie stosuje się przepisów art. 59a ust. 1 i ust. 3 pkt 1 ustawy </w:t>
      </w:r>
      <w:proofErr w:type="spellStart"/>
      <w:r>
        <w:t>ocenowej</w:t>
      </w:r>
      <w:proofErr w:type="spellEnd"/>
      <w:r>
        <w:t>. Oznacza to, że przystąpienie do:</w:t>
      </w:r>
    </w:p>
    <w:p w14:paraId="6F9D8F2A" w14:textId="77777777" w:rsidR="00C32471" w:rsidRDefault="0016363D">
      <w:pPr>
        <w:spacing w:after="0" w:line="259" w:lineRule="auto"/>
        <w:ind w:left="-269" w:right="0" w:firstLine="0"/>
        <w:jc w:val="left"/>
      </w:pPr>
      <w:r>
        <w:rPr>
          <w:noProof/>
        </w:rPr>
        <w:drawing>
          <wp:inline distT="0" distB="0" distL="0" distR="0" wp14:anchorId="02D55414" wp14:editId="4D0729DA">
            <wp:extent cx="945231" cy="262200"/>
            <wp:effectExtent l="0" t="0" r="0" b="0"/>
            <wp:docPr id="19429" name="Picture 19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9" name="Picture 1942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45231" cy="2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A273C" w14:textId="77777777" w:rsidR="00C32471" w:rsidRDefault="0016363D">
      <w:pPr>
        <w:pStyle w:val="Nagwek1"/>
        <w:ind w:left="24"/>
      </w:pPr>
      <w:r>
        <w:t>PGE</w:t>
      </w:r>
    </w:p>
    <w:p w14:paraId="710FEEB4" w14:textId="77777777" w:rsidR="00C32471" w:rsidRDefault="0016363D">
      <w:pPr>
        <w:spacing w:after="37" w:line="222" w:lineRule="auto"/>
        <w:ind w:left="1488" w:right="23" w:hanging="5"/>
      </w:pPr>
      <w:r>
        <w:rPr>
          <w:sz w:val="24"/>
        </w:rPr>
        <w:t>1) przeprowadzenia oceny oddziaływania przedsięwzięcia na środowisko</w:t>
      </w:r>
    </w:p>
    <w:p w14:paraId="0B455B4A" w14:textId="77777777" w:rsidR="00C32471" w:rsidRDefault="0016363D">
      <w:pPr>
        <w:ind w:left="1493" w:right="13"/>
      </w:pPr>
      <w:r>
        <w:t>- w przypadku przedsięwzięcia, o którym mowa w art. 59 ust. 1 pkt 1,</w:t>
      </w:r>
    </w:p>
    <w:p w14:paraId="7ECBEEEF" w14:textId="77777777" w:rsidR="00C32471" w:rsidRDefault="0016363D">
      <w:pPr>
        <w:numPr>
          <w:ilvl w:val="0"/>
          <w:numId w:val="2"/>
        </w:numPr>
        <w:spacing w:after="235" w:line="222" w:lineRule="auto"/>
        <w:ind w:right="18" w:hanging="5"/>
      </w:pPr>
      <w:r>
        <w:rPr>
          <w:sz w:val="24"/>
        </w:rPr>
        <w:lastRenderedPageBreak/>
        <w:t>analizy w zakresie potrzeby przeprowadzenia oceny oddziaływania przedsięwzięcia na środowisko - w przypadku przedsięwzięcia, o którym mowa w art. 59 ust. 1 pkt 2,</w:t>
      </w:r>
    </w:p>
    <w:p w14:paraId="709A4AD8" w14:textId="77777777" w:rsidR="00C32471" w:rsidRDefault="0016363D">
      <w:pPr>
        <w:numPr>
          <w:ilvl w:val="0"/>
          <w:numId w:val="2"/>
        </w:numPr>
        <w:ind w:right="18" w:hanging="5"/>
      </w:pPr>
      <w:r>
        <w:t>ustalenia zakresu raportu o oddziaływaniu przedsięwzięcia na środowisko na podstawie wniosku, o którym mowa w art. 69 ust. 1</w:t>
      </w:r>
    </w:p>
    <w:p w14:paraId="6A3642C4" w14:textId="77777777" w:rsidR="00C32471" w:rsidRDefault="0016363D">
      <w:pPr>
        <w:ind w:left="1493" w:right="13"/>
      </w:pPr>
      <w:r>
        <w:t>- organ właściwy do wydania decyzji o środowiskowych uwarunkowaniach nie jest zobowiązany poprzedzać analizą zgodności lokalizacji przedsięwzięcia z ustaleniami miejscowego planu zagospodarowania przestrzennego.</w:t>
      </w:r>
    </w:p>
    <w:p w14:paraId="3EAC549C" w14:textId="77777777" w:rsidR="00C32471" w:rsidRDefault="0016363D">
      <w:pPr>
        <w:spacing w:after="0"/>
        <w:ind w:left="1493" w:right="13"/>
      </w:pPr>
      <w:r>
        <w:t>Takie rozwiązanie wynika ze specyfiki inwestycji strategicznych, które są realizowane na podstawie ustaw szczególnych (specustaw) i dla których jest wydawana decyzja lokalizacyjna, która jest wiążąca dla organu sporządzającego</w:t>
      </w:r>
    </w:p>
    <w:p w14:paraId="7436C4BA" w14:textId="77777777" w:rsidR="00C32471" w:rsidRDefault="0016363D">
      <w:pPr>
        <w:ind w:left="1493" w:right="13"/>
      </w:pPr>
      <w:r>
        <w:t>m.in. miejscowy plan zagospodarowania przestrzennego („</w:t>
      </w:r>
      <w:proofErr w:type="spellStart"/>
      <w:r>
        <w:t>mpzp</w:t>
      </w:r>
      <w:proofErr w:type="spellEnd"/>
      <w:r>
        <w:t>").</w:t>
      </w:r>
    </w:p>
    <w:p w14:paraId="74260E86" w14:textId="77777777" w:rsidR="00C32471" w:rsidRDefault="0016363D">
      <w:pPr>
        <w:spacing w:after="172"/>
        <w:ind w:left="1493" w:right="13"/>
      </w:pPr>
      <w:r>
        <w:t xml:space="preserve">Zgodnie z art. 59a ust. 4 pkt 21 ustawy </w:t>
      </w:r>
      <w:proofErr w:type="spellStart"/>
      <w:r>
        <w:t>ocenowej</w:t>
      </w:r>
      <w:proofErr w:type="spellEnd"/>
      <w:r>
        <w:t xml:space="preserve"> za inwestycję strategiczną została uznana inwestycja w zakresie elektrowni szczytowo-pompowej („ESP") realizowana na podstawie ustawy z dnia 14 kwietnia 2023 r. o przygotowaniu i realizacji inwestycji w zakresie elektrowni szczytowo-pompowych oraz inwestycji towarzyszących (Dz. U. z 2023 r. poz. 1113, „specustawa ESP").</w:t>
      </w:r>
    </w:p>
    <w:p w14:paraId="73082DBA" w14:textId="77777777" w:rsidR="00C32471" w:rsidRDefault="0016363D">
      <w:pPr>
        <w:ind w:left="1493" w:right="13"/>
      </w:pPr>
      <w:r>
        <w:t xml:space="preserve">Jednocześnie, przepis nie uwzględnia inwestycji towarzyszącej inwestycji w ESP, jako inwestycji strategicznej (sieć elektroenergetyczna wyprowadzająca moc z ESP), pomimo tego, że inwestycja towarzysząca inwestycji w ESP jest również realizowana na podstawie przepisów specustawy ESP i także dla inwestycji towarzyszącej jest wydawana decyzja lokalizacyjna, która wiąże organy sporządzające </w:t>
      </w:r>
      <w:proofErr w:type="spellStart"/>
      <w:r>
        <w:t>mpzp</w:t>
      </w:r>
      <w:proofErr w:type="spellEnd"/>
      <w:r>
        <w:t>.</w:t>
      </w:r>
    </w:p>
    <w:p w14:paraId="1BCF2CF0" w14:textId="77777777" w:rsidR="00C32471" w:rsidRDefault="0016363D">
      <w:pPr>
        <w:ind w:left="1493" w:right="13"/>
      </w:pPr>
      <w:r>
        <w:t xml:space="preserve">Taki stan prawny prowadzi do tego, że w przypadku inwestycji towarzyszącej inwestycji w ESP, tj. inwestycji w wyprowadzenie mocy z ESP, wymaga się od Regionalnego Dyrektora Ochrony Środowiska („RDOŚ"), przed właściwym rozpoczęciem postępowania o wydanie decyzji o środowiskowych uwarunkowaniach, aby weryfikował zgodność przedsięwzięcia z </w:t>
      </w:r>
      <w:proofErr w:type="spellStart"/>
      <w:r>
        <w:t>mpzp</w:t>
      </w:r>
      <w:proofErr w:type="spellEnd"/>
      <w:r>
        <w:t xml:space="preserve">, a w przypadku stwierdzenia niezgodności przedsięwzięcia z </w:t>
      </w:r>
      <w:proofErr w:type="spellStart"/>
      <w:r>
        <w:t>mpzp</w:t>
      </w:r>
      <w:proofErr w:type="spellEnd"/>
      <w:r>
        <w:t xml:space="preserve">, RDOŚ jest zobowiązany do wydania decyzji odmownej. W przypadku nieprzedłożenia </w:t>
      </w:r>
      <w:proofErr w:type="spellStart"/>
      <w:r>
        <w:t>mpzp</w:t>
      </w:r>
      <w:proofErr w:type="spellEnd"/>
      <w:r>
        <w:t>, RDOŚ pozostawi wniosek o wydanie decyzji bez rozpoznania.</w:t>
      </w:r>
    </w:p>
    <w:p w14:paraId="75FBAA1B" w14:textId="77777777" w:rsidR="00C32471" w:rsidRDefault="00C32471">
      <w:pPr>
        <w:sectPr w:rsidR="00C32471">
          <w:headerReference w:type="even" r:id="rId20"/>
          <w:headerReference w:type="default" r:id="rId21"/>
          <w:headerReference w:type="first" r:id="rId22"/>
          <w:pgSz w:w="11866" w:h="16819"/>
          <w:pgMar w:top="283" w:right="1229" w:bottom="739" w:left="812" w:header="708" w:footer="708" w:gutter="0"/>
          <w:cols w:space="708"/>
        </w:sectPr>
      </w:pPr>
    </w:p>
    <w:p w14:paraId="52B9D37B" w14:textId="77777777" w:rsidR="00C32471" w:rsidRDefault="0016363D">
      <w:pPr>
        <w:spacing w:after="1194" w:line="259" w:lineRule="auto"/>
        <w:ind w:left="-278" w:right="0" w:firstLine="0"/>
        <w:jc w:val="left"/>
      </w:pPr>
      <w:r>
        <w:rPr>
          <w:noProof/>
        </w:rPr>
        <w:lastRenderedPageBreak/>
        <w:drawing>
          <wp:inline distT="0" distB="0" distL="0" distR="0" wp14:anchorId="26DD7EF2" wp14:editId="1A5BBFDD">
            <wp:extent cx="941864" cy="253053"/>
            <wp:effectExtent l="0" t="0" r="0" b="0"/>
            <wp:docPr id="21635" name="Picture 2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5" name="Picture 2163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41864" cy="25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2F152" w14:textId="77777777" w:rsidR="00C32471" w:rsidRDefault="0016363D">
      <w:pPr>
        <w:spacing w:after="188"/>
        <w:ind w:left="1493" w:right="13"/>
      </w:pPr>
      <w:r>
        <w:t xml:space="preserve">Taki przepis ustawy </w:t>
      </w:r>
      <w:proofErr w:type="spellStart"/>
      <w:r>
        <w:t>ocenowej</w:t>
      </w:r>
      <w:proofErr w:type="spellEnd"/>
      <w:r>
        <w:t xml:space="preserve"> jest niespójny z przepisami specustawy ESP oraz niezgodny z celami specustawy ESP, która za główny cel miała uproszczenie i przyśpieszenie inwestycji w ESP oraz inwestycji towarzyszących tym inwestycjom, czyli inwestycji polegających na budowie sieci elektroenergetycznych wyprowadzających moc z ESP.</w:t>
      </w:r>
    </w:p>
    <w:p w14:paraId="2C20B640" w14:textId="77777777" w:rsidR="00C32471" w:rsidRDefault="0016363D">
      <w:pPr>
        <w:spacing w:after="228"/>
        <w:ind w:left="1493" w:right="13"/>
      </w:pPr>
      <w:r>
        <w:t xml:space="preserve">Należy wskazać, że zarówno inwestycja w ESP, jak również inwestycja towarzysząca inwestycji ESP jest objęta zakresem specustawy ESP — do inwestycji towarzyszącej ESP przepisy specustawy ESP stosuje się odpowiednio (art. 35 ust. 1 specustawy ESP). Oznacza to, że także dla inwestycji towarzyszącej ESP (sieć wyprowadzająca moc z ESP) wydawana jest decyzja lokalizacyjna, która może być oddzielną decyzją lokalizacyjną bądź lokalizacja inwestycji towarzyszącej będzie wskazywana w decyzji o lokalizacji inwestycji </w:t>
      </w:r>
      <w:r>
        <w:t>w ESP (art. 35 ust. 2 specustawy ESP).</w:t>
      </w:r>
    </w:p>
    <w:p w14:paraId="7DFC7875" w14:textId="77777777" w:rsidR="00C32471" w:rsidRDefault="0016363D">
      <w:pPr>
        <w:ind w:left="1493" w:right="13"/>
      </w:pPr>
      <w:r>
        <w:t xml:space="preserve">Tym samym badanie zgodności lokalizacji inwestycji towarzyszącej ESP z </w:t>
      </w:r>
      <w:proofErr w:type="spellStart"/>
      <w:r>
        <w:t>mpzp</w:t>
      </w:r>
      <w:proofErr w:type="spellEnd"/>
      <w:r>
        <w:t xml:space="preserve"> jest bezprzedmiotowe, bo dla tej inwestycji będzie wydana decyzja lokalizacyjna, która ma pierwszeństwo przed </w:t>
      </w:r>
      <w:proofErr w:type="spellStart"/>
      <w:r>
        <w:t>mpzp</w:t>
      </w:r>
      <w:proofErr w:type="spellEnd"/>
      <w:r>
        <w:t>.</w:t>
      </w:r>
    </w:p>
    <w:p w14:paraId="59A61E15" w14:textId="77777777" w:rsidR="00C32471" w:rsidRDefault="0016363D">
      <w:pPr>
        <w:ind w:left="1493" w:right="77"/>
      </w:pPr>
      <w:r>
        <w:t xml:space="preserve">Potwierdzają to przepisy art. 9 ust. 2 i art. 11 ust. 4 w związku z art. 35 ust. 1 specustawy ESP, które wskazują, że w sprawach dotyczących lokalizacji inwestycji w ESP i lokalizacji inwestycji towarzyszącej ESP nie stosuje się przepisów o planowaniu i zagospodarowaniu przestrzennym, a decyzja lokalizacyjna dotycząca inwestycji w ESP i inwestycji towarzyszącej ESP, jest wiążąca dla organów właściwych do sporządzenia studium uwarunkowań i kierunków zagospodarowania przestrzennego oraz </w:t>
      </w:r>
      <w:proofErr w:type="spellStart"/>
      <w:r>
        <w:t>mpzp</w:t>
      </w:r>
      <w:proofErr w:type="spellEnd"/>
      <w:r>
        <w:t xml:space="preserve"> oraz organów właściwych do wydania decyzji o warunkach zabudowy i zagospodarowania terenu, pozwolenia na budowę, decyzji o ustaleniu lokalizacji linii kolejowej i decyzji o zezwoleniu na realizację inwestycji drogowej.</w:t>
      </w:r>
    </w:p>
    <w:p w14:paraId="54DCF5F4" w14:textId="77777777" w:rsidR="00C32471" w:rsidRDefault="0016363D">
      <w:pPr>
        <w:spacing w:after="120"/>
        <w:ind w:left="1493" w:right="13"/>
      </w:pPr>
      <w:r>
        <w:t xml:space="preserve">Prowadzi to do wniosku, że inwestycja towarzysząca ESP nie musi być zgodna z żadnym aktem prawa miejscowego, w tym przypadku z </w:t>
      </w:r>
      <w:proofErr w:type="spellStart"/>
      <w:r>
        <w:t>mpzp</w:t>
      </w:r>
      <w:proofErr w:type="spellEnd"/>
      <w:r>
        <w:t>, ponieważ jest lokalizowana na podstawie decyzji lokalizacyjnej wydawanej na podstawie specustawy ESP, która jest regulacją szczególną w stosunku do innych aktów prawnych, w tym do ustawy o planowaniu i zagospodarowaniu przestrzennym i w związku z tym stosuje się ją w pierwszej kolejności.</w:t>
      </w:r>
    </w:p>
    <w:p w14:paraId="3BD461D1" w14:textId="77777777" w:rsidR="00C32471" w:rsidRDefault="0016363D">
      <w:pPr>
        <w:ind w:left="1493" w:right="13"/>
      </w:pPr>
      <w:r>
        <w:t xml:space="preserve">Podsumowując, badanie zgodności lokalizacji inwestycji towarzyszącej ESP z </w:t>
      </w:r>
      <w:proofErr w:type="spellStart"/>
      <w:r>
        <w:t>mpzp</w:t>
      </w:r>
      <w:proofErr w:type="spellEnd"/>
      <w:r>
        <w:t xml:space="preserve"> jest niezgodne z przepisami specustawy ESP. W związku z powyższym, postulowana zmiana jest uzasadniona i konieczna dla zapewnienia sprawnego procesu inwestycyjnego inwestycji ESP.</w:t>
      </w:r>
    </w:p>
    <w:p w14:paraId="5DB95009" w14:textId="77777777" w:rsidR="00C32471" w:rsidRDefault="0016363D">
      <w:pPr>
        <w:spacing w:after="0" w:line="259" w:lineRule="auto"/>
        <w:ind w:left="-278" w:right="0" w:firstLine="0"/>
        <w:jc w:val="left"/>
      </w:pPr>
      <w:r>
        <w:rPr>
          <w:noProof/>
        </w:rPr>
        <w:drawing>
          <wp:inline distT="0" distB="0" distL="0" distR="0" wp14:anchorId="4CDC52BB" wp14:editId="3B5EBAC8">
            <wp:extent cx="938816" cy="256038"/>
            <wp:effectExtent l="0" t="0" r="0" b="0"/>
            <wp:docPr id="23522" name="Picture 23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2" name="Picture 2352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38816" cy="25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0638E" w14:textId="77777777" w:rsidR="00C32471" w:rsidRDefault="0016363D">
      <w:pPr>
        <w:pStyle w:val="Nagwek2"/>
      </w:pPr>
      <w:r>
        <w:lastRenderedPageBreak/>
        <w:t>PGE</w:t>
      </w:r>
    </w:p>
    <w:p w14:paraId="263802D9" w14:textId="77777777" w:rsidR="00C32471" w:rsidRDefault="0016363D">
      <w:pPr>
        <w:spacing w:after="247" w:line="243" w:lineRule="auto"/>
        <w:ind w:left="2193" w:right="14" w:hanging="365"/>
      </w:pPr>
      <w:r>
        <w:rPr>
          <w:sz w:val="24"/>
        </w:rPr>
        <w:t xml:space="preserve">b) Art. 72 ust. 1 pkt 29 ustawy z dnia z dnia 3 października 2008 r. o udostępnianiu informacji o środowisku i jego ochronie, udziale </w:t>
      </w:r>
      <w:r>
        <w:rPr>
          <w:sz w:val="24"/>
        </w:rPr>
        <w:t xml:space="preserve">społeczeństwa w ochronie środowiska oraz o ocenach oddziaływania </w:t>
      </w:r>
      <w:r>
        <w:rPr>
          <w:sz w:val="24"/>
        </w:rPr>
        <w:t>na środowisko otrzymuje brzmienie:</w:t>
      </w:r>
    </w:p>
    <w:p w14:paraId="4DD20484" w14:textId="77777777" w:rsidR="00C32471" w:rsidRDefault="0016363D">
      <w:pPr>
        <w:spacing w:after="285"/>
        <w:ind w:left="1493" w:right="13"/>
      </w:pPr>
      <w:r>
        <w:t xml:space="preserve">29) decyzji o ustaleniu lokalizacji inwestycji w zakresie elektrowni </w:t>
      </w:r>
      <w:proofErr w:type="spellStart"/>
      <w:r>
        <w:t>szczytowo</w:t>
      </w:r>
      <w:r>
        <w:t>pompowej</w:t>
      </w:r>
      <w:proofErr w:type="spellEnd"/>
      <w:r>
        <w:t xml:space="preserve"> oraz decyzji o ustaleniu lokalizacji inwestycji towarzyszącej wydawanych na podstawie ustawy z dnia 14 kwietnia 2023 r. o przygotowaniu </w:t>
      </w:r>
      <w:r>
        <w:t xml:space="preserve">i realizacji inwestycji w zakresie elektrowni szczytowo-pompowych oraz inwestycji </w:t>
      </w:r>
      <w:r>
        <w:t>towarzyszących.</w:t>
      </w:r>
    </w:p>
    <w:p w14:paraId="0D0412F3" w14:textId="77777777" w:rsidR="00C32471" w:rsidRDefault="0016363D">
      <w:pPr>
        <w:ind w:left="1493" w:right="13"/>
      </w:pPr>
      <w:r>
        <w:t>Uzasadnienie:</w:t>
      </w:r>
    </w:p>
    <w:p w14:paraId="7057A354" w14:textId="77777777" w:rsidR="00C32471" w:rsidRDefault="0016363D">
      <w:pPr>
        <w:ind w:left="1493" w:right="13"/>
      </w:pPr>
      <w:r>
        <w:t xml:space="preserve">Postulujemy doprecyzowanie przepisu, który ma związek z powyższym pominięciem inwestycji towarzyszącej ESP w ustawie </w:t>
      </w:r>
      <w:proofErr w:type="spellStart"/>
      <w:r>
        <w:t>ocenowej</w:t>
      </w:r>
      <w:proofErr w:type="spellEnd"/>
      <w:r>
        <w:t xml:space="preserve">. W polskim systemie prawnym w przypadku każdej inwestycji, także w przypadku inwestycji prowadzonej na podstawie specustaw, pierwszą decyzją w procesie inwestycyjnym jest decyzja o środowiskowych uwarunkowaniach. W związku z tym, przepis art. 72 ust. 1 pkt 29 ustawy </w:t>
      </w:r>
      <w:proofErr w:type="spellStart"/>
      <w:r>
        <w:t>ocenowej</w:t>
      </w:r>
      <w:proofErr w:type="spellEnd"/>
      <w:r>
        <w:t xml:space="preserve"> powinien uwzględniać decyzję o ustaleniu lokalizacji inwestycji towarzyszącej inwestycji w ESP. Ponadto, wskazujemy, że do wniosku o wydanie decyzji lokalizacyjnej dla inwestycji towarzyszącej ESP, zgodnie z przepisami specusta</w:t>
      </w:r>
      <w:r>
        <w:t>wy ESP, należy przedłożyć decyzję o środowiskowych uwarunkowaniach. Tym samym, nie ulega wątpliwości, że decyzja o środowiskowych uwarunkowaniach musi być uzyskana przez inwestora jako pierwsza.</w:t>
      </w:r>
    </w:p>
    <w:p w14:paraId="6D21D06A" w14:textId="77777777" w:rsidR="00C32471" w:rsidRDefault="0016363D">
      <w:pPr>
        <w:spacing w:after="274"/>
        <w:ind w:left="1493" w:right="13"/>
      </w:pPr>
      <w:r>
        <w:t xml:space="preserve">Jednocześnie wskazujemy, że ustawa </w:t>
      </w:r>
      <w:proofErr w:type="spellStart"/>
      <w:r>
        <w:t>ocenowa</w:t>
      </w:r>
      <w:proofErr w:type="spellEnd"/>
      <w:r>
        <w:t xml:space="preserve"> zawiera omyłkę w numeracji jednostek redakcyjnych przepisu art. 72 ust. 1, ponieważ w przepisie występuje dwukrotnie punkt 29:</w:t>
      </w:r>
    </w:p>
    <w:p w14:paraId="454558EF" w14:textId="77777777" w:rsidR="00C32471" w:rsidRDefault="0016363D">
      <w:pPr>
        <w:ind w:left="1493" w:right="13"/>
      </w:pPr>
      <w:r>
        <w:t xml:space="preserve">„29) decyzji o ustaleniu lokalizacji inwestycji w zakresie elektrowni szczytowo- </w:t>
      </w:r>
      <w:r>
        <w:t xml:space="preserve">pompowej wydawanej na podstawie ustawy z dnia 14 kwietnia 2023 r. </w:t>
      </w:r>
      <w:r>
        <w:t xml:space="preserve">o przygotowaniu i realizacji inwestycji w zakresie elektrowni szczytowo </w:t>
      </w:r>
      <w:r>
        <w:t>- pompowych oraz inwestycji towarzyszących;</w:t>
      </w:r>
    </w:p>
    <w:p w14:paraId="1071AE5B" w14:textId="77777777" w:rsidR="00C32471" w:rsidRDefault="0016363D">
      <w:pPr>
        <w:spacing w:after="1690"/>
        <w:ind w:left="1493" w:right="13"/>
      </w:pPr>
      <w:r>
        <w:t xml:space="preserve">29) decyzji o zezwoleniu na realizację inwestycji w zakresie budowy strzelnic </w:t>
      </w:r>
      <w:r>
        <w:t xml:space="preserve">realizowanych przez uczelnie wydawanej na podstawie ustawy z dnia 7 lipca </w:t>
      </w:r>
      <w:r>
        <w:t>2023 r. o inwestycjach w zakresie budowy strzelnic realizowanych przez uczelnie”.</w:t>
      </w:r>
    </w:p>
    <w:p w14:paraId="743A9141" w14:textId="77777777" w:rsidR="00C32471" w:rsidRDefault="0016363D">
      <w:pPr>
        <w:spacing w:after="370" w:line="259" w:lineRule="auto"/>
        <w:ind w:left="1493" w:right="0" w:hanging="10"/>
        <w:jc w:val="center"/>
      </w:pPr>
      <w:r>
        <w:t>7/ 10</w:t>
      </w:r>
    </w:p>
    <w:p w14:paraId="05E34D4C" w14:textId="77777777" w:rsidR="00C32471" w:rsidRDefault="0016363D">
      <w:pPr>
        <w:spacing w:after="1195" w:line="259" w:lineRule="auto"/>
        <w:ind w:left="-259" w:right="0" w:firstLine="0"/>
        <w:jc w:val="left"/>
      </w:pPr>
      <w:r>
        <w:rPr>
          <w:noProof/>
        </w:rPr>
        <w:lastRenderedPageBreak/>
        <w:drawing>
          <wp:inline distT="0" distB="0" distL="0" distR="0" wp14:anchorId="3C30653F" wp14:editId="27A8EC84">
            <wp:extent cx="947944" cy="252984"/>
            <wp:effectExtent l="0" t="0" r="0" b="0"/>
            <wp:docPr id="25612" name="Picture 25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2" name="Picture 256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47944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918A0" w14:textId="77777777" w:rsidR="00C32471" w:rsidRDefault="0016363D">
      <w:pPr>
        <w:ind w:left="1493" w:right="13"/>
      </w:pPr>
      <w:r>
        <w:t>W związku z powyższym, wnosimy o zmianę numeracji punktu 29 na punkt 30 w przypadku decyzji o zezwoleniu na realizację inwestycji w zakresie budowy strzelnic realizowanych przez uczelnie wydawanej na podstawie ustawy z dnia 7 lipca 2023 r. o inwestycjach w zakresie budowy strzelnic realizowanych przez uczelnie.</w:t>
      </w:r>
    </w:p>
    <w:p w14:paraId="69D29EEB" w14:textId="77777777" w:rsidR="00C32471" w:rsidRDefault="0016363D">
      <w:pPr>
        <w:spacing w:after="99"/>
        <w:ind w:left="2203" w:right="13" w:hanging="350"/>
      </w:pPr>
      <w:r>
        <w:t xml:space="preserve">c) W art. 72 ust. 2 ustawy z dnia z dnia 3 października 2008 r. </w:t>
      </w:r>
      <w:r>
        <w:t xml:space="preserve">o udostępnianiu informacji o środowisku i jego ochronie, udziale </w:t>
      </w:r>
      <w:r>
        <w:t xml:space="preserve">społeczeństwa w ochronie środowiska oraz o ocenach oddziaływania na środowisko po punkcie le) dodaje się punkt </w:t>
      </w:r>
      <w:proofErr w:type="spellStart"/>
      <w:r>
        <w:t>If</w:t>
      </w:r>
      <w:proofErr w:type="spellEnd"/>
      <w:r>
        <w:t>) w brzmieniu:</w:t>
      </w:r>
    </w:p>
    <w:p w14:paraId="502793AF" w14:textId="77777777" w:rsidR="00C32471" w:rsidRDefault="0016363D">
      <w:pPr>
        <w:ind w:left="1493" w:right="13"/>
      </w:pPr>
      <w:proofErr w:type="spellStart"/>
      <w:r>
        <w:t>If</w:t>
      </w:r>
      <w:proofErr w:type="spellEnd"/>
      <w:r>
        <w:t xml:space="preserve">) decyzji, o których mowa w ust. 1 pkt 29, oraz decyzji, o których mowa w art. </w:t>
      </w:r>
      <w:r>
        <w:t xml:space="preserve">14 ust. 1 ustawy z dnia 14 kwietnia 2023 r. o przygotowaniu i realizacji inwestycji </w:t>
      </w:r>
      <w:r>
        <w:t xml:space="preserve">w zakresie elektrowni szczytowo-pompowych oraz inwestycji towarzyszących, o ile zmiana ta nie powoduje zmian uwarunkowań określonych w wydanej decyzji </w:t>
      </w:r>
      <w:r>
        <w:t>o środowiskowych uwarunkowaniach.</w:t>
      </w:r>
    </w:p>
    <w:p w14:paraId="19597326" w14:textId="77777777" w:rsidR="00C32471" w:rsidRDefault="0016363D">
      <w:pPr>
        <w:ind w:left="1493" w:right="13"/>
      </w:pPr>
      <w:r>
        <w:t>Uzasadnienie:</w:t>
      </w:r>
    </w:p>
    <w:p w14:paraId="17A332BA" w14:textId="77777777" w:rsidR="00C32471" w:rsidRDefault="0016363D">
      <w:pPr>
        <w:spacing w:after="229"/>
        <w:ind w:left="1493" w:right="13"/>
      </w:pPr>
      <w:r>
        <w:t xml:space="preserve">Przepis art. 72 ust. 2 ustawy </w:t>
      </w:r>
      <w:proofErr w:type="spellStart"/>
      <w:r>
        <w:t>ocenowej</w:t>
      </w:r>
      <w:proofErr w:type="spellEnd"/>
      <w:r>
        <w:t xml:space="preserve"> określa przypadki zmian w decyzjach inwestycyjnych, które nie powodują konieczności wydania nowej decyzji środowiskowej lub jej zmiany.</w:t>
      </w:r>
    </w:p>
    <w:p w14:paraId="6ADDCCB4" w14:textId="77777777" w:rsidR="00C32471" w:rsidRDefault="0016363D">
      <w:pPr>
        <w:ind w:left="1493" w:right="13"/>
      </w:pPr>
      <w:r>
        <w:t xml:space="preserve">Przepis odnosi się m.in. do decyzji o pozwoleniu na budowę i decyzji lokalizacyjnych wydawanych na podstawie specustaw, np. specustawy przesyłowej (art. 72 ust. 2 pkt le ustawy </w:t>
      </w:r>
      <w:proofErr w:type="spellStart"/>
      <w:r>
        <w:t>ocenowej</w:t>
      </w:r>
      <w:proofErr w:type="spellEnd"/>
      <w:r>
        <w:t>). Oznacza to, że zmiana decyzji lokalizacyjnej dotyczącej strategicznej inwestycji w sieć przesyłową oraz zmiana decyzji lokalizacyjnej dla inwestycji towarzyszącej tej inwestycji oraz zmiana decyzji o pozwoleniu na budowę w przypadku tych inwestycji nie będzie powodowała konieczności uzyskania nowej decyzji o środowiskowych uwarunkowaniach lub jej zmiany jeśli te zmiany nie będą powodowały zmian uwarunkowań określonych w tej decyzji.</w:t>
      </w:r>
    </w:p>
    <w:p w14:paraId="5A030C00" w14:textId="77777777" w:rsidR="00C32471" w:rsidRDefault="0016363D">
      <w:pPr>
        <w:ind w:left="1493" w:right="13"/>
      </w:pPr>
      <w:r>
        <w:t>Celem takiej regulacji było wyeliminowanie konieczności zmian decyzji o środowiskowych uwarunkowaniach, jeżeli po jej wydaniu nastąpiły zmiany w decyzjach inwestycyjnych, które nie mają związku z kwestiami środowiskowymi, aby nie spowalniać procesu inwestycyjnego dodatkowymi wymogami związanymi z uzyskiwaniem decyzji administracyjnych, w szczególności w przypadku inwestycji strategicznych prowadzonych na podstawie specustaw.</w:t>
      </w:r>
    </w:p>
    <w:p w14:paraId="41F04A85" w14:textId="77777777" w:rsidR="00C32471" w:rsidRDefault="0016363D">
      <w:pPr>
        <w:spacing w:after="186"/>
        <w:ind w:left="1493" w:right="13"/>
      </w:pPr>
      <w:r>
        <w:t xml:space="preserve">Przepis art. 72 ust. 2 ustawy </w:t>
      </w:r>
      <w:proofErr w:type="spellStart"/>
      <w:r>
        <w:t>ocenowej</w:t>
      </w:r>
      <w:proofErr w:type="spellEnd"/>
      <w:r>
        <w:t xml:space="preserve"> nie uwzględnia jednak inwestycji i decyzji wydawanych na podstawie specustawy ESP oraz pozwoleń na budowę dla tych</w:t>
      </w:r>
    </w:p>
    <w:p w14:paraId="3A67A716" w14:textId="77777777" w:rsidR="00C32471" w:rsidRDefault="0016363D">
      <w:pPr>
        <w:spacing w:after="0" w:line="259" w:lineRule="auto"/>
        <w:ind w:left="1488" w:right="0" w:firstLine="0"/>
        <w:jc w:val="left"/>
      </w:pPr>
      <w:r>
        <w:rPr>
          <w:noProof/>
        </w:rPr>
        <w:drawing>
          <wp:inline distT="0" distB="0" distL="0" distR="0" wp14:anchorId="16865A80" wp14:editId="3B4A8C1C">
            <wp:extent cx="9144" cy="472440"/>
            <wp:effectExtent l="0" t="0" r="0" b="0"/>
            <wp:docPr id="25611" name="Picture 25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1" name="Picture 2561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1B782" w14:textId="77777777" w:rsidR="00C32471" w:rsidRDefault="00C32471">
      <w:pPr>
        <w:sectPr w:rsidR="00C32471">
          <w:headerReference w:type="even" r:id="rId27"/>
          <w:headerReference w:type="default" r:id="rId28"/>
          <w:headerReference w:type="first" r:id="rId29"/>
          <w:pgSz w:w="11866" w:h="16819"/>
          <w:pgMar w:top="831" w:right="1243" w:bottom="739" w:left="830" w:header="708" w:footer="708" w:gutter="0"/>
          <w:cols w:space="708"/>
        </w:sectPr>
      </w:pPr>
    </w:p>
    <w:p w14:paraId="4C69B8C3" w14:textId="77777777" w:rsidR="00C32471" w:rsidRDefault="0016363D">
      <w:pPr>
        <w:ind w:left="0" w:right="13"/>
      </w:pPr>
      <w:r>
        <w:lastRenderedPageBreak/>
        <w:t xml:space="preserve">inwestycji, pomimo tego, że inwestycje w ESP znajdują się w katalogu inwestycji strategicznych w rozumieniu przepisów ustawy </w:t>
      </w:r>
      <w:proofErr w:type="spellStart"/>
      <w:r>
        <w:t>ocenowej</w:t>
      </w:r>
      <w:proofErr w:type="spellEnd"/>
      <w:r>
        <w:t>. Konsekwencją takiego stanu prawnego w procesie inwestycyjnym może być sytuacja, że organ właściwy do wydania decyzji o środowiskowych uwarunkowaniach będzie uznawał, że każda zmiana decyzji lokalizacyjnej dla ESP lub inwestycji towarzyszącej oraz pozwolenia na budowę ESP lub inwestycji towarzyszącej (sieci wyprowadzającej moc z ESP) będzie wymagała wydania nowej decyzji o środowiskowych uwarunkowaniach lub jej zmiany, co będzie skutkowało koniecznością wstrzymania prowadzonych inwestycji oraz isto</w:t>
      </w:r>
      <w:r>
        <w:t>tnym ich opóźnieniem.</w:t>
      </w:r>
    </w:p>
    <w:p w14:paraId="0EE1F612" w14:textId="77777777" w:rsidR="00C32471" w:rsidRDefault="0016363D">
      <w:pPr>
        <w:spacing w:after="817"/>
        <w:ind w:left="19" w:right="13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5EDDD13" wp14:editId="0146DFA6">
            <wp:simplePos x="0" y="0"/>
            <wp:positionH relativeFrom="page">
              <wp:posOffset>344552</wp:posOffset>
            </wp:positionH>
            <wp:positionV relativeFrom="page">
              <wp:posOffset>542557</wp:posOffset>
            </wp:positionV>
            <wp:extent cx="939133" cy="259086"/>
            <wp:effectExtent l="0" t="0" r="0" b="0"/>
            <wp:wrapTopAndBottom/>
            <wp:docPr id="27629" name="Picture 27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9" name="Picture 2762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39133" cy="25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 związku z tym proponujemy, aby inwestycje i decyzje wydawane na podstawie specustawy ESP oraz pozwolenia na budowę tych inwestycji były traktowane analogicznie, jak inwestycje prowadzone na podstawie innych specustaw, poprzez przesądzenie, że zmiany decyzji lokalizacyjnych i pozwoleń na budowę dla ESP i inwestycji towarzyszących ESP niepowodujące zmian warunków określonych w decyzji o środowiskowych uwarunkowaniach nie będą powodowały konieczności ponownego uzyskania decyzji </w:t>
      </w:r>
      <w:r>
        <w:t xml:space="preserve">o </w:t>
      </w:r>
      <w:r>
        <w:t>środowiskowych uwarunkowania</w:t>
      </w:r>
      <w:r>
        <w:t>ch lub konieczności jej zmiany.</w:t>
      </w:r>
    </w:p>
    <w:p w14:paraId="0DA9D33B" w14:textId="77777777" w:rsidR="00C32471" w:rsidRDefault="0016363D">
      <w:pPr>
        <w:spacing w:after="228" w:line="216" w:lineRule="auto"/>
        <w:ind w:left="744" w:right="4" w:hanging="648"/>
      </w:pPr>
      <w:r>
        <w:rPr>
          <w:sz w:val="28"/>
        </w:rPr>
        <w:t xml:space="preserve">11. </w:t>
      </w:r>
      <w:r>
        <w:rPr>
          <w:sz w:val="28"/>
        </w:rPr>
        <w:t>Zmiana w ustawie z dnia 14 kwietnia 2023 r. o przygotowaniu i realizacji inwestycji w zakresie elektrowni szczytowo-pompowych oraz inwestycji towarzyszących — zmiana w art. 11 ust. 4 ustawy: zamiana „studium uwarunkowań i kierunków zagospodarowania przestrzennego” na „plan ogólny gminy”</w:t>
      </w:r>
    </w:p>
    <w:p w14:paraId="471924DF" w14:textId="77777777" w:rsidR="00C32471" w:rsidRDefault="0016363D">
      <w:pPr>
        <w:ind w:left="24" w:right="13"/>
      </w:pPr>
      <w:r>
        <w:t xml:space="preserve">W ustawie z dnia 14 kwietnia 2023 r. o przygotowaniu i realizacji inwestycji w zakresie elektrowni szczytowo-pompowych oraz inwestycji towarzyszących (Dz.U. z 2023 r. poz. 1113) w art. 11 w ust. 4 wyrazy „studium uwarunkowań </w:t>
      </w:r>
      <w:r>
        <w:t>i kierunków zagospodarowania przestrzennego” zastępuje się wyrazami „planu ogólnego gminy”</w:t>
      </w:r>
    </w:p>
    <w:p w14:paraId="2AA85FD2" w14:textId="77777777" w:rsidR="00C32471" w:rsidRDefault="0016363D">
      <w:pPr>
        <w:ind w:left="24" w:right="13"/>
      </w:pPr>
      <w:r>
        <w:t xml:space="preserve">Postulujemy wprowadzenie zmiany w ustawie z dnia 14 kwietnia 2023 r. o przygotowaniu i realizacji inwestycji w zakresie elektrowni </w:t>
      </w:r>
      <w:proofErr w:type="spellStart"/>
      <w:r>
        <w:t>szczytowopompowych</w:t>
      </w:r>
      <w:proofErr w:type="spellEnd"/>
      <w:r>
        <w:t xml:space="preserve"> oraz inwestycji towarzyszących (Dz.U. z 2023 r. poz. 1113, „specustawa ESP") poprzez dostosowanie przepisów specustawy ESP do zmiany wprowadzonej ustawą z dnia 7 lipca 2023 r. o zmianie ustawy o planowaniu i zagospodarowaniu przestrzennym oraz niektórych innych ustaw (Dz.U. z 2023 r. poz. 1688).</w:t>
      </w:r>
    </w:p>
    <w:p w14:paraId="1870C8D8" w14:textId="77777777" w:rsidR="00C32471" w:rsidRDefault="0016363D">
      <w:pPr>
        <w:spacing w:after="125"/>
        <w:ind w:left="14" w:right="13"/>
      </w:pPr>
      <w:r>
        <w:t xml:space="preserve">Ustawa z dnia 7 lipca 2023 r. zmieniająca ustawę o planowaniu i zagospodarowaniu przestrzennym wprowadziła nową instytucję planu ogólnego gminy, która zastąpiła studium uwarunkowań i kierunków zagospodarowania przestrzennego. Zgodnie z art. 65 ust. 1 ww. ustawy zmieniającej, studia uwarunkowań i kierunków zagospodarowania przestrzennego gmin zachowują moc do dnia wejścia w życie planu ogólnego gminy w danej gminie, jednak nie </w:t>
      </w:r>
      <w:r>
        <w:lastRenderedPageBreak/>
        <w:t>dłużej niż do dnia 31 grudnia 2025 r., i stosuje się do nich przepisy dotychczasowe.</w:t>
      </w:r>
    </w:p>
    <w:p w14:paraId="39D5B9DF" w14:textId="77777777" w:rsidR="00C32471" w:rsidRDefault="0016363D">
      <w:pPr>
        <w:spacing w:after="168"/>
        <w:ind w:left="19" w:right="13"/>
      </w:pPr>
      <w:r>
        <w:t>Ustawa ta zawierała przepisy zmieniające większość specustaw inwestycyjnych dostosowujące je do wskazanej zmiany z pominięciem jednak specustawy ESP.</w:t>
      </w:r>
    </w:p>
    <w:p w14:paraId="57486AB7" w14:textId="77777777" w:rsidR="00C32471" w:rsidRDefault="0016363D">
      <w:pPr>
        <w:spacing w:after="6950"/>
        <w:ind w:left="14" w:right="13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16FE8A32" wp14:editId="3E085E0E">
            <wp:simplePos x="0" y="0"/>
            <wp:positionH relativeFrom="page">
              <wp:posOffset>347601</wp:posOffset>
            </wp:positionH>
            <wp:positionV relativeFrom="page">
              <wp:posOffset>542557</wp:posOffset>
            </wp:positionV>
            <wp:extent cx="942182" cy="256038"/>
            <wp:effectExtent l="0" t="0" r="0" b="0"/>
            <wp:wrapTopAndBottom/>
            <wp:docPr id="28987" name="Picture 28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7" name="Picture 2898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42182" cy="256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Konieczne jest dostosowanie przepisów specustawy ESP do zmian wprowadzonych ustawą z dnia 7 lipca 2023 r. poprzez doprecyzowanie, że organ właściwy do sporządzenia planu ogólnego gminy jest związany decyzją o ustaleniu lokalizacji inwestycji ESP oraz decyzją o ustaleniu lokalizacji inwestycji towarzyszącej inwestycji ESP. W przypadku wejścia w życie planu ogólnego gminy na terenie planowanej inwestycji w ESP i braku dostosowania przepisów specustawy ESP, może dojść do wątpliwości przy interpretacji przepisó</w:t>
      </w:r>
      <w:r>
        <w:t>w przez właściwe organy, a w konsekwencji, przepisy specustawy ESP, które miały uprościć i przyśpieszyć proces inwestycyjny nie znajdą zastosowania.</w:t>
      </w:r>
    </w:p>
    <w:p w14:paraId="1032CBFF" w14:textId="77777777" w:rsidR="00C32471" w:rsidRDefault="0016363D">
      <w:pPr>
        <w:spacing w:after="370" w:line="259" w:lineRule="auto"/>
        <w:ind w:left="1493" w:right="1522" w:hanging="10"/>
        <w:jc w:val="center"/>
      </w:pPr>
      <w:r>
        <w:t>10 / 10</w:t>
      </w:r>
    </w:p>
    <w:sectPr w:rsidR="00C32471">
      <w:headerReference w:type="even" r:id="rId32"/>
      <w:headerReference w:type="default" r:id="rId33"/>
      <w:headerReference w:type="first" r:id="rId34"/>
      <w:pgSz w:w="11866" w:h="16819"/>
      <w:pgMar w:top="2432" w:right="1244" w:bottom="763" w:left="2276" w:header="11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2528D" w14:textId="77777777" w:rsidR="0016363D" w:rsidRDefault="0016363D">
      <w:pPr>
        <w:spacing w:after="0" w:line="240" w:lineRule="auto"/>
      </w:pPr>
      <w:r>
        <w:separator/>
      </w:r>
    </w:p>
  </w:endnote>
  <w:endnote w:type="continuationSeparator" w:id="0">
    <w:p w14:paraId="21BF143D" w14:textId="77777777" w:rsidR="0016363D" w:rsidRDefault="0016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F07A1" w14:textId="77777777" w:rsidR="0016363D" w:rsidRDefault="0016363D">
      <w:pPr>
        <w:spacing w:after="0" w:line="240" w:lineRule="auto"/>
      </w:pPr>
      <w:r>
        <w:separator/>
      </w:r>
    </w:p>
  </w:footnote>
  <w:footnote w:type="continuationSeparator" w:id="0">
    <w:p w14:paraId="5001CFF3" w14:textId="77777777" w:rsidR="0016363D" w:rsidRDefault="0016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D26D5" w14:textId="77777777" w:rsidR="00C32471" w:rsidRDefault="00C3247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CBB06" w14:textId="77777777" w:rsidR="00C32471" w:rsidRDefault="00C32471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62CA7" w14:textId="77777777" w:rsidR="00C32471" w:rsidRDefault="00C32471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FBD8E" w14:textId="77777777" w:rsidR="00C32471" w:rsidRDefault="0016363D">
    <w:pPr>
      <w:spacing w:after="0" w:line="259" w:lineRule="auto"/>
      <w:ind w:left="-10" w:right="0" w:firstLine="0"/>
      <w:jc w:val="left"/>
    </w:pPr>
    <w:proofErr w:type="spellStart"/>
    <w:r>
      <w:rPr>
        <w:sz w:val="50"/>
      </w:rPr>
      <w:t>pGE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8D2D8" w14:textId="77777777" w:rsidR="00C32471" w:rsidRDefault="00C32471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128BA" w14:textId="77777777" w:rsidR="00C32471" w:rsidRDefault="0016363D">
    <w:pPr>
      <w:spacing w:after="0" w:line="259" w:lineRule="auto"/>
      <w:ind w:left="-10" w:right="0" w:firstLine="0"/>
      <w:jc w:val="left"/>
    </w:pPr>
    <w:proofErr w:type="spellStart"/>
    <w:r>
      <w:rPr>
        <w:sz w:val="50"/>
      </w:rPr>
      <w:t>pGE</w:t>
    </w:r>
    <w:proofErr w:type="spellEnd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110D7" w14:textId="77777777" w:rsidR="00C32471" w:rsidRDefault="0016363D">
    <w:pPr>
      <w:spacing w:after="0" w:line="259" w:lineRule="auto"/>
      <w:ind w:left="-1455" w:right="0" w:firstLine="0"/>
      <w:jc w:val="left"/>
    </w:pPr>
    <w:proofErr w:type="spellStart"/>
    <w:r>
      <w:rPr>
        <w:sz w:val="50"/>
      </w:rPr>
      <w:t>pGE</w:t>
    </w:r>
    <w:proofErr w:type="spellEnd"/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36F09" w14:textId="77777777" w:rsidR="00C32471" w:rsidRDefault="0016363D">
    <w:pPr>
      <w:spacing w:after="0" w:line="259" w:lineRule="auto"/>
      <w:ind w:left="-1455" w:right="0" w:firstLine="0"/>
      <w:jc w:val="left"/>
    </w:pPr>
    <w:proofErr w:type="spellStart"/>
    <w:r>
      <w:rPr>
        <w:sz w:val="50"/>
      </w:rPr>
      <w:t>pGE</w:t>
    </w:r>
    <w:proofErr w:type="spellEnd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2C8B7" w14:textId="77777777" w:rsidR="00C32471" w:rsidRDefault="0016363D">
    <w:pPr>
      <w:spacing w:after="0" w:line="259" w:lineRule="auto"/>
      <w:ind w:left="-1455" w:right="0" w:firstLine="0"/>
      <w:jc w:val="left"/>
    </w:pPr>
    <w:proofErr w:type="spellStart"/>
    <w:r>
      <w:rPr>
        <w:sz w:val="50"/>
      </w:rPr>
      <w:t>pGE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A60C0A"/>
    <w:multiLevelType w:val="hybridMultilevel"/>
    <w:tmpl w:val="02C24B44"/>
    <w:lvl w:ilvl="0" w:tplc="C884F656">
      <w:start w:val="1"/>
      <w:numFmt w:val="decimal"/>
      <w:lvlText w:val="%1)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961CB4">
      <w:start w:val="1"/>
      <w:numFmt w:val="lowerLetter"/>
      <w:lvlText w:val="%2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9668F6">
      <w:start w:val="1"/>
      <w:numFmt w:val="lowerRoman"/>
      <w:lvlText w:val="%3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7CFA16">
      <w:start w:val="1"/>
      <w:numFmt w:val="decimal"/>
      <w:lvlText w:val="%4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02F7C0">
      <w:start w:val="1"/>
      <w:numFmt w:val="lowerLetter"/>
      <w:lvlText w:val="%5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883E5C">
      <w:start w:val="1"/>
      <w:numFmt w:val="lowerRoman"/>
      <w:lvlText w:val="%6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023FCA">
      <w:start w:val="1"/>
      <w:numFmt w:val="decimal"/>
      <w:lvlText w:val="%7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02BB32">
      <w:start w:val="1"/>
      <w:numFmt w:val="lowerLetter"/>
      <w:lvlText w:val="%8"/>
      <w:lvlJc w:val="left"/>
      <w:pPr>
        <w:ind w:left="7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6C4D24">
      <w:start w:val="1"/>
      <w:numFmt w:val="lowerRoman"/>
      <w:lvlText w:val="%9"/>
      <w:lvlJc w:val="left"/>
      <w:pPr>
        <w:ind w:left="7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6B4567"/>
    <w:multiLevelType w:val="hybridMultilevel"/>
    <w:tmpl w:val="69EAA97C"/>
    <w:lvl w:ilvl="0" w:tplc="85824740">
      <w:start w:val="2"/>
      <w:numFmt w:val="decimal"/>
      <w:lvlText w:val="%1)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6C55B6">
      <w:start w:val="1"/>
      <w:numFmt w:val="lowerLetter"/>
      <w:lvlText w:val="%2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F2B062">
      <w:start w:val="1"/>
      <w:numFmt w:val="lowerRoman"/>
      <w:lvlText w:val="%3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608C32">
      <w:start w:val="1"/>
      <w:numFmt w:val="decimal"/>
      <w:lvlText w:val="%4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265550">
      <w:start w:val="1"/>
      <w:numFmt w:val="lowerLetter"/>
      <w:lvlText w:val="%5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A014E6">
      <w:start w:val="1"/>
      <w:numFmt w:val="lowerRoman"/>
      <w:lvlText w:val="%6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E49D10">
      <w:start w:val="1"/>
      <w:numFmt w:val="decimal"/>
      <w:lvlText w:val="%7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C2130E">
      <w:start w:val="1"/>
      <w:numFmt w:val="lowerLetter"/>
      <w:lvlText w:val="%8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30C3CA">
      <w:start w:val="1"/>
      <w:numFmt w:val="lowerRoman"/>
      <w:lvlText w:val="%9"/>
      <w:lvlJc w:val="left"/>
      <w:pPr>
        <w:ind w:left="7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1192606">
    <w:abstractNumId w:val="0"/>
  </w:num>
  <w:num w:numId="2" w16cid:durableId="483476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471"/>
    <w:rsid w:val="0016363D"/>
    <w:rsid w:val="00AD64B4"/>
    <w:rsid w:val="00C3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E02E"/>
  <w15:docId w15:val="{277DFBF1-565B-4919-BE92-47E744DD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3" w:line="227" w:lineRule="auto"/>
      <w:ind w:left="1507" w:right="9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42" w:line="286" w:lineRule="auto"/>
      <w:ind w:left="39" w:hanging="10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76" w:line="259" w:lineRule="auto"/>
      <w:outlineLvl w:val="1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4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eader" Target="header9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6.jpg"/><Relationship Id="rId33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1.xm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5.jpg"/><Relationship Id="rId32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4.jpg"/><Relationship Id="rId28" Type="http://schemas.openxmlformats.org/officeDocument/2006/relationships/header" Target="header5.xml"/><Relationship Id="rId36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19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3.xml"/><Relationship Id="rId27" Type="http://schemas.openxmlformats.org/officeDocument/2006/relationships/header" Target="header4.xml"/><Relationship Id="rId30" Type="http://schemas.openxmlformats.org/officeDocument/2006/relationships/image" Target="media/image18.jpg"/><Relationship Id="rId35" Type="http://schemas.openxmlformats.org/officeDocument/2006/relationships/fontTable" Target="fontTable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2880</Words>
  <Characters>17283</Characters>
  <Application>Microsoft Office Word</Application>
  <DocSecurity>0</DocSecurity>
  <Lines>144</Lines>
  <Paragraphs>40</Paragraphs>
  <ScaleCrop>false</ScaleCrop>
  <Company/>
  <LinksUpToDate>false</LinksUpToDate>
  <CharactersWithSpaces>20123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Software</dc:creator>
  <cp:keywords/>
  <cp:lastModifiedBy>Wierzbicka Sylwia</cp:lastModifiedBy>
  <cp:revision>2</cp:revision>
  <dcterms:created xsi:type="dcterms:W3CDTF">2024-09-06T09:59:00Z</dcterms:created>
  <dcterms:modified xsi:type="dcterms:W3CDTF">2024-09-06T09:59:00Z</dcterms:modified>
</cp:coreProperties>
</file>