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240" w:type="dxa"/>
        <w:tblInd w:w="0" w:type="dxa"/>
        <w:tblCellMar>
          <w:top w:w="0" w:type="dxa"/>
          <w:left w:w="0" w:type="dxa"/>
          <w:bottom w:w="0" w:type="dxa"/>
          <w:right w:w="0" w:type="dxa"/>
        </w:tblCellMar>
        <w:tblLook w:val="04A0" w:firstRow="1" w:lastRow="0" w:firstColumn="1" w:lastColumn="0" w:noHBand="0" w:noVBand="1"/>
      </w:tblPr>
      <w:tblGrid>
        <w:gridCol w:w="4061"/>
        <w:gridCol w:w="6179"/>
      </w:tblGrid>
      <w:tr w:rsidR="00B54150" w14:paraId="2CF0BB3B" w14:textId="77777777">
        <w:trPr>
          <w:trHeight w:val="2528"/>
        </w:trPr>
        <w:tc>
          <w:tcPr>
            <w:tcW w:w="4061" w:type="dxa"/>
            <w:tcBorders>
              <w:top w:val="nil"/>
              <w:left w:val="nil"/>
              <w:bottom w:val="nil"/>
              <w:right w:val="nil"/>
            </w:tcBorders>
          </w:tcPr>
          <w:p w14:paraId="4823731B" w14:textId="77777777" w:rsidR="00B54150" w:rsidRDefault="00903598">
            <w:pPr>
              <w:spacing w:after="0" w:line="259" w:lineRule="auto"/>
              <w:ind w:left="108" w:right="0" w:firstLine="0"/>
              <w:jc w:val="left"/>
            </w:pPr>
            <w:r>
              <w:rPr>
                <w:color w:val="808080"/>
                <w:sz w:val="96"/>
              </w:rPr>
              <w:t xml:space="preserve">§ </w:t>
            </w:r>
          </w:p>
          <w:p w14:paraId="1303B1D2" w14:textId="77777777" w:rsidR="00B54150" w:rsidRDefault="00903598">
            <w:pPr>
              <w:spacing w:after="33" w:line="259" w:lineRule="auto"/>
              <w:ind w:left="0" w:right="0" w:firstLine="0"/>
              <w:jc w:val="left"/>
            </w:pPr>
            <w:r>
              <w:t xml:space="preserve">Radca Prawny Tomasz Waszkiewicz </w:t>
            </w:r>
          </w:p>
          <w:p w14:paraId="0FC9850E" w14:textId="77777777" w:rsidR="00B54150" w:rsidRDefault="00903598">
            <w:pPr>
              <w:spacing w:after="0" w:line="259" w:lineRule="auto"/>
              <w:ind w:left="0" w:right="0" w:firstLine="0"/>
              <w:jc w:val="left"/>
            </w:pPr>
            <w:r>
              <w:rPr>
                <w:rFonts w:ascii="Arial Unicode MS" w:eastAsia="Arial Unicode MS" w:hAnsi="Arial Unicode MS" w:cs="Arial Unicode MS"/>
              </w:rPr>
              <w:t xml:space="preserve">                           </w:t>
            </w:r>
          </w:p>
          <w:p w14:paraId="410233AA" w14:textId="77777777" w:rsidR="00B54150" w:rsidRDefault="00903598">
            <w:pPr>
              <w:spacing w:after="0" w:line="259" w:lineRule="auto"/>
              <w:ind w:left="0" w:right="0" w:firstLine="0"/>
              <w:jc w:val="left"/>
            </w:pPr>
            <w:r>
              <w:rPr>
                <w:rFonts w:ascii="Arial Unicode MS" w:eastAsia="Arial Unicode MS" w:hAnsi="Arial Unicode MS" w:cs="Arial Unicode MS"/>
              </w:rPr>
              <w:t xml:space="preserve">             </w:t>
            </w:r>
          </w:p>
        </w:tc>
        <w:tc>
          <w:tcPr>
            <w:tcW w:w="6179" w:type="dxa"/>
            <w:tcBorders>
              <w:top w:val="nil"/>
              <w:left w:val="nil"/>
              <w:bottom w:val="nil"/>
              <w:right w:val="nil"/>
            </w:tcBorders>
          </w:tcPr>
          <w:p w14:paraId="0C84E8D6" w14:textId="77777777" w:rsidR="00B54150" w:rsidRDefault="00903598">
            <w:pPr>
              <w:spacing w:after="33" w:line="259" w:lineRule="auto"/>
              <w:ind w:left="0" w:right="62" w:firstLine="0"/>
              <w:jc w:val="right"/>
            </w:pPr>
            <w:r>
              <w:rPr>
                <w:color w:val="808080"/>
              </w:rPr>
              <w:t xml:space="preserve">Radca Prawny Tomasz Waszkiewicz </w:t>
            </w:r>
          </w:p>
          <w:p w14:paraId="61E518AE" w14:textId="77777777" w:rsidR="00B54150" w:rsidRDefault="00903598">
            <w:pPr>
              <w:spacing w:after="0" w:line="259" w:lineRule="auto"/>
              <w:ind w:left="0" w:right="0" w:firstLine="0"/>
              <w:jc w:val="right"/>
            </w:pPr>
            <w:r>
              <w:rPr>
                <w:rFonts w:ascii="Arial Unicode MS" w:eastAsia="Arial Unicode MS" w:hAnsi="Arial Unicode MS" w:cs="Arial Unicode MS"/>
                <w:color w:val="808080"/>
              </w:rPr>
              <w:t xml:space="preserve">                                        </w:t>
            </w:r>
          </w:p>
        </w:tc>
      </w:tr>
    </w:tbl>
    <w:p w14:paraId="2A4B8F1E" w14:textId="77777777" w:rsidR="00B54150" w:rsidRDefault="00903598">
      <w:pPr>
        <w:spacing w:after="30" w:line="264" w:lineRule="auto"/>
        <w:ind w:left="3426" w:right="329" w:hanging="10"/>
        <w:jc w:val="center"/>
      </w:pPr>
      <w:r>
        <w:t xml:space="preserve">Minister Klimatu i Środowiska </w:t>
      </w:r>
    </w:p>
    <w:p w14:paraId="2FBE2CB8" w14:textId="77777777" w:rsidR="00B54150" w:rsidRDefault="00903598">
      <w:pPr>
        <w:spacing w:after="338" w:line="264" w:lineRule="auto"/>
        <w:ind w:left="3426" w:right="0" w:hanging="10"/>
        <w:jc w:val="center"/>
      </w:pPr>
      <w:r>
        <w:t xml:space="preserve">Sz. Pani Paulina </w:t>
      </w:r>
      <w:proofErr w:type="spellStart"/>
      <w:r>
        <w:t>Henning</w:t>
      </w:r>
      <w:proofErr w:type="spellEnd"/>
      <w:r>
        <w:t xml:space="preserve">-Kloska </w:t>
      </w:r>
    </w:p>
    <w:p w14:paraId="2DC658E0" w14:textId="77777777" w:rsidR="00B54150" w:rsidRDefault="00903598">
      <w:pPr>
        <w:spacing w:after="2"/>
        <w:ind w:firstLine="0"/>
      </w:pPr>
      <w:r>
        <w:t xml:space="preserve">Ministerstwo Klimatu i Środowiska ul. Wawelska 52/54 </w:t>
      </w:r>
    </w:p>
    <w:p w14:paraId="2D4C4E89" w14:textId="77777777" w:rsidR="00B54150" w:rsidRDefault="00903598">
      <w:pPr>
        <w:spacing w:after="343" w:line="259" w:lineRule="auto"/>
        <w:ind w:left="1872" w:right="0" w:firstLine="0"/>
        <w:jc w:val="center"/>
      </w:pPr>
      <w:r>
        <w:t xml:space="preserve">00-922 Warszawa </w:t>
      </w:r>
    </w:p>
    <w:p w14:paraId="636DAA58" w14:textId="77777777" w:rsidR="00B54150" w:rsidRDefault="00903598">
      <w:pPr>
        <w:spacing w:after="30" w:line="264" w:lineRule="auto"/>
        <w:ind w:left="3426" w:right="3419" w:hanging="10"/>
        <w:jc w:val="center"/>
      </w:pPr>
      <w:r>
        <w:t xml:space="preserve">PETYCJA </w:t>
      </w:r>
    </w:p>
    <w:p w14:paraId="012CE43D" w14:textId="77777777" w:rsidR="00B54150" w:rsidRDefault="00903598">
      <w:pPr>
        <w:ind w:left="-15" w:right="0"/>
      </w:pPr>
      <w:r>
        <w:t>Działając w imieniu własnym, na podstawie art. 2 oraz art. 4 o Petycjach z dnia 11 lipca 2014 r. (Dz.U. z 2014 r. poz. 1195 ze zm.), zwracam się z petycją zmian w prawie, tj. nowelizacji art. 184d ust. 1 ustawy z dnia 20 lutego 2015 r.</w:t>
      </w:r>
      <w:r>
        <w:rPr>
          <w:color w:val="000000"/>
        </w:rPr>
        <w:t xml:space="preserve"> </w:t>
      </w:r>
      <w:r>
        <w:t>o odnawialnych źródłach energii (dalej „</w:t>
      </w:r>
      <w:r>
        <w:t>Ustawa o OZE</w:t>
      </w:r>
      <w:r>
        <w:t xml:space="preserve">”), poprzez zmianę terminu na dostarczenie energii elektrycznej po raz pierwszy do sieci wskazanego w tym ustępie z dnia 16 lipca 2024 r. na dzień 16 lipca 2027 r. </w:t>
      </w:r>
    </w:p>
    <w:p w14:paraId="323CABB6" w14:textId="77777777" w:rsidR="00B54150" w:rsidRDefault="00903598">
      <w:pPr>
        <w:ind w:left="-15" w:right="0"/>
      </w:pPr>
      <w:r>
        <w:t>Artykuł 184d został dodany do Ustawy o OZE na mocy ustawy z dnia 19 lipca 2019 r.  o zmianie ustawy o odnawialnych źródłach energii oraz niektórych innych ustaw (Dz.U. z 2019 r. poz. 1524). Uzasadnieniem nowelizacji była „</w:t>
      </w:r>
      <w:r>
        <w:t>konieczność zapewnienia możliwości realizacji inwestycji mogących wziąć udział w tegorocznych i przyszłorocznych aukcjach</w:t>
      </w:r>
      <w:r>
        <w:t>.” Następnie termin wskazany w art. 184d ust. 1 był wydłużony ustawą z dnia 16 kwietnia 2020 r. o szczególnych instrumentach wsparcia w związku z rozprzestrzenianiem się wirusa SARS-CoV-2 (Dz.U. z 2020 r. poz. 695). Kolejna nowelizacja na podstawie ustawy  z dnia 9 czerwca 2022 r. o zmianie ustawy - Prawo ochrony środowiska oraz niektórych innych ustaw (Dz.U. z 2022 r. poz. 1260) ustaliła</w:t>
      </w:r>
      <w:r>
        <w:t xml:space="preserve"> termin na dostarczenie energii elektrycznej po raz pierwszy do sieci do dnia 16 lipca 2024 r. </w:t>
      </w:r>
    </w:p>
    <w:p w14:paraId="5C943DC2" w14:textId="77777777" w:rsidR="00B54150" w:rsidRDefault="00903598">
      <w:pPr>
        <w:spacing w:after="362"/>
        <w:ind w:left="-15" w:right="0"/>
      </w:pPr>
      <w:r>
        <w:t xml:space="preserve">W chwili obecnej, wszyscy operatorzy sieci dystrybucyjnych w Polsce, w szczególności Energa-Operator S.A. czy PGE Dystrybucja S.A., stoją na stanowisku, że termin 16 lipca 2024 r. jest terminem ustawowym, a operator nie jest umocowany do wydłużenia tego terminu, ponad termin wskazany w ustawie. Powtarzającym się argumentem jest to, że skoro termin ten został ustalony w drodze ustawy, to operator nie ma legitymacji do przedłużenia tego terminu, a samo przedłużenie byłoby niezgodne z interesem ustawodawcy. </w:t>
      </w:r>
    </w:p>
    <w:p w14:paraId="3E121C3F" w14:textId="77777777" w:rsidR="00B54150" w:rsidRDefault="00903598">
      <w:pPr>
        <w:spacing w:after="2" w:line="322" w:lineRule="auto"/>
        <w:ind w:left="3168" w:right="0" w:hanging="3134"/>
        <w:jc w:val="left"/>
      </w:pPr>
      <w:r>
        <w:rPr>
          <w:color w:val="808080"/>
          <w:sz w:val="16"/>
        </w:rPr>
        <w:t xml:space="preserve">________________________________________________________________________________________________________________ Radca Prawny Tomasz Waszkiewicz </w:t>
      </w:r>
    </w:p>
    <w:p w14:paraId="57D27A19" w14:textId="77777777" w:rsidR="00B54150" w:rsidRDefault="00903598">
      <w:pPr>
        <w:spacing w:after="0" w:line="259" w:lineRule="auto"/>
        <w:ind w:left="2323" w:right="0" w:firstLine="0"/>
        <w:jc w:val="left"/>
      </w:pPr>
      <w:r>
        <w:rPr>
          <w:rFonts w:ascii="Arial Unicode MS" w:eastAsia="Arial Unicode MS" w:hAnsi="Arial Unicode MS" w:cs="Arial Unicode MS"/>
          <w:color w:val="808080"/>
          <w:sz w:val="16"/>
        </w:rPr>
        <w:t xml:space="preserve">                                                          </w:t>
      </w:r>
    </w:p>
    <w:p w14:paraId="40A2E96C" w14:textId="77777777" w:rsidR="00B54150" w:rsidRDefault="00903598">
      <w:pPr>
        <w:ind w:left="-15" w:right="0"/>
      </w:pPr>
      <w:r>
        <w:t xml:space="preserve">Jest to argumentacja chybiona. Funkcją regulacji zawartej w art. 184d Ustawy o OZE jest umożliwienie realizacji jak największej liczby instalacji odnawialnych źródeł energii, dla których zostały zawarte umowy przyłączeniowe, a w konsekwencji zwiększanie udziału energii z OZE w całkowitym zużyciu energii brutto. Jest to artykuł kierowany do operatorów nakazujący im przedłużenie </w:t>
      </w:r>
      <w:r>
        <w:lastRenderedPageBreak/>
        <w:t xml:space="preserve">tych terminów. Jednakże powyższy przepis nie wprowadza jakichkolwiek ograniczeń w zakresie przedłużania terminów wynikających z umów przyłączeniowych na okres dłuższy niż do dnia 16 lipca 2024 r. Umowy o przyłączenie do sieci elektroenergetycznej zawierane są na warunkach rynkowych, i operator może kształtować ich treść na zasadzie swobody umów, kierując się z jednej strony interesem ekonomicznym, a z drugiej strony dążeniem do realizacji zadań przewidzianych w art. 9c Prawa Energetycznego. </w:t>
      </w:r>
    </w:p>
    <w:p w14:paraId="44E1B3FE" w14:textId="77777777" w:rsidR="00B54150" w:rsidRDefault="00903598">
      <w:pPr>
        <w:ind w:left="-15" w:right="0"/>
      </w:pPr>
      <w:r>
        <w:t>Na skutek stanowiska operatorów, kilka inwestycji, które obsługiwałem ze strony inwestorów w roku 2023, nie mogły się rozpocząć. Banki finansujące inwestycje, odmawiały udzielenia finansowania, ze względu na zbyt krótki termin określony w umowie przyłączeniowej dostarczenia energii elektrycznej po raz pierwszy, w kontekście planowanego terminu dostawy i montażu elektrowni wiatrowych. Banki stawiały warunek udzielenia finansowania w postaci przedłużenia wskazanego terminu w umowie przyłączeniowej. Okazało si</w:t>
      </w:r>
      <w:r>
        <w:t>ę to jednak niemożliwe, ze względu na stanowisko operatorów opisane powyżej. Realizacja każdej z inwestycji, które były objęte hipotezą art. 184d Ustawy o OZE, nie rozpoczęła się do dnia dzisiejszego, ze względu na stanowisko operatorów. Podtrzymywali oni to stanowisko również pomimo bezpośrednich zapewnień banków o udzieleniu finansowania inwestycji, po przesunięciu terminu przyłączenia i dostarczenia energii. Oczywistym jest, że przy tej skali inwestycji, inwestor prywatny będzie się posiłkował finansowan</w:t>
      </w:r>
      <w:r>
        <w:t xml:space="preserve">iem. Natomiast pozyskanie finansowania, a tym samym realizacja inwestycji, stała się na ten moment niemożliwa z powodu stanowiska operatorów. </w:t>
      </w:r>
    </w:p>
    <w:p w14:paraId="21C2F65C" w14:textId="77777777" w:rsidR="00B54150" w:rsidRDefault="00903598">
      <w:pPr>
        <w:ind w:left="-15" w:right="0"/>
      </w:pPr>
      <w:r>
        <w:t>Zwracam uwagę, że średni proces realizacji inwestycji w zakresie energetyki wiatrowej trwa nawet kilkanaście lat. Oznacza to, że uwolnienie obecnych mocy przyłączeniowych, przyznanych na podstawie umów przyłączeniowych objętych hipotezą art. 184d Ustawy o OZE, spowolni realizacje inwestycji w zakresie elektrowni wiatrowych. Zgodnie bowiem z art. 7 ust. 8d Ustawy z dnia 10 kwietnia 1997 r. Prawo Energetyczne (Dz.U. Nr 54, poz. 348 ze zm.) do uzyskania warunków przyłączenia dla przyłączenia elektrowni wiatrow</w:t>
      </w:r>
      <w:r>
        <w:t xml:space="preserve">ej lub fotowoltaicznej, konieczne jest wyłącznie przedłożenie wypisu i wyrysu z miejscowego planu zagospodarowania przestrzennego, a w przypadku braku takiego planu, decyzji o warunkach zabudowy i zagospodarowania terenu dla nieruchomości określonej we wniosku, jeżeli jest ona wymagana na podstawie przepisów o planowaniu i zagospodarowaniu przestrzennym oraz tytułu prawnego do gruntu. </w:t>
      </w:r>
    </w:p>
    <w:p w14:paraId="4F71EE27" w14:textId="77777777" w:rsidR="00B54150" w:rsidRDefault="00903598">
      <w:pPr>
        <w:ind w:left="-15" w:right="0"/>
      </w:pPr>
      <w:r>
        <w:t xml:space="preserve">Wystarczy bowiem uchwalony miejscowy plan zagospodarowania przestrzennego oraz tytuł prawny do nieruchomości, do pozyskania warunków przyłączenia dla projektu, który jest we wczesnej fazie </w:t>
      </w:r>
      <w:proofErr w:type="spellStart"/>
      <w:r>
        <w:t>developmentu</w:t>
      </w:r>
      <w:proofErr w:type="spellEnd"/>
      <w:r>
        <w:t xml:space="preserve"> i który nie posiada nic więcej niż tytuł prawny do nieruchomości, a w szczególności nie posiada jakiegokolwiek pozwolenia na budowę. Uzyskanie dla tego typu wczesnego projektu, koniecznych decyzji administracyjnych, to proces, który będzie trwał latami i jest to proces, który nie gwarantuje sukcesu. Dotyczy to w szczególności dużych inwestycji, które zazwyczaj wymagają pozyskania kilku lub kilkunastu pozwoleń na budowę oraz związanych z tymi pozwoleniami, innych decyzji, uzgodnień oraz zezwoleń</w:t>
      </w:r>
      <w:r>
        <w:t xml:space="preserve">. </w:t>
      </w:r>
    </w:p>
    <w:p w14:paraId="60CA39FD" w14:textId="77777777" w:rsidR="00B54150" w:rsidRDefault="00903598">
      <w:pPr>
        <w:ind w:left="-15" w:right="0"/>
      </w:pPr>
      <w:r>
        <w:t xml:space="preserve">Skutkiem tego projekty elektrowni wiatrowych, których rozwój rozpoczął się jeszcze przed 2016 r. i które posiadają ważne pozwolenia na budowę oraz są gotowe do budowy, nigdy nie powstaną. </w:t>
      </w:r>
      <w:r>
        <w:lastRenderedPageBreak/>
        <w:t xml:space="preserve">Żaden bowiem inwestor nie wybuduje elektrowni wiatrowej, bez możliwości jej przyłączenia do sieci. Tym samym projekty, które mogą powstać w terminie 1-2 roku, stracą na ważności na rzecz projektów, których rozwój będzie trwał kilka kolejnych lat i które w ogóle mogą nie powstać. </w:t>
      </w:r>
    </w:p>
    <w:p w14:paraId="491F875C" w14:textId="77777777" w:rsidR="00B54150" w:rsidRDefault="00903598">
      <w:pPr>
        <w:ind w:left="-15" w:right="0"/>
      </w:pPr>
      <w:r>
        <w:t xml:space="preserve">Zwracam również uwagę, że zdecydowana większość projektów objętych hipotezą art. 184 Ustawy o OZE, są to projekty realizowane na podstawie zasad obowiązujących sprzed wejściem w życie ustawy z dnia 20 maja 2016 r. (Dz.U. z 2016 r. poz. 961) o inwestycjach w zakresie elektrowni wiatrowych, na podstawie przepisów przejściowych tej ustawy. Oznacza to, że wypowiedzenie umów przyłączeniowych dla tych inwestycji, będzie oznaczało brak możliwości dalszej realizacji tych inwestycji, ponieważ nie będą one spełniały </w:t>
      </w:r>
      <w:r>
        <w:t xml:space="preserve">aktualnych wymogów w/w ustawy. W szczególności dotyczy to inwestycji w zakresie elektrowni wiatrowych realizowanych na podstawie decyzji o warunkach zabudowy lub decyzji o lokalizacji inwestycji celu publicznego. Dla lokalizacji, na których realizowane są inwestycje, nie będzie można później uzyskać bowiem pozwolenia na budowę, bez konieczności uchwalenia miejscowego planu zagospodarowania przestrzennego. </w:t>
      </w:r>
    </w:p>
    <w:p w14:paraId="5998B634" w14:textId="77777777" w:rsidR="00B54150" w:rsidRDefault="00903598">
      <w:pPr>
        <w:ind w:left="-15" w:right="0"/>
      </w:pPr>
      <w:r>
        <w:t>Co więcej, realizacja procesów inwestycyjnych rozpoczętych przed wejściem w życie ustawy o inwestycjach w zakresie elektrowni wiatrowych, na podstawie przepisów przejściowych tej ustawy, była utrudniona ze względu na niepewność prawa i spory z tym związane. Następowały liczne spory kompetencyjne między wojewodami i starostami, w zakresie spraw związanych ze zmianą pozwolenia na budowę, jego przeniesieniem lub wygaśnięciem. Skutkowało to dużą niepewnością dla inwestorów, ponieważ wydanie decyzji przez niewła</w:t>
      </w:r>
      <w:r>
        <w:t xml:space="preserve">ściwy organ, skutkowałoby jej nieważnością. Ponadto, same organy nie wiedziały jak postępować ze sprawami związanymi z elektrowniami wiatrowymi. Postępowanie w przedmiocie udzielenia pozwolenia na budowę, w którym uczestniczyłem, prowadzone przed Starostą Płońskim, trwało ponad 7 lat, od roku 2016 do marca roku 2023. Decyzja w tej sprawie była trzykrotnie zaskarżana do wojewody, a czas postępowania odwoławczego trwał blisko rok. </w:t>
      </w:r>
    </w:p>
    <w:p w14:paraId="5292C44D" w14:textId="77777777" w:rsidR="00B54150" w:rsidRDefault="00903598">
      <w:pPr>
        <w:ind w:left="-15" w:right="0"/>
      </w:pPr>
      <w:r>
        <w:t>Racjonalnym i pragmatycznym jest postulat nowelizacji art. 184d ust. 1 Ustawy o OZE. Da to możliwość realizacji licznych projektów objętych hipotezą tego przepisu, co z kolei przyczyny się do realizacji założeń energetycznych Polski. Zgodnie z Polityką Energetyczną Polski do roku 2040,  przyjętą uchwałą Rady Ministrów numer 22/2021 z dnia 2 lutego 2021 r., Polska deklaruje osiągniecie 23% udziału OZE w końcowym zużyciu energii brutto w 2030 r. (mierzonym jako łączne zużycie w elektroenergetyce, ciepłownictw</w:t>
      </w:r>
      <w:r>
        <w:t xml:space="preserve">ie i chłodnictwie oraz na cele transportowe) w ramach udziału w realizacji </w:t>
      </w:r>
      <w:proofErr w:type="spellStart"/>
      <w:r>
        <w:t>ogólnounijnego</w:t>
      </w:r>
      <w:proofErr w:type="spellEnd"/>
      <w:r>
        <w:t xml:space="preserve"> celu na 2030 r. W perspektywie 2040 r. udział OZE szacowany jest na co najmniej 28,5%. Przy czym, szacuje się, że w 2030 r. udział energii OZE w </w:t>
      </w:r>
      <w:r>
        <w:t>elektroenergetyce</w:t>
      </w:r>
      <w:r>
        <w:t xml:space="preserve"> wyniesie co najmniej 32% netto, a w 2040 r. ok. 40%. Warunki prawne i mechanizmy systemowe będą wspierać realizację tego celu i rozwój poszczególnych technologii, w sposób zapewniający bezpieczeństwo pracy sieci i akceptowalność cen energii elektrycznej. </w:t>
      </w:r>
    </w:p>
    <w:p w14:paraId="6381AEE3" w14:textId="77777777" w:rsidR="00B54150" w:rsidRDefault="00903598">
      <w:pPr>
        <w:ind w:left="-15" w:right="0"/>
      </w:pPr>
      <w:r>
        <w:t xml:space="preserve">Postulat niniejszej petycji wpisuje się we wskazany powyżej cel Polityki Energetycznej Polski. Umożliwi on bowiem realizacje projektów elektrowni wiatrowych, a tym samym zwiększy udziału OZE w elektroenergetyce. </w:t>
      </w:r>
    </w:p>
    <w:p w14:paraId="011F3068" w14:textId="77777777" w:rsidR="00B54150" w:rsidRDefault="00903598">
      <w:pPr>
        <w:spacing w:after="623"/>
        <w:ind w:left="720" w:right="0" w:firstLine="0"/>
      </w:pPr>
      <w:r>
        <w:t xml:space="preserve">Wyrażam zgodę na upublicznienie moich danych osobowych. </w:t>
      </w:r>
    </w:p>
    <w:p w14:paraId="2490B583" w14:textId="77777777" w:rsidR="00B54150" w:rsidRDefault="00903598">
      <w:pPr>
        <w:spacing w:after="34" w:line="259" w:lineRule="auto"/>
        <w:ind w:left="10" w:right="-9" w:hanging="10"/>
        <w:jc w:val="right"/>
      </w:pPr>
      <w:r>
        <w:lastRenderedPageBreak/>
        <w:t xml:space="preserve">Z poważaniem </w:t>
      </w:r>
    </w:p>
    <w:p w14:paraId="5E90311D" w14:textId="77777777" w:rsidR="00B54150" w:rsidRDefault="00903598">
      <w:pPr>
        <w:spacing w:after="34" w:line="259" w:lineRule="auto"/>
        <w:ind w:left="10" w:right="-9" w:hanging="10"/>
        <w:jc w:val="right"/>
      </w:pPr>
      <w:r>
        <w:t xml:space="preserve">Radca Prawny Tomasz Waszkiewicz </w:t>
      </w:r>
    </w:p>
    <w:p w14:paraId="5CB918A9" w14:textId="77777777" w:rsidR="00B54150" w:rsidRDefault="00903598">
      <w:pPr>
        <w:spacing w:after="34" w:line="259" w:lineRule="auto"/>
        <w:ind w:left="10" w:right="-9" w:hanging="10"/>
        <w:jc w:val="right"/>
      </w:pPr>
      <w:r>
        <w:t xml:space="preserve">(podpis podpisem zaufanym) </w:t>
      </w:r>
    </w:p>
    <w:sectPr w:rsidR="00B54150">
      <w:headerReference w:type="even" r:id="rId6"/>
      <w:headerReference w:type="default" r:id="rId7"/>
      <w:footerReference w:type="even" r:id="rId8"/>
      <w:footerReference w:type="default" r:id="rId9"/>
      <w:headerReference w:type="first" r:id="rId10"/>
      <w:footerReference w:type="first" r:id="rId11"/>
      <w:pgSz w:w="11906" w:h="16838"/>
      <w:pgMar w:top="1546" w:right="1432" w:bottom="1056" w:left="1440"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C2E681" w14:textId="77777777" w:rsidR="00903598" w:rsidRDefault="00903598">
      <w:pPr>
        <w:spacing w:after="0" w:line="240" w:lineRule="auto"/>
      </w:pPr>
      <w:r>
        <w:separator/>
      </w:r>
    </w:p>
  </w:endnote>
  <w:endnote w:type="continuationSeparator" w:id="0">
    <w:p w14:paraId="36C15947" w14:textId="77777777" w:rsidR="00903598" w:rsidRDefault="00903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F56528" w14:textId="77777777" w:rsidR="00B54150" w:rsidRDefault="00903598">
    <w:pPr>
      <w:spacing w:after="0" w:line="325" w:lineRule="auto"/>
      <w:ind w:left="3168" w:right="0" w:hanging="3134"/>
      <w:jc w:val="left"/>
    </w:pPr>
    <w:r>
      <w:rPr>
        <w:color w:val="808080"/>
        <w:sz w:val="16"/>
      </w:rPr>
      <w:t xml:space="preserve">________________________________________________________________________________________________________________ Radca Prawny Tomasz Waszkiewicz </w:t>
    </w:r>
  </w:p>
  <w:p w14:paraId="1F368986" w14:textId="77777777" w:rsidR="00B54150" w:rsidRDefault="00903598">
    <w:pPr>
      <w:spacing w:after="0" w:line="259" w:lineRule="auto"/>
      <w:ind w:left="2323" w:right="0" w:firstLine="0"/>
      <w:jc w:val="left"/>
    </w:pPr>
    <w:r>
      <w:rPr>
        <w:rFonts w:ascii="Arial Unicode MS" w:eastAsia="Arial Unicode MS" w:hAnsi="Arial Unicode MS" w:cs="Arial Unicode MS"/>
        <w:color w:val="808080"/>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7F5F3F" w14:textId="77777777" w:rsidR="00B54150" w:rsidRDefault="00903598">
    <w:pPr>
      <w:spacing w:after="0" w:line="325" w:lineRule="auto"/>
      <w:ind w:left="3168" w:right="0" w:hanging="3134"/>
      <w:jc w:val="left"/>
    </w:pPr>
    <w:r>
      <w:rPr>
        <w:color w:val="808080"/>
        <w:sz w:val="16"/>
      </w:rPr>
      <w:t xml:space="preserve">________________________________________________________________________________________________________________ Radca Prawny Tomasz Waszkiewicz </w:t>
    </w:r>
  </w:p>
  <w:p w14:paraId="4175C2DD" w14:textId="77777777" w:rsidR="00B54150" w:rsidRDefault="00903598">
    <w:pPr>
      <w:spacing w:after="0" w:line="259" w:lineRule="auto"/>
      <w:ind w:left="2323" w:right="0" w:firstLine="0"/>
      <w:jc w:val="left"/>
    </w:pPr>
    <w:r>
      <w:rPr>
        <w:rFonts w:ascii="Arial Unicode MS" w:eastAsia="Arial Unicode MS" w:hAnsi="Arial Unicode MS" w:cs="Arial Unicode MS"/>
        <w:color w:val="808080"/>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6D1D0C" w14:textId="77777777" w:rsidR="00B54150" w:rsidRDefault="00B54150">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14F949" w14:textId="77777777" w:rsidR="00903598" w:rsidRDefault="00903598">
      <w:pPr>
        <w:spacing w:after="0" w:line="240" w:lineRule="auto"/>
      </w:pPr>
      <w:r>
        <w:separator/>
      </w:r>
    </w:p>
  </w:footnote>
  <w:footnote w:type="continuationSeparator" w:id="0">
    <w:p w14:paraId="5CCE8336" w14:textId="77777777" w:rsidR="00903598" w:rsidRDefault="009035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E234D" w14:textId="77777777" w:rsidR="00B54150" w:rsidRDefault="00903598">
    <w:pPr>
      <w:tabs>
        <w:tab w:val="right" w:pos="10178"/>
      </w:tabs>
      <w:spacing w:after="0" w:line="259" w:lineRule="auto"/>
      <w:ind w:left="0" w:right="-1144" w:firstLine="0"/>
      <w:jc w:val="left"/>
    </w:pPr>
    <w:r>
      <w:rPr>
        <w:color w:val="808080"/>
        <w:sz w:val="96"/>
      </w:rPr>
      <w:t xml:space="preserve">§ </w:t>
    </w:r>
    <w:r>
      <w:rPr>
        <w:color w:val="808080"/>
        <w:sz w:val="96"/>
      </w:rPr>
      <w:tab/>
    </w:r>
    <w:r>
      <w:rPr>
        <w:color w:val="808080"/>
      </w:rPr>
      <w:t xml:space="preserve">Radca Prawny Tomasz Waszkiewicz </w:t>
    </w:r>
  </w:p>
  <w:p w14:paraId="3D8D0CBA" w14:textId="77777777" w:rsidR="00B54150" w:rsidRDefault="00903598">
    <w:pPr>
      <w:spacing w:after="0" w:line="259" w:lineRule="auto"/>
      <w:ind w:left="0" w:right="-1205" w:firstLine="0"/>
      <w:jc w:val="right"/>
    </w:pPr>
    <w:r>
      <w:rPr>
        <w:rFonts w:ascii="Arial Unicode MS" w:eastAsia="Arial Unicode MS" w:hAnsi="Arial Unicode MS" w:cs="Arial Unicode MS"/>
        <w:color w:val="80808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E466BD" w14:textId="77777777" w:rsidR="00B54150" w:rsidRDefault="00903598">
    <w:pPr>
      <w:tabs>
        <w:tab w:val="right" w:pos="10178"/>
      </w:tabs>
      <w:spacing w:after="0" w:line="259" w:lineRule="auto"/>
      <w:ind w:left="0" w:right="-1144" w:firstLine="0"/>
      <w:jc w:val="left"/>
    </w:pPr>
    <w:r>
      <w:rPr>
        <w:color w:val="808080"/>
        <w:sz w:val="96"/>
      </w:rPr>
      <w:t xml:space="preserve">§ </w:t>
    </w:r>
    <w:r>
      <w:rPr>
        <w:color w:val="808080"/>
        <w:sz w:val="96"/>
      </w:rPr>
      <w:tab/>
    </w:r>
    <w:r>
      <w:rPr>
        <w:color w:val="808080"/>
      </w:rPr>
      <w:t xml:space="preserve">Radca Prawny Tomasz Waszkiewicz </w:t>
    </w:r>
  </w:p>
  <w:p w14:paraId="34465B8B" w14:textId="77777777" w:rsidR="00B54150" w:rsidRDefault="00903598">
    <w:pPr>
      <w:spacing w:after="0" w:line="259" w:lineRule="auto"/>
      <w:ind w:left="0" w:right="-1205" w:firstLine="0"/>
      <w:jc w:val="right"/>
    </w:pPr>
    <w:r>
      <w:rPr>
        <w:rFonts w:ascii="Arial Unicode MS" w:eastAsia="Arial Unicode MS" w:hAnsi="Arial Unicode MS" w:cs="Arial Unicode MS"/>
        <w:color w:val="80808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96BC4" w14:textId="77777777" w:rsidR="00B54150" w:rsidRDefault="00B54150">
    <w:pPr>
      <w:spacing w:after="160" w:line="259" w:lineRule="auto"/>
      <w:ind w:left="0" w:right="0" w:firstLine="0"/>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150"/>
    <w:rsid w:val="00903598"/>
    <w:rsid w:val="00B03328"/>
    <w:rsid w:val="00B541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1EDB7"/>
  <w15:docId w15:val="{03057624-0FCF-458A-B99A-A20FDD4C9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308" w:line="291" w:lineRule="auto"/>
      <w:ind w:left="4536" w:right="721" w:firstLine="710"/>
      <w:jc w:val="both"/>
    </w:pPr>
    <w:rPr>
      <w:rFonts w:ascii="Times New Roman" w:eastAsia="Times New Roman" w:hAnsi="Times New Roman" w:cs="Times New Roman"/>
      <w:color w:val="222222"/>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1378</Words>
  <Characters>8270</Characters>
  <Application>Microsoft Office Word</Application>
  <DocSecurity>0</DocSecurity>
  <Lines>68</Lines>
  <Paragraphs>19</Paragraphs>
  <ScaleCrop>false</ScaleCrop>
  <Company/>
  <LinksUpToDate>false</LinksUpToDate>
  <CharactersWithSpaces>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Petycja Minister Klimatu</dc:title>
  <dc:subject/>
  <dc:creator>Tomasz Waszkiewicz</dc:creator>
  <cp:keywords/>
  <cp:lastModifiedBy>Orlińska Sylwia</cp:lastModifiedBy>
  <cp:revision>2</cp:revision>
  <dcterms:created xsi:type="dcterms:W3CDTF">2024-07-03T07:54:00Z</dcterms:created>
  <dcterms:modified xsi:type="dcterms:W3CDTF">2024-07-03T07:54:00Z</dcterms:modified>
</cp:coreProperties>
</file>