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CB0A" w14:textId="77777777" w:rsidR="0023626A" w:rsidRDefault="001F6201">
      <w:pPr>
        <w:spacing w:after="7" w:line="259" w:lineRule="auto"/>
        <w:ind w:left="154" w:right="0" w:firstLine="0"/>
        <w:jc w:val="left"/>
      </w:pPr>
      <w:r>
        <w:rPr>
          <w:noProof/>
          <w:sz w:val="22"/>
        </w:rPr>
        <mc:AlternateContent>
          <mc:Choice Requires="wpg">
            <w:drawing>
              <wp:inline distT="0" distB="0" distL="0" distR="0" wp14:anchorId="7C55C8EB" wp14:editId="0209DD7B">
                <wp:extent cx="5674309" cy="1040654"/>
                <wp:effectExtent l="0" t="0" r="0" b="0"/>
                <wp:docPr id="9833" name="Group 9833"/>
                <wp:cNvGraphicFramePr/>
                <a:graphic xmlns:a="http://schemas.openxmlformats.org/drawingml/2006/main">
                  <a:graphicData uri="http://schemas.microsoft.com/office/word/2010/wordprocessingGroup">
                    <wpg:wgp>
                      <wpg:cNvGrpSpPr/>
                      <wpg:grpSpPr>
                        <a:xfrm>
                          <a:off x="0" y="0"/>
                          <a:ext cx="5674309" cy="1040654"/>
                          <a:chOff x="0" y="0"/>
                          <a:chExt cx="5674309" cy="1040654"/>
                        </a:xfrm>
                      </wpg:grpSpPr>
                      <wps:wsp>
                        <wps:cNvPr id="6" name="Rectangle 6"/>
                        <wps:cNvSpPr/>
                        <wps:spPr>
                          <a:xfrm>
                            <a:off x="18288" y="27363"/>
                            <a:ext cx="3761072" cy="152139"/>
                          </a:xfrm>
                          <a:prstGeom prst="rect">
                            <a:avLst/>
                          </a:prstGeom>
                          <a:ln>
                            <a:noFill/>
                          </a:ln>
                        </wps:spPr>
                        <wps:txbx>
                          <w:txbxContent>
                            <w:p w14:paraId="0E844F60" w14:textId="77777777" w:rsidR="0023626A" w:rsidRDefault="001F6201">
                              <w:pPr>
                                <w:spacing w:after="160" w:line="259" w:lineRule="auto"/>
                                <w:ind w:right="0" w:firstLine="0"/>
                                <w:jc w:val="left"/>
                              </w:pPr>
                              <w:r>
                                <w:rPr>
                                  <w:rFonts w:ascii="Times New Roman" w:eastAsia="Times New Roman" w:hAnsi="Times New Roman" w:cs="Times New Roman"/>
                                  <w:b/>
                                  <w:sz w:val="20"/>
                                </w:rPr>
                                <w:t>Izba Gospodarcza Metali Nieżelaznych i Recyklingu</w:t>
                              </w:r>
                            </w:p>
                          </w:txbxContent>
                        </wps:txbx>
                        <wps:bodyPr horzOverflow="overflow" vert="horz" lIns="0" tIns="0" rIns="0" bIns="0" rtlCol="0">
                          <a:noAutofit/>
                        </wps:bodyPr>
                      </wps:wsp>
                      <wps:wsp>
                        <wps:cNvPr id="7" name="Rectangle 7"/>
                        <wps:cNvSpPr/>
                        <wps:spPr>
                          <a:xfrm>
                            <a:off x="2845003" y="0"/>
                            <a:ext cx="42565" cy="188479"/>
                          </a:xfrm>
                          <a:prstGeom prst="rect">
                            <a:avLst/>
                          </a:prstGeom>
                          <a:ln>
                            <a:noFill/>
                          </a:ln>
                        </wps:spPr>
                        <wps:txbx>
                          <w:txbxContent>
                            <w:p w14:paraId="7C64EAA4" w14:textId="77777777" w:rsidR="0023626A" w:rsidRDefault="001F6201">
                              <w:pPr>
                                <w:spacing w:after="160" w:line="259" w:lineRule="auto"/>
                                <w:ind w:right="0" w:firstLine="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8" name="Rectangle 8"/>
                        <wps:cNvSpPr/>
                        <wps:spPr>
                          <a:xfrm>
                            <a:off x="18288" y="146304"/>
                            <a:ext cx="1676904" cy="188479"/>
                          </a:xfrm>
                          <a:prstGeom prst="rect">
                            <a:avLst/>
                          </a:prstGeom>
                          <a:ln>
                            <a:noFill/>
                          </a:ln>
                        </wps:spPr>
                        <wps:txbx>
                          <w:txbxContent>
                            <w:p w14:paraId="4F7E15EF" w14:textId="77777777" w:rsidR="0023626A" w:rsidRDefault="001F6201">
                              <w:pPr>
                                <w:spacing w:after="160" w:line="259" w:lineRule="auto"/>
                                <w:ind w:right="0" w:firstLine="0"/>
                                <w:jc w:val="left"/>
                              </w:pPr>
                              <w:r>
                                <w:rPr>
                                  <w:rFonts w:ascii="Times New Roman" w:eastAsia="Times New Roman" w:hAnsi="Times New Roman" w:cs="Times New Roman"/>
                                  <w:sz w:val="20"/>
                                </w:rPr>
                                <w:t>ul. Graniczna 29 lok.611</w:t>
                              </w:r>
                            </w:p>
                          </w:txbxContent>
                        </wps:txbx>
                        <wps:bodyPr horzOverflow="overflow" vert="horz" lIns="0" tIns="0" rIns="0" bIns="0" rtlCol="0">
                          <a:noAutofit/>
                        </wps:bodyPr>
                      </wps:wsp>
                      <wps:wsp>
                        <wps:cNvPr id="9" name="Rectangle 9"/>
                        <wps:cNvSpPr/>
                        <wps:spPr>
                          <a:xfrm>
                            <a:off x="1277696" y="146304"/>
                            <a:ext cx="42565" cy="188479"/>
                          </a:xfrm>
                          <a:prstGeom prst="rect">
                            <a:avLst/>
                          </a:prstGeom>
                          <a:ln>
                            <a:noFill/>
                          </a:ln>
                        </wps:spPr>
                        <wps:txbx>
                          <w:txbxContent>
                            <w:p w14:paraId="6180D40E"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0" name="Rectangle 10"/>
                        <wps:cNvSpPr/>
                        <wps:spPr>
                          <a:xfrm>
                            <a:off x="18288" y="292609"/>
                            <a:ext cx="170261" cy="188479"/>
                          </a:xfrm>
                          <a:prstGeom prst="rect">
                            <a:avLst/>
                          </a:prstGeom>
                          <a:ln>
                            <a:noFill/>
                          </a:ln>
                        </wps:spPr>
                        <wps:txbx>
                          <w:txbxContent>
                            <w:p w14:paraId="0087B901" w14:textId="77777777" w:rsidR="0023626A" w:rsidRDefault="001F6201">
                              <w:pPr>
                                <w:spacing w:after="160" w:line="259" w:lineRule="auto"/>
                                <w:ind w:right="0" w:firstLine="0"/>
                                <w:jc w:val="left"/>
                              </w:pPr>
                              <w:r>
                                <w:rPr>
                                  <w:rFonts w:ascii="Times New Roman" w:eastAsia="Times New Roman" w:hAnsi="Times New Roman" w:cs="Times New Roman"/>
                                  <w:sz w:val="20"/>
                                </w:rPr>
                                <w:t>40</w:t>
                              </w:r>
                            </w:p>
                          </w:txbxContent>
                        </wps:txbx>
                        <wps:bodyPr horzOverflow="overflow" vert="horz" lIns="0" tIns="0" rIns="0" bIns="0" rtlCol="0">
                          <a:noAutofit/>
                        </wps:bodyPr>
                      </wps:wsp>
                      <wps:wsp>
                        <wps:cNvPr id="11" name="Rectangle 11"/>
                        <wps:cNvSpPr/>
                        <wps:spPr>
                          <a:xfrm>
                            <a:off x="146304" y="292609"/>
                            <a:ext cx="56698" cy="188479"/>
                          </a:xfrm>
                          <a:prstGeom prst="rect">
                            <a:avLst/>
                          </a:prstGeom>
                          <a:ln>
                            <a:noFill/>
                          </a:ln>
                        </wps:spPr>
                        <wps:txbx>
                          <w:txbxContent>
                            <w:p w14:paraId="7AC61033" w14:textId="77777777" w:rsidR="0023626A" w:rsidRDefault="001F6201">
                              <w:pPr>
                                <w:spacing w:after="160" w:line="259" w:lineRule="auto"/>
                                <w:ind w:righ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9684" name="Rectangle 9684"/>
                        <wps:cNvSpPr/>
                        <wps:spPr>
                          <a:xfrm>
                            <a:off x="189281" y="292609"/>
                            <a:ext cx="255392" cy="188479"/>
                          </a:xfrm>
                          <a:prstGeom prst="rect">
                            <a:avLst/>
                          </a:prstGeom>
                          <a:ln>
                            <a:noFill/>
                          </a:ln>
                        </wps:spPr>
                        <wps:txbx>
                          <w:txbxContent>
                            <w:p w14:paraId="10F14015" w14:textId="77777777" w:rsidR="0023626A" w:rsidRDefault="001F6201">
                              <w:pPr>
                                <w:spacing w:after="160" w:line="259" w:lineRule="auto"/>
                                <w:ind w:right="0" w:firstLine="0"/>
                                <w:jc w:val="left"/>
                              </w:pPr>
                              <w:r>
                                <w:rPr>
                                  <w:rFonts w:ascii="Times New Roman" w:eastAsia="Times New Roman" w:hAnsi="Times New Roman" w:cs="Times New Roman"/>
                                  <w:sz w:val="20"/>
                                </w:rPr>
                                <w:t>017</w:t>
                              </w:r>
                            </w:p>
                          </w:txbxContent>
                        </wps:txbx>
                        <wps:bodyPr horzOverflow="overflow" vert="horz" lIns="0" tIns="0" rIns="0" bIns="0" rtlCol="0">
                          <a:noAutofit/>
                        </wps:bodyPr>
                      </wps:wsp>
                      <wps:wsp>
                        <wps:cNvPr id="9685" name="Rectangle 9685"/>
                        <wps:cNvSpPr/>
                        <wps:spPr>
                          <a:xfrm>
                            <a:off x="378232" y="292609"/>
                            <a:ext cx="691235" cy="188479"/>
                          </a:xfrm>
                          <a:prstGeom prst="rect">
                            <a:avLst/>
                          </a:prstGeom>
                          <a:ln>
                            <a:noFill/>
                          </a:ln>
                        </wps:spPr>
                        <wps:txbx>
                          <w:txbxContent>
                            <w:p w14:paraId="72AE5E3F"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 Katowice</w:t>
                              </w:r>
                            </w:p>
                          </w:txbxContent>
                        </wps:txbx>
                        <wps:bodyPr horzOverflow="overflow" vert="horz" lIns="0" tIns="0" rIns="0" bIns="0" rtlCol="0">
                          <a:noAutofit/>
                        </wps:bodyPr>
                      </wps:wsp>
                      <wps:wsp>
                        <wps:cNvPr id="13" name="Rectangle 13"/>
                        <wps:cNvSpPr/>
                        <wps:spPr>
                          <a:xfrm>
                            <a:off x="896442" y="292609"/>
                            <a:ext cx="42565" cy="188479"/>
                          </a:xfrm>
                          <a:prstGeom prst="rect">
                            <a:avLst/>
                          </a:prstGeom>
                          <a:ln>
                            <a:noFill/>
                          </a:ln>
                        </wps:spPr>
                        <wps:txbx>
                          <w:txbxContent>
                            <w:p w14:paraId="2DEF4ED4"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 name="Rectangle 14"/>
                        <wps:cNvSpPr/>
                        <wps:spPr>
                          <a:xfrm>
                            <a:off x="18288" y="438912"/>
                            <a:ext cx="991772" cy="188479"/>
                          </a:xfrm>
                          <a:prstGeom prst="rect">
                            <a:avLst/>
                          </a:prstGeom>
                          <a:ln>
                            <a:noFill/>
                          </a:ln>
                        </wps:spPr>
                        <wps:txbx>
                          <w:txbxContent>
                            <w:p w14:paraId="0594124D" w14:textId="77777777" w:rsidR="0023626A" w:rsidRDefault="001F6201">
                              <w:pPr>
                                <w:spacing w:after="160" w:line="259" w:lineRule="auto"/>
                                <w:ind w:right="0" w:firstLine="0"/>
                                <w:jc w:val="left"/>
                              </w:pPr>
                              <w:r>
                                <w:rPr>
                                  <w:rFonts w:ascii="Times New Roman" w:eastAsia="Times New Roman" w:hAnsi="Times New Roman" w:cs="Times New Roman"/>
                                  <w:sz w:val="20"/>
                                </w:rPr>
                                <w:t>tel./fax +48 32</w:t>
                              </w:r>
                            </w:p>
                          </w:txbxContent>
                        </wps:txbx>
                        <wps:bodyPr horzOverflow="overflow" vert="horz" lIns="0" tIns="0" rIns="0" bIns="0" rtlCol="0">
                          <a:noAutofit/>
                        </wps:bodyPr>
                      </wps:wsp>
                      <wps:wsp>
                        <wps:cNvPr id="15" name="Rectangle 15"/>
                        <wps:cNvSpPr/>
                        <wps:spPr>
                          <a:xfrm>
                            <a:off x="765378" y="438912"/>
                            <a:ext cx="42565" cy="188479"/>
                          </a:xfrm>
                          <a:prstGeom prst="rect">
                            <a:avLst/>
                          </a:prstGeom>
                          <a:ln>
                            <a:noFill/>
                          </a:ln>
                        </wps:spPr>
                        <wps:txbx>
                          <w:txbxContent>
                            <w:p w14:paraId="2B24C85C"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9686" name="Rectangle 9686"/>
                        <wps:cNvSpPr/>
                        <wps:spPr>
                          <a:xfrm>
                            <a:off x="798906" y="438912"/>
                            <a:ext cx="461919" cy="188479"/>
                          </a:xfrm>
                          <a:prstGeom prst="rect">
                            <a:avLst/>
                          </a:prstGeom>
                          <a:ln>
                            <a:noFill/>
                          </a:ln>
                        </wps:spPr>
                        <wps:txbx>
                          <w:txbxContent>
                            <w:p w14:paraId="22E76FE8" w14:textId="77777777" w:rsidR="0023626A" w:rsidRDefault="001F6201">
                              <w:pPr>
                                <w:spacing w:after="160" w:line="259" w:lineRule="auto"/>
                                <w:ind w:right="0" w:firstLine="0"/>
                                <w:jc w:val="left"/>
                              </w:pPr>
                              <w:r>
                                <w:rPr>
                                  <w:rFonts w:ascii="Times New Roman" w:eastAsia="Times New Roman" w:hAnsi="Times New Roman" w:cs="Times New Roman"/>
                                  <w:sz w:val="20"/>
                                </w:rPr>
                                <w:t>204 20</w:t>
                              </w:r>
                            </w:p>
                          </w:txbxContent>
                        </wps:txbx>
                        <wps:bodyPr horzOverflow="overflow" vert="horz" lIns="0" tIns="0" rIns="0" bIns="0" rtlCol="0">
                          <a:noAutofit/>
                        </wps:bodyPr>
                      </wps:wsp>
                      <wps:wsp>
                        <wps:cNvPr id="9688" name="Rectangle 9688"/>
                        <wps:cNvSpPr/>
                        <wps:spPr>
                          <a:xfrm>
                            <a:off x="1146214" y="438912"/>
                            <a:ext cx="42565" cy="188479"/>
                          </a:xfrm>
                          <a:prstGeom prst="rect">
                            <a:avLst/>
                          </a:prstGeom>
                          <a:ln>
                            <a:noFill/>
                          </a:ln>
                        </wps:spPr>
                        <wps:txbx>
                          <w:txbxContent>
                            <w:p w14:paraId="220AE8FB"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9687" name="Rectangle 9687"/>
                        <wps:cNvSpPr/>
                        <wps:spPr>
                          <a:xfrm>
                            <a:off x="1179626" y="438912"/>
                            <a:ext cx="170261" cy="188479"/>
                          </a:xfrm>
                          <a:prstGeom prst="rect">
                            <a:avLst/>
                          </a:prstGeom>
                          <a:ln>
                            <a:noFill/>
                          </a:ln>
                        </wps:spPr>
                        <wps:txbx>
                          <w:txbxContent>
                            <w:p w14:paraId="552AF14C" w14:textId="77777777" w:rsidR="0023626A" w:rsidRDefault="001F6201">
                              <w:pPr>
                                <w:spacing w:after="160" w:line="259" w:lineRule="auto"/>
                                <w:ind w:right="0" w:firstLine="0"/>
                                <w:jc w:val="left"/>
                              </w:pPr>
                              <w:r>
                                <w:rPr>
                                  <w:rFonts w:ascii="Times New Roman" w:eastAsia="Times New Roman" w:hAnsi="Times New Roman" w:cs="Times New Roman"/>
                                  <w:sz w:val="20"/>
                                </w:rPr>
                                <w:t>24</w:t>
                              </w:r>
                            </w:p>
                          </w:txbxContent>
                        </wps:txbx>
                        <wps:bodyPr horzOverflow="overflow" vert="horz" lIns="0" tIns="0" rIns="0" bIns="0" rtlCol="0">
                          <a:noAutofit/>
                        </wps:bodyPr>
                      </wps:wsp>
                      <wps:wsp>
                        <wps:cNvPr id="17" name="Rectangle 17"/>
                        <wps:cNvSpPr/>
                        <wps:spPr>
                          <a:xfrm>
                            <a:off x="1305128" y="438912"/>
                            <a:ext cx="42565" cy="188479"/>
                          </a:xfrm>
                          <a:prstGeom prst="rect">
                            <a:avLst/>
                          </a:prstGeom>
                          <a:ln>
                            <a:noFill/>
                          </a:ln>
                        </wps:spPr>
                        <wps:txbx>
                          <w:txbxContent>
                            <w:p w14:paraId="6ED7C15A"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4" name="Rectangle 204"/>
                        <wps:cNvSpPr/>
                        <wps:spPr>
                          <a:xfrm>
                            <a:off x="18288" y="585216"/>
                            <a:ext cx="804797" cy="188479"/>
                          </a:xfrm>
                          <a:prstGeom prst="rect">
                            <a:avLst/>
                          </a:prstGeom>
                          <a:ln>
                            <a:noFill/>
                          </a:ln>
                        </wps:spPr>
                        <wps:txbx>
                          <w:txbxContent>
                            <w:p w14:paraId="2DF80DE5" w14:textId="77777777" w:rsidR="0023626A" w:rsidRDefault="001F6201">
                              <w:pPr>
                                <w:spacing w:after="160" w:line="259" w:lineRule="auto"/>
                                <w:ind w:right="0" w:firstLine="0"/>
                                <w:jc w:val="left"/>
                              </w:pPr>
                              <w:hyperlink r:id="rId7">
                                <w:r>
                                  <w:rPr>
                                    <w:rFonts w:ascii="Times New Roman" w:eastAsia="Times New Roman" w:hAnsi="Times New Roman" w:cs="Times New Roman"/>
                                    <w:sz w:val="20"/>
                                  </w:rPr>
                                  <w:t>www.igmni</w:t>
                                </w:r>
                              </w:hyperlink>
                            </w:p>
                          </w:txbxContent>
                        </wps:txbx>
                        <wps:bodyPr horzOverflow="overflow" vert="horz" lIns="0" tIns="0" rIns="0" bIns="0" rtlCol="0">
                          <a:noAutofit/>
                        </wps:bodyPr>
                      </wps:wsp>
                      <wps:wsp>
                        <wps:cNvPr id="205" name="Rectangle 205"/>
                        <wps:cNvSpPr/>
                        <wps:spPr>
                          <a:xfrm>
                            <a:off x="624316" y="585216"/>
                            <a:ext cx="56698" cy="188479"/>
                          </a:xfrm>
                          <a:prstGeom prst="rect">
                            <a:avLst/>
                          </a:prstGeom>
                          <a:ln>
                            <a:noFill/>
                          </a:ln>
                        </wps:spPr>
                        <wps:txbx>
                          <w:txbxContent>
                            <w:p w14:paraId="66360C5D" w14:textId="77777777" w:rsidR="0023626A" w:rsidRDefault="001F6201">
                              <w:pPr>
                                <w:spacing w:after="160" w:line="259" w:lineRule="auto"/>
                                <w:ind w:right="0" w:firstLine="0"/>
                                <w:jc w:val="left"/>
                              </w:pPr>
                              <w:hyperlink r:id="rId8">
                                <w:r>
                                  <w:rPr>
                                    <w:rFonts w:ascii="Times New Roman" w:eastAsia="Times New Roman" w:hAnsi="Times New Roman" w:cs="Times New Roman"/>
                                    <w:sz w:val="20"/>
                                  </w:rPr>
                                  <w:t>r</w:t>
                                </w:r>
                              </w:hyperlink>
                            </w:p>
                          </w:txbxContent>
                        </wps:txbx>
                        <wps:bodyPr horzOverflow="overflow" vert="horz" lIns="0" tIns="0" rIns="0" bIns="0" rtlCol="0">
                          <a:noAutofit/>
                        </wps:bodyPr>
                      </wps:wsp>
                      <wps:wsp>
                        <wps:cNvPr id="206" name="Rectangle 206"/>
                        <wps:cNvSpPr/>
                        <wps:spPr>
                          <a:xfrm>
                            <a:off x="664794" y="585216"/>
                            <a:ext cx="42572" cy="188479"/>
                          </a:xfrm>
                          <a:prstGeom prst="rect">
                            <a:avLst/>
                          </a:prstGeom>
                          <a:ln>
                            <a:noFill/>
                          </a:ln>
                        </wps:spPr>
                        <wps:txbx>
                          <w:txbxContent>
                            <w:p w14:paraId="0B7100BD" w14:textId="77777777" w:rsidR="0023626A" w:rsidRDefault="001F6201">
                              <w:pPr>
                                <w:spacing w:after="160" w:line="259" w:lineRule="auto"/>
                                <w:ind w:right="0" w:firstLine="0"/>
                                <w:jc w:val="left"/>
                              </w:pPr>
                              <w:hyperlink r:id="rId9">
                                <w:r>
                                  <w:rPr>
                                    <w:rFonts w:ascii="Times New Roman" w:eastAsia="Times New Roman" w:hAnsi="Times New Roman" w:cs="Times New Roman"/>
                                    <w:sz w:val="20"/>
                                  </w:rPr>
                                  <w:t>.</w:t>
                                </w:r>
                              </w:hyperlink>
                            </w:p>
                          </w:txbxContent>
                        </wps:txbx>
                        <wps:bodyPr horzOverflow="overflow" vert="horz" lIns="0" tIns="0" rIns="0" bIns="0" rtlCol="0">
                          <a:noAutofit/>
                        </wps:bodyPr>
                      </wps:wsp>
                      <wps:wsp>
                        <wps:cNvPr id="207" name="Rectangle 207"/>
                        <wps:cNvSpPr/>
                        <wps:spPr>
                          <a:xfrm>
                            <a:off x="698212" y="585216"/>
                            <a:ext cx="132456" cy="188479"/>
                          </a:xfrm>
                          <a:prstGeom prst="rect">
                            <a:avLst/>
                          </a:prstGeom>
                          <a:ln>
                            <a:noFill/>
                          </a:ln>
                        </wps:spPr>
                        <wps:txbx>
                          <w:txbxContent>
                            <w:p w14:paraId="76BBF3B9" w14:textId="77777777" w:rsidR="0023626A" w:rsidRDefault="001F6201">
                              <w:pPr>
                                <w:spacing w:after="160" w:line="259" w:lineRule="auto"/>
                                <w:ind w:right="0" w:firstLine="0"/>
                                <w:jc w:val="left"/>
                              </w:pPr>
                              <w:proofErr w:type="spellStart"/>
                              <w:r>
                                <w:rPr>
                                  <w:rFonts w:ascii="Times New Roman" w:eastAsia="Times New Roman" w:hAnsi="Times New Roman" w:cs="Times New Roman"/>
                                  <w:sz w:val="20"/>
                                </w:rPr>
                                <w:t>pl</w:t>
                              </w:r>
                              <w:proofErr w:type="spellEnd"/>
                            </w:p>
                          </w:txbxContent>
                        </wps:txbx>
                        <wps:bodyPr horzOverflow="overflow" vert="horz" lIns="0" tIns="0" rIns="0" bIns="0" rtlCol="0">
                          <a:noAutofit/>
                        </wps:bodyPr>
                      </wps:wsp>
                      <wps:wsp>
                        <wps:cNvPr id="20" name="Rectangle 20"/>
                        <wps:cNvSpPr/>
                        <wps:spPr>
                          <a:xfrm>
                            <a:off x="795858" y="585216"/>
                            <a:ext cx="42565" cy="188479"/>
                          </a:xfrm>
                          <a:prstGeom prst="rect">
                            <a:avLst/>
                          </a:prstGeom>
                          <a:ln>
                            <a:noFill/>
                          </a:ln>
                        </wps:spPr>
                        <wps:txbx>
                          <w:txbxContent>
                            <w:p w14:paraId="4BB000D4"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18288" y="731520"/>
                            <a:ext cx="75570" cy="188479"/>
                          </a:xfrm>
                          <a:prstGeom prst="rect">
                            <a:avLst/>
                          </a:prstGeom>
                          <a:ln>
                            <a:noFill/>
                          </a:ln>
                        </wps:spPr>
                        <wps:txbx>
                          <w:txbxContent>
                            <w:p w14:paraId="75C237D7" w14:textId="77777777" w:rsidR="0023626A" w:rsidRDefault="001F6201">
                              <w:pPr>
                                <w:spacing w:after="160" w:line="259" w:lineRule="auto"/>
                                <w:ind w:right="0" w:firstLine="0"/>
                                <w:jc w:val="left"/>
                              </w:pPr>
                              <w:r>
                                <w:rPr>
                                  <w:rFonts w:ascii="Times New Roman" w:eastAsia="Times New Roman" w:hAnsi="Times New Roman" w:cs="Times New Roman"/>
                                  <w:sz w:val="20"/>
                                </w:rPr>
                                <w:t>e</w:t>
                              </w:r>
                            </w:p>
                          </w:txbxContent>
                        </wps:txbx>
                        <wps:bodyPr horzOverflow="overflow" vert="horz" lIns="0" tIns="0" rIns="0" bIns="0" rtlCol="0">
                          <a:noAutofit/>
                        </wps:bodyPr>
                      </wps:wsp>
                      <wps:wsp>
                        <wps:cNvPr id="22" name="Rectangle 22"/>
                        <wps:cNvSpPr/>
                        <wps:spPr>
                          <a:xfrm>
                            <a:off x="76200" y="731520"/>
                            <a:ext cx="56698" cy="188479"/>
                          </a:xfrm>
                          <a:prstGeom prst="rect">
                            <a:avLst/>
                          </a:prstGeom>
                          <a:ln>
                            <a:noFill/>
                          </a:ln>
                        </wps:spPr>
                        <wps:txbx>
                          <w:txbxContent>
                            <w:p w14:paraId="12A906F8" w14:textId="77777777" w:rsidR="0023626A" w:rsidRDefault="001F6201">
                              <w:pPr>
                                <w:spacing w:after="160" w:line="259" w:lineRule="auto"/>
                                <w:ind w:righ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23" name="Rectangle 23"/>
                        <wps:cNvSpPr/>
                        <wps:spPr>
                          <a:xfrm>
                            <a:off x="118872" y="731520"/>
                            <a:ext cx="386834" cy="188479"/>
                          </a:xfrm>
                          <a:prstGeom prst="rect">
                            <a:avLst/>
                          </a:prstGeom>
                          <a:ln>
                            <a:noFill/>
                          </a:ln>
                        </wps:spPr>
                        <wps:txbx>
                          <w:txbxContent>
                            <w:p w14:paraId="4D3A5153"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mail: </w:t>
                              </w:r>
                            </w:p>
                          </w:txbxContent>
                        </wps:txbx>
                        <wps:bodyPr horzOverflow="overflow" vert="horz" lIns="0" tIns="0" rIns="0" bIns="0" rtlCol="0">
                          <a:noAutofit/>
                        </wps:bodyPr>
                      </wps:wsp>
                      <wps:wsp>
                        <wps:cNvPr id="24" name="Rectangle 24"/>
                        <wps:cNvSpPr/>
                        <wps:spPr>
                          <a:xfrm>
                            <a:off x="411810" y="731520"/>
                            <a:ext cx="1137487" cy="188479"/>
                          </a:xfrm>
                          <a:prstGeom prst="rect">
                            <a:avLst/>
                          </a:prstGeom>
                          <a:ln>
                            <a:noFill/>
                          </a:ln>
                        </wps:spPr>
                        <wps:txbx>
                          <w:txbxContent>
                            <w:p w14:paraId="51E655EE" w14:textId="77777777" w:rsidR="0023626A" w:rsidRDefault="001F6201">
                              <w:pPr>
                                <w:spacing w:after="160" w:line="259" w:lineRule="auto"/>
                                <w:ind w:right="0" w:firstLine="0"/>
                                <w:jc w:val="left"/>
                              </w:pPr>
                              <w:r>
                                <w:rPr>
                                  <w:rFonts w:ascii="Times New Roman" w:eastAsia="Times New Roman" w:hAnsi="Times New Roman" w:cs="Times New Roman"/>
                                  <w:sz w:val="20"/>
                                </w:rPr>
                                <w:t>biuro@igmnir.pl</w:t>
                              </w:r>
                            </w:p>
                          </w:txbxContent>
                        </wps:txbx>
                        <wps:bodyPr horzOverflow="overflow" vert="horz" lIns="0" tIns="0" rIns="0" bIns="0" rtlCol="0">
                          <a:noAutofit/>
                        </wps:bodyPr>
                      </wps:wsp>
                      <wps:wsp>
                        <wps:cNvPr id="25" name="Rectangle 25"/>
                        <wps:cNvSpPr/>
                        <wps:spPr>
                          <a:xfrm>
                            <a:off x="1265504" y="731520"/>
                            <a:ext cx="42565" cy="188479"/>
                          </a:xfrm>
                          <a:prstGeom prst="rect">
                            <a:avLst/>
                          </a:prstGeom>
                          <a:ln>
                            <a:noFill/>
                          </a:ln>
                        </wps:spPr>
                        <wps:txbx>
                          <w:txbxContent>
                            <w:p w14:paraId="7659FC16" w14:textId="77777777" w:rsidR="0023626A" w:rsidRDefault="001F6201">
                              <w:pPr>
                                <w:spacing w:after="160" w:line="259" w:lineRule="auto"/>
                                <w:ind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6" name="Rectangle 26"/>
                        <wps:cNvSpPr/>
                        <wps:spPr>
                          <a:xfrm>
                            <a:off x="18288" y="877824"/>
                            <a:ext cx="42565" cy="188479"/>
                          </a:xfrm>
                          <a:prstGeom prst="rect">
                            <a:avLst/>
                          </a:prstGeom>
                          <a:ln>
                            <a:noFill/>
                          </a:ln>
                        </wps:spPr>
                        <wps:txbx>
                          <w:txbxContent>
                            <w:p w14:paraId="3C597822" w14:textId="77777777" w:rsidR="0023626A" w:rsidRDefault="001F6201">
                              <w:pPr>
                                <w:spacing w:after="160" w:line="259" w:lineRule="auto"/>
                                <w:ind w:right="0" w:firstLine="0"/>
                                <w:jc w:val="left"/>
                              </w:pPr>
                              <w:r>
                                <w:rPr>
                                  <w:rFonts w:ascii="Times New Roman" w:eastAsia="Times New Roman" w:hAnsi="Times New Roman" w:cs="Times New Roman"/>
                                  <w:color w:val="808080"/>
                                  <w:sz w:val="20"/>
                                </w:rPr>
                                <w:t xml:space="preserve"> </w:t>
                              </w:r>
                            </w:p>
                          </w:txbxContent>
                        </wps:txbx>
                        <wps:bodyPr horzOverflow="overflow" vert="horz" lIns="0" tIns="0" rIns="0" bIns="0" rtlCol="0">
                          <a:noAutofit/>
                        </wps:bodyPr>
                      </wps:wsp>
                      <wps:wsp>
                        <wps:cNvPr id="11461" name="Shape 11461"/>
                        <wps:cNvSpPr/>
                        <wps:spPr>
                          <a:xfrm>
                            <a:off x="0" y="1031511"/>
                            <a:ext cx="3174238" cy="9144"/>
                          </a:xfrm>
                          <a:custGeom>
                            <a:avLst/>
                            <a:gdLst/>
                            <a:ahLst/>
                            <a:cxnLst/>
                            <a:rect l="0" t="0" r="0" b="0"/>
                            <a:pathLst>
                              <a:path w="3174238" h="9144">
                                <a:moveTo>
                                  <a:pt x="0" y="0"/>
                                </a:moveTo>
                                <a:lnTo>
                                  <a:pt x="3174238" y="0"/>
                                </a:lnTo>
                                <a:lnTo>
                                  <a:pt x="3174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 name="Picture 30"/>
                          <pic:cNvPicPr/>
                        </pic:nvPicPr>
                        <pic:blipFill>
                          <a:blip r:embed="rId10"/>
                          <a:stretch>
                            <a:fillRect/>
                          </a:stretch>
                        </pic:blipFill>
                        <pic:spPr>
                          <a:xfrm>
                            <a:off x="3270199" y="125365"/>
                            <a:ext cx="2404110" cy="781050"/>
                          </a:xfrm>
                          <a:prstGeom prst="rect">
                            <a:avLst/>
                          </a:prstGeom>
                        </pic:spPr>
                      </pic:pic>
                    </wpg:wgp>
                  </a:graphicData>
                </a:graphic>
              </wp:inline>
            </w:drawing>
          </mc:Choice>
          <mc:Fallback xmlns:a="http://schemas.openxmlformats.org/drawingml/2006/main">
            <w:pict>
              <v:group id="Group 9833" style="width:446.796pt;height:81.9413pt;mso-position-horizontal-relative:char;mso-position-vertical-relative:line" coordsize="56743,10406">
                <v:rect id="Rectangle 6" style="position:absolute;width:37610;height:1521;left:182;top:27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Izba Gospodarcza Metali Nieżelaznych i Recyklingu</w:t>
                        </w:r>
                      </w:p>
                    </w:txbxContent>
                  </v:textbox>
                </v:rect>
                <v:rect id="Rectangle 7" style="position:absolute;width:425;height:1884;left:28450;top: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 </w:t>
                        </w:r>
                      </w:p>
                    </w:txbxContent>
                  </v:textbox>
                </v:rect>
                <v:rect id="Rectangle 8" style="position:absolute;width:16769;height:1884;left:182;top:1463;"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ul. Graniczna 29 lok.611</w:t>
                        </w:r>
                      </w:p>
                    </w:txbxContent>
                  </v:textbox>
                </v:rect>
                <v:rect id="Rectangle 9" style="position:absolute;width:425;height:1884;left:12776;top:1463;"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10" style="position:absolute;width:1702;height:1884;left:182;top:292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40</w:t>
                        </w:r>
                      </w:p>
                    </w:txbxContent>
                  </v:textbox>
                </v:rect>
                <v:rect id="Rectangle 11" style="position:absolute;width:566;height:1884;left:1463;top:292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9684" style="position:absolute;width:2553;height:1884;left:1892;top:292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017</w:t>
                        </w:r>
                      </w:p>
                    </w:txbxContent>
                  </v:textbox>
                </v:rect>
                <v:rect id="Rectangle 9685" style="position:absolute;width:6912;height:1884;left:3782;top:292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Katowice</w:t>
                        </w:r>
                      </w:p>
                    </w:txbxContent>
                  </v:textbox>
                </v:rect>
                <v:rect id="Rectangle 13" style="position:absolute;width:425;height:1884;left:8964;top:2926;"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14" style="position:absolute;width:9917;height:1884;left:182;top:4389;"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tel./fax +48 32</w:t>
                        </w:r>
                      </w:p>
                    </w:txbxContent>
                  </v:textbox>
                </v:rect>
                <v:rect id="Rectangle 15" style="position:absolute;width:425;height:1884;left:7653;top:4389;"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9686" style="position:absolute;width:4619;height:1884;left:7989;top:4389;"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204 20</w:t>
                        </w:r>
                      </w:p>
                    </w:txbxContent>
                  </v:textbox>
                </v:rect>
                <v:rect id="Rectangle 9688" style="position:absolute;width:425;height:1884;left:11462;top:4389;"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9687" style="position:absolute;width:1702;height:1884;left:11796;top:4389;"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24</w:t>
                        </w:r>
                      </w:p>
                    </w:txbxContent>
                  </v:textbox>
                </v:rect>
                <v:rect id="Rectangle 17" style="position:absolute;width:425;height:1884;left:13051;top:4389;"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204" style="position:absolute;width:8047;height:1884;left:182;top:5852;" filled="f" stroked="f">
                  <v:textbox inset="0,0,0,0">
                    <w:txbxContent>
                      <w:p>
                        <w:pPr>
                          <w:spacing w:before="0" w:after="160" w:line="259" w:lineRule="auto"/>
                          <w:ind w:left="0" w:right="0" w:firstLine="0"/>
                          <w:jc w:val="left"/>
                        </w:pPr>
                        <w:hyperlink r:id="hyperlink202">
                          <w:r>
                            <w:rPr>
                              <w:rFonts w:cs="Times New Roman" w:hAnsi="Times New Roman" w:eastAsia="Times New Roman" w:ascii="Times New Roman"/>
                              <w:sz w:val="20"/>
                            </w:rPr>
                            <w:t xml:space="preserve">www.igmni</w:t>
                          </w:r>
                        </w:hyperlink>
                      </w:p>
                    </w:txbxContent>
                  </v:textbox>
                </v:rect>
                <v:rect id="Rectangle 205" style="position:absolute;width:566;height:1884;left:6243;top:5852;" filled="f" stroked="f">
                  <v:textbox inset="0,0,0,0">
                    <w:txbxContent>
                      <w:p>
                        <w:pPr>
                          <w:spacing w:before="0" w:after="160" w:line="259" w:lineRule="auto"/>
                          <w:ind w:left="0" w:right="0" w:firstLine="0"/>
                          <w:jc w:val="left"/>
                        </w:pPr>
                        <w:hyperlink r:id="hyperlink202">
                          <w:r>
                            <w:rPr>
                              <w:rFonts w:cs="Times New Roman" w:hAnsi="Times New Roman" w:eastAsia="Times New Roman" w:ascii="Times New Roman"/>
                              <w:sz w:val="20"/>
                            </w:rPr>
                            <w:t xml:space="preserve">r</w:t>
                          </w:r>
                        </w:hyperlink>
                      </w:p>
                    </w:txbxContent>
                  </v:textbox>
                </v:rect>
                <v:rect id="Rectangle 206" style="position:absolute;width:425;height:1884;left:6647;top:5852;" filled="f" stroked="f">
                  <v:textbox inset="0,0,0,0">
                    <w:txbxContent>
                      <w:p>
                        <w:pPr>
                          <w:spacing w:before="0" w:after="160" w:line="259" w:lineRule="auto"/>
                          <w:ind w:left="0" w:right="0" w:firstLine="0"/>
                          <w:jc w:val="left"/>
                        </w:pPr>
                        <w:hyperlink r:id="hyperlink202">
                          <w:r>
                            <w:rPr>
                              <w:rFonts w:cs="Times New Roman" w:hAnsi="Times New Roman" w:eastAsia="Times New Roman" w:ascii="Times New Roman"/>
                              <w:sz w:val="20"/>
                            </w:rPr>
                            <w:t xml:space="preserve">.</w:t>
                          </w:r>
                        </w:hyperlink>
                      </w:p>
                    </w:txbxContent>
                  </v:textbox>
                </v:rect>
                <v:rect id="Rectangle 207" style="position:absolute;width:1324;height:1884;left:6982;top:5852;"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pl</w:t>
                        </w:r>
                      </w:p>
                    </w:txbxContent>
                  </v:textbox>
                </v:rect>
                <v:rect id="Rectangle 20" style="position:absolute;width:425;height:1884;left:7958;top:5852;"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21" style="position:absolute;width:755;height:1884;left:182;top:7315;"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e</w:t>
                        </w:r>
                      </w:p>
                    </w:txbxContent>
                  </v:textbox>
                </v:rect>
                <v:rect id="Rectangle 22" style="position:absolute;width:566;height:1884;left:762;top:7315;"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23" style="position:absolute;width:3868;height:1884;left:1188;top:7315;"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mail: </w:t>
                        </w:r>
                      </w:p>
                    </w:txbxContent>
                  </v:textbox>
                </v:rect>
                <v:rect id="Rectangle 24" style="position:absolute;width:11374;height:1884;left:4118;top:7315;"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biuro@igmnir.pl</w:t>
                        </w:r>
                      </w:p>
                    </w:txbxContent>
                  </v:textbox>
                </v:rect>
                <v:rect id="Rectangle 25" style="position:absolute;width:425;height:1884;left:12655;top:7315;"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26" style="position:absolute;width:425;height:1884;left:182;top:8778;" filled="f" stroked="f">
                  <v:textbox inset="0,0,0,0">
                    <w:txbxContent>
                      <w:p>
                        <w:pPr>
                          <w:spacing w:before="0" w:after="160" w:line="259" w:lineRule="auto"/>
                          <w:ind w:left="0" w:right="0" w:firstLine="0"/>
                          <w:jc w:val="left"/>
                        </w:pPr>
                        <w:r>
                          <w:rPr>
                            <w:rFonts w:cs="Times New Roman" w:hAnsi="Times New Roman" w:eastAsia="Times New Roman" w:ascii="Times New Roman"/>
                            <w:color w:val="808080"/>
                            <w:sz w:val="20"/>
                          </w:rPr>
                          <w:t xml:space="preserve"> </w:t>
                        </w:r>
                      </w:p>
                    </w:txbxContent>
                  </v:textbox>
                </v:rect>
                <v:shape id="Shape 11462" style="position:absolute;width:31742;height:91;left:0;top:10315;" coordsize="3174238,9144" path="m0,0l3174238,0l3174238,9144l0,9144l0,0">
                  <v:stroke weight="0pt" endcap="flat" joinstyle="miter" miterlimit="10" on="false" color="#000000" opacity="0"/>
                  <v:fill on="true" color="#000000"/>
                </v:shape>
                <v:shape id="Picture 30" style="position:absolute;width:24041;height:7810;left:32701;top:1253;" filled="f">
                  <v:imagedata r:id="rId11"/>
                </v:shape>
              </v:group>
            </w:pict>
          </mc:Fallback>
        </mc:AlternateContent>
      </w:r>
    </w:p>
    <w:p w14:paraId="68C21E9D" w14:textId="77777777" w:rsidR="0023626A" w:rsidRDefault="001F6201">
      <w:pPr>
        <w:spacing w:after="0" w:line="259" w:lineRule="auto"/>
        <w:ind w:right="0" w:firstLine="0"/>
        <w:jc w:val="left"/>
      </w:pPr>
      <w:r>
        <w:rPr>
          <w:rFonts w:ascii="Times New Roman" w:eastAsia="Times New Roman" w:hAnsi="Times New Roman" w:cs="Times New Roman"/>
        </w:rPr>
        <w:t xml:space="preserve"> </w:t>
      </w:r>
    </w:p>
    <w:p w14:paraId="7A1D6105" w14:textId="77777777" w:rsidR="0023626A" w:rsidRDefault="001F6201">
      <w:pPr>
        <w:spacing w:after="0" w:line="259" w:lineRule="auto"/>
        <w:ind w:right="53" w:firstLine="0"/>
        <w:jc w:val="right"/>
      </w:pPr>
      <w:proofErr w:type="spellStart"/>
      <w:r>
        <w:t>IGMNiR</w:t>
      </w:r>
      <w:proofErr w:type="spellEnd"/>
      <w:r>
        <w:t xml:space="preserve">   3/06/2024</w:t>
      </w:r>
      <w:r>
        <w:t xml:space="preserve">                                                                              Katowice, 6 czerwca 2024 r. </w:t>
      </w:r>
    </w:p>
    <w:p w14:paraId="542003E9" w14:textId="77777777" w:rsidR="0023626A" w:rsidRDefault="001F6201">
      <w:pPr>
        <w:spacing w:after="0" w:line="259" w:lineRule="auto"/>
        <w:ind w:left="3544" w:right="0" w:firstLine="0"/>
        <w:jc w:val="left"/>
      </w:pPr>
      <w:r>
        <w:rPr>
          <w:b/>
        </w:rPr>
        <w:t xml:space="preserve"> </w:t>
      </w:r>
    </w:p>
    <w:p w14:paraId="6B42EEAA" w14:textId="77777777" w:rsidR="0023626A" w:rsidRDefault="001F6201">
      <w:pPr>
        <w:spacing w:after="0" w:line="259" w:lineRule="auto"/>
        <w:ind w:left="3544" w:right="0" w:firstLine="0"/>
        <w:jc w:val="left"/>
      </w:pPr>
      <w:r>
        <w:rPr>
          <w:b/>
        </w:rPr>
        <w:t xml:space="preserve"> </w:t>
      </w:r>
    </w:p>
    <w:p w14:paraId="01CAD49E" w14:textId="77777777" w:rsidR="0023626A" w:rsidRDefault="001F6201">
      <w:pPr>
        <w:spacing w:after="0" w:line="259" w:lineRule="auto"/>
        <w:ind w:left="3544" w:right="0" w:firstLine="0"/>
        <w:jc w:val="left"/>
      </w:pPr>
      <w:r>
        <w:rPr>
          <w:b/>
        </w:rPr>
        <w:t xml:space="preserve"> </w:t>
      </w:r>
    </w:p>
    <w:p w14:paraId="5D4B5164" w14:textId="77777777" w:rsidR="0023626A" w:rsidRDefault="001F6201">
      <w:pPr>
        <w:spacing w:after="0" w:line="259" w:lineRule="auto"/>
        <w:ind w:left="3544" w:right="0" w:firstLine="0"/>
        <w:jc w:val="left"/>
      </w:pPr>
      <w:r>
        <w:rPr>
          <w:b/>
        </w:rPr>
        <w:t xml:space="preserve"> </w:t>
      </w:r>
    </w:p>
    <w:p w14:paraId="2D7E58AD" w14:textId="77777777" w:rsidR="0023626A" w:rsidRDefault="001F6201">
      <w:pPr>
        <w:spacing w:line="250" w:lineRule="auto"/>
        <w:ind w:left="4955" w:right="1055" w:hanging="10"/>
        <w:jc w:val="left"/>
      </w:pPr>
      <w:r>
        <w:rPr>
          <w:b/>
        </w:rPr>
        <w:t xml:space="preserve">Paulina </w:t>
      </w:r>
      <w:proofErr w:type="spellStart"/>
      <w:r>
        <w:rPr>
          <w:b/>
        </w:rPr>
        <w:t>Hennig</w:t>
      </w:r>
      <w:proofErr w:type="spellEnd"/>
      <w:r>
        <w:rPr>
          <w:b/>
        </w:rPr>
        <w:t xml:space="preserve">-Kloska Minister Klimatu i Środowiska </w:t>
      </w:r>
    </w:p>
    <w:p w14:paraId="631CAC2D" w14:textId="77777777" w:rsidR="0023626A" w:rsidRDefault="001F6201">
      <w:pPr>
        <w:spacing w:line="250" w:lineRule="auto"/>
        <w:ind w:left="4955" w:right="0" w:hanging="10"/>
        <w:jc w:val="left"/>
      </w:pPr>
      <w:r>
        <w:rPr>
          <w:b/>
        </w:rPr>
        <w:t xml:space="preserve">ul. Wawelska 52/54, 00-922 Warszawa </w:t>
      </w:r>
    </w:p>
    <w:p w14:paraId="5E06378D" w14:textId="77777777" w:rsidR="0023626A" w:rsidRDefault="001F6201">
      <w:pPr>
        <w:spacing w:after="0" w:line="259" w:lineRule="auto"/>
        <w:ind w:left="853" w:right="0" w:firstLine="0"/>
        <w:jc w:val="center"/>
      </w:pPr>
      <w:r>
        <w:rPr>
          <w:b/>
        </w:rPr>
        <w:t xml:space="preserve"> </w:t>
      </w:r>
    </w:p>
    <w:p w14:paraId="2F8E0A12" w14:textId="77777777" w:rsidR="0023626A" w:rsidRDefault="001F6201">
      <w:pPr>
        <w:spacing w:after="0" w:line="259" w:lineRule="auto"/>
        <w:ind w:left="2429" w:right="0" w:firstLine="0"/>
        <w:jc w:val="center"/>
      </w:pPr>
      <w:r>
        <w:rPr>
          <w:b/>
        </w:rPr>
        <w:t xml:space="preserve">Krzysztof </w:t>
      </w:r>
      <w:proofErr w:type="spellStart"/>
      <w:r>
        <w:rPr>
          <w:b/>
        </w:rPr>
        <w:t>Paszyk</w:t>
      </w:r>
      <w:proofErr w:type="spellEnd"/>
      <w:r>
        <w:rPr>
          <w:b/>
        </w:rPr>
        <w:t xml:space="preserve"> </w:t>
      </w:r>
    </w:p>
    <w:p w14:paraId="772512F4" w14:textId="77777777" w:rsidR="0023626A" w:rsidRDefault="001F6201">
      <w:pPr>
        <w:spacing w:line="250" w:lineRule="auto"/>
        <w:ind w:left="4955" w:right="0" w:hanging="10"/>
        <w:jc w:val="left"/>
      </w:pPr>
      <w:r>
        <w:rPr>
          <w:b/>
        </w:rPr>
        <w:t xml:space="preserve">Minister Rozwoju i Technologii </w:t>
      </w:r>
    </w:p>
    <w:p w14:paraId="6455003E" w14:textId="77777777" w:rsidR="0023626A" w:rsidRDefault="001F6201">
      <w:pPr>
        <w:spacing w:line="250" w:lineRule="auto"/>
        <w:ind w:left="4970" w:right="33" w:hanging="10"/>
      </w:pPr>
      <w:r>
        <w:rPr>
          <w:b/>
        </w:rPr>
        <w:t xml:space="preserve">Pl. Trzech Krzyży 3/5, 00-507 Warszawa </w:t>
      </w:r>
    </w:p>
    <w:p w14:paraId="2BF7300E" w14:textId="77777777" w:rsidR="0023626A" w:rsidRDefault="001F6201">
      <w:pPr>
        <w:spacing w:after="0" w:line="259" w:lineRule="auto"/>
        <w:ind w:left="853" w:right="0" w:firstLine="0"/>
        <w:jc w:val="center"/>
      </w:pPr>
      <w:r>
        <w:rPr>
          <w:b/>
        </w:rPr>
        <w:t xml:space="preserve"> </w:t>
      </w:r>
    </w:p>
    <w:p w14:paraId="44FB4148" w14:textId="77777777" w:rsidR="0023626A" w:rsidRDefault="001F6201">
      <w:pPr>
        <w:pStyle w:val="Nagwek1"/>
        <w:ind w:left="2624"/>
      </w:pPr>
      <w:r>
        <w:t>Urszula Pasławska</w:t>
      </w:r>
      <w:r>
        <w:t xml:space="preserve"> </w:t>
      </w:r>
    </w:p>
    <w:p w14:paraId="760449D5" w14:textId="77777777" w:rsidR="0023626A" w:rsidRDefault="001F6201">
      <w:pPr>
        <w:spacing w:after="0" w:line="240" w:lineRule="auto"/>
        <w:ind w:left="4960" w:right="605" w:firstLine="0"/>
        <w:jc w:val="left"/>
      </w:pPr>
      <w:r>
        <w:rPr>
          <w:b/>
        </w:rPr>
        <w:t xml:space="preserve">Przewodnicząca Komisji Ochrony Środowiska, Zasobów Naturalnych i Leśnictwa </w:t>
      </w:r>
    </w:p>
    <w:p w14:paraId="1D91790D" w14:textId="77777777" w:rsidR="0023626A" w:rsidRDefault="001F6201">
      <w:pPr>
        <w:spacing w:line="250" w:lineRule="auto"/>
        <w:ind w:left="4955" w:right="0" w:hanging="10"/>
        <w:jc w:val="left"/>
      </w:pPr>
      <w:r>
        <w:rPr>
          <w:b/>
        </w:rPr>
        <w:t xml:space="preserve">ul. Wiejska 4/6/8, 00-902 Warszawa </w:t>
      </w:r>
    </w:p>
    <w:p w14:paraId="70DDA72F" w14:textId="77777777" w:rsidR="0023626A" w:rsidRDefault="001F6201">
      <w:pPr>
        <w:spacing w:after="0" w:line="259" w:lineRule="auto"/>
        <w:ind w:left="853" w:right="0" w:firstLine="0"/>
        <w:jc w:val="center"/>
      </w:pPr>
      <w:r>
        <w:rPr>
          <w:b/>
        </w:rPr>
        <w:t xml:space="preserve"> </w:t>
      </w:r>
    </w:p>
    <w:p w14:paraId="0263B083" w14:textId="77777777" w:rsidR="0023626A" w:rsidRDefault="001F6201">
      <w:pPr>
        <w:spacing w:after="0" w:line="259" w:lineRule="auto"/>
        <w:ind w:right="0" w:firstLine="0"/>
        <w:jc w:val="left"/>
      </w:pPr>
      <w:r>
        <w:rPr>
          <w:b/>
        </w:rPr>
        <w:t xml:space="preserve"> </w:t>
      </w:r>
    </w:p>
    <w:p w14:paraId="45773D93" w14:textId="77777777" w:rsidR="0023626A" w:rsidRDefault="001F6201">
      <w:pPr>
        <w:spacing w:after="0" w:line="259" w:lineRule="auto"/>
        <w:ind w:right="0" w:firstLine="0"/>
        <w:jc w:val="left"/>
      </w:pPr>
      <w:r>
        <w:rPr>
          <w:b/>
        </w:rPr>
        <w:t xml:space="preserve"> </w:t>
      </w:r>
    </w:p>
    <w:p w14:paraId="0A81FBC9" w14:textId="77777777" w:rsidR="0023626A" w:rsidRDefault="001F6201">
      <w:pPr>
        <w:spacing w:after="0" w:line="259" w:lineRule="auto"/>
        <w:ind w:right="0" w:firstLine="0"/>
        <w:jc w:val="left"/>
      </w:pPr>
      <w:r>
        <w:rPr>
          <w:b/>
        </w:rPr>
        <w:t xml:space="preserve"> </w:t>
      </w:r>
    </w:p>
    <w:p w14:paraId="37A50E29" w14:textId="77777777" w:rsidR="0023626A" w:rsidRDefault="001F6201">
      <w:pPr>
        <w:spacing w:line="250" w:lineRule="auto"/>
        <w:ind w:left="-5" w:right="33" w:hanging="10"/>
      </w:pPr>
      <w:r>
        <w:rPr>
          <w:b/>
        </w:rPr>
        <w:t xml:space="preserve">Dotyczy: </w:t>
      </w:r>
      <w:r>
        <w:rPr>
          <w:b/>
        </w:rPr>
        <w:t xml:space="preserve">Wniosek o podjęcie prac legislacyjnych i organizacyjnych w przedmiocie zezwoleń środowiskowych i decyzji odpadowych. </w:t>
      </w:r>
    </w:p>
    <w:p w14:paraId="521D00F4" w14:textId="77777777" w:rsidR="0023626A" w:rsidRDefault="001F6201">
      <w:pPr>
        <w:spacing w:after="0" w:line="259" w:lineRule="auto"/>
        <w:ind w:right="0" w:firstLine="0"/>
        <w:jc w:val="left"/>
      </w:pPr>
      <w:r>
        <w:rPr>
          <w:b/>
        </w:rPr>
        <w:t xml:space="preserve"> </w:t>
      </w:r>
    </w:p>
    <w:p w14:paraId="3DBA641C" w14:textId="77777777" w:rsidR="0023626A" w:rsidRDefault="001F6201">
      <w:pPr>
        <w:spacing w:after="0" w:line="259" w:lineRule="auto"/>
        <w:ind w:right="0" w:firstLine="0"/>
        <w:jc w:val="left"/>
      </w:pPr>
      <w:r>
        <w:rPr>
          <w:b/>
          <w:i/>
        </w:rPr>
        <w:t xml:space="preserve">Szanowna Pani Minister, </w:t>
      </w:r>
    </w:p>
    <w:p w14:paraId="329F6D59" w14:textId="77777777" w:rsidR="0023626A" w:rsidRDefault="001F6201">
      <w:pPr>
        <w:spacing w:after="20" w:line="259" w:lineRule="auto"/>
        <w:ind w:left="706" w:right="0" w:firstLine="0"/>
        <w:jc w:val="left"/>
      </w:pPr>
      <w:r>
        <w:t xml:space="preserve"> </w:t>
      </w:r>
    </w:p>
    <w:p w14:paraId="2932CDBE" w14:textId="77777777" w:rsidR="0023626A" w:rsidRDefault="001F6201">
      <w:pPr>
        <w:ind w:left="-15" w:right="41"/>
      </w:pPr>
      <w:r>
        <w:t xml:space="preserve">Izba Gospodarcza </w:t>
      </w:r>
      <w:r>
        <w:t>Metali Nieżelaznych i Recyklingu</w:t>
      </w:r>
      <w:r>
        <w:t xml:space="preserve"> </w:t>
      </w:r>
      <w:r>
        <w:t>(„</w:t>
      </w:r>
      <w:proofErr w:type="spellStart"/>
      <w:r>
        <w:rPr>
          <w:b/>
        </w:rPr>
        <w:t>IGMNiR</w:t>
      </w:r>
      <w:proofErr w:type="spellEnd"/>
      <w:r>
        <w:t>”, „</w:t>
      </w:r>
      <w:r>
        <w:rPr>
          <w:b/>
        </w:rPr>
        <w:t>Izba</w:t>
      </w:r>
      <w:r>
        <w:t>”)</w:t>
      </w:r>
      <w:r>
        <w:t xml:space="preserve"> jest organizacj</w:t>
      </w:r>
      <w:r>
        <w:t>ą samorządu gospodarczego wspierającą</w:t>
      </w:r>
      <w:r>
        <w:t xml:space="preserve"> rozw</w:t>
      </w:r>
      <w:r>
        <w:t>ój przemysłu metali nieżelaznych</w:t>
      </w:r>
      <w:r>
        <w:t xml:space="preserve"> (w tym </w:t>
      </w:r>
      <w:r>
        <w:t>aluminium, ołów,</w:t>
      </w:r>
      <w:r>
        <w:t xml:space="preserve"> </w:t>
      </w:r>
      <w:r>
        <w:t>miedź)</w:t>
      </w:r>
      <w:r>
        <w:t xml:space="preserve"> i recyklingu metali w Polsce. Obecnie </w:t>
      </w:r>
      <w:proofErr w:type="spellStart"/>
      <w:r>
        <w:t>IGMNiR</w:t>
      </w:r>
      <w:proofErr w:type="spellEnd"/>
      <w:r>
        <w:t xml:space="preserve"> skupia 75 </w:t>
      </w:r>
      <w:r>
        <w:t>branżow</w:t>
      </w:r>
      <w:r>
        <w:t xml:space="preserve">ych </w:t>
      </w:r>
      <w:r>
        <w:t>firm członkowski</w:t>
      </w:r>
      <w:r>
        <w:t xml:space="preserve">ch.  </w:t>
      </w:r>
    </w:p>
    <w:p w14:paraId="1D0BC6C5" w14:textId="77777777" w:rsidR="0023626A" w:rsidRDefault="001F6201">
      <w:pPr>
        <w:ind w:left="-15" w:right="41"/>
      </w:pPr>
      <w:r>
        <w:t>Do głównych zadań realizowanych przez Izbę należą</w:t>
      </w:r>
      <w:r>
        <w:t xml:space="preserve"> </w:t>
      </w:r>
      <w:r>
        <w:t xml:space="preserve">w szczególności </w:t>
      </w:r>
      <w:r>
        <w:t xml:space="preserve">reprezentacja </w:t>
      </w:r>
      <w:r>
        <w:t>interesów podmiotów gospodarczych będących jej członkami wobec administracji unijnej, państwowej i samorządowej, dbałość o rozwój przemysłu metali nieżelaznych,</w:t>
      </w:r>
      <w:r>
        <w:t xml:space="preserve"> ochrona </w:t>
      </w:r>
      <w:r>
        <w:t>rynkowych interesów zarówno swoich członków, jak i całej branży, zwłaszcza poprzez współpracę z administracją publiczną RP i UE</w:t>
      </w:r>
      <w:r>
        <w:t xml:space="preserve"> </w:t>
      </w:r>
      <w:r>
        <w:t>jak również</w:t>
      </w:r>
      <w:r>
        <w:t xml:space="preserve"> </w:t>
      </w:r>
      <w:r>
        <w:t xml:space="preserve">współudział w procesie tworzenia </w:t>
      </w:r>
      <w:r>
        <w:t xml:space="preserve">prawa gospodarczego poprzez proponowanie i opiniowanie jego zmian. </w:t>
      </w:r>
      <w:proofErr w:type="spellStart"/>
      <w:r>
        <w:t>IGMNiR</w:t>
      </w:r>
      <w:proofErr w:type="spellEnd"/>
      <w:r>
        <w:t xml:space="preserve"> przynależy również do międzynarodowych organizacji branżowych, w </w:t>
      </w:r>
      <w:r>
        <w:t xml:space="preserve">tym do BIR </w:t>
      </w:r>
      <w:r>
        <w:t xml:space="preserve">- </w:t>
      </w:r>
      <w:r>
        <w:t xml:space="preserve">Światowej Federacji </w:t>
      </w:r>
      <w:r>
        <w:t xml:space="preserve">Recyklingu Metali </w:t>
      </w:r>
      <w:r>
        <w:t xml:space="preserve">z siedzibą w Brukseli, EUROMETAUX </w:t>
      </w:r>
      <w:r>
        <w:t xml:space="preserve">- </w:t>
      </w:r>
      <w:r>
        <w:t xml:space="preserve">Europejskiej Federacji Producentów i </w:t>
      </w:r>
      <w:r>
        <w:lastRenderedPageBreak/>
        <w:t xml:space="preserve">Przetwórców Metali Nieżelaznych z siedzibą w Brukseli, oraz EUROMETREC </w:t>
      </w:r>
      <w:r>
        <w:t xml:space="preserve">- Europejskiej </w:t>
      </w:r>
      <w:r>
        <w:t>Federacji Handlu i Recyklingu Metali Nieżelaznych, również z siedzibą w Brukseli.</w:t>
      </w:r>
      <w:r>
        <w:t xml:space="preserve"> </w:t>
      </w:r>
    </w:p>
    <w:p w14:paraId="67D537C0" w14:textId="77777777" w:rsidR="0023626A" w:rsidRDefault="001F6201">
      <w:pPr>
        <w:spacing w:after="43"/>
        <w:ind w:left="-15" w:right="41"/>
      </w:pPr>
      <w:r>
        <w:t>Mając na względzie powyższe</w:t>
      </w:r>
      <w:r>
        <w:t xml:space="preserve">, w imieniu </w:t>
      </w:r>
      <w:r>
        <w:t>przedsiębiorstw zrzeszonych w Izbie Gospodarczej Metali Nieżelaznych</w:t>
      </w:r>
      <w:r>
        <w:t xml:space="preserve"> i Recyklingu, z</w:t>
      </w:r>
      <w:r>
        <w:t>wracam się z uprzejmą prośbą o</w:t>
      </w:r>
      <w:r>
        <w:t xml:space="preserve"> </w:t>
      </w:r>
      <w:r>
        <w:t xml:space="preserve">podjęcie </w:t>
      </w:r>
      <w:r>
        <w:t xml:space="preserve">pilnych prac legislacyjnych i organizacyjnych </w:t>
      </w:r>
      <w:r>
        <w:t>mających na celu</w:t>
      </w:r>
      <w:r>
        <w:t xml:space="preserve">: </w:t>
      </w:r>
    </w:p>
    <w:p w14:paraId="79C8A5D3" w14:textId="77777777" w:rsidR="0023626A" w:rsidRDefault="001F6201">
      <w:pPr>
        <w:numPr>
          <w:ilvl w:val="0"/>
          <w:numId w:val="1"/>
        </w:numPr>
        <w:spacing w:after="43"/>
        <w:ind w:right="41" w:hanging="361"/>
      </w:pPr>
      <w:r>
        <w:t>skrócenie</w:t>
      </w:r>
      <w:r>
        <w:t xml:space="preserve"> </w:t>
      </w:r>
      <w:r>
        <w:t>terminów wydawania zezwoleń środowiskowych dla przedsiębiorstw zajmujących się recyklingiem metali nieżelaznych</w:t>
      </w:r>
      <w:r>
        <w:t xml:space="preserve"> </w:t>
      </w:r>
      <w:r>
        <w:t>mającym wpływ na bezpieczeństwo</w:t>
      </w:r>
      <w:r>
        <w:t xml:space="preserve"> surowcowe naszego kraju; </w:t>
      </w:r>
    </w:p>
    <w:p w14:paraId="218E9121" w14:textId="77777777" w:rsidR="0023626A" w:rsidRDefault="001F6201">
      <w:pPr>
        <w:numPr>
          <w:ilvl w:val="0"/>
          <w:numId w:val="1"/>
        </w:numPr>
        <w:spacing w:after="26"/>
        <w:ind w:right="41" w:hanging="361"/>
      </w:pPr>
      <w:r>
        <w:t>doprecyzowanie przepisów</w:t>
      </w:r>
      <w:r>
        <w:t xml:space="preserve"> Ustawa z dnia 14 grudnia 2012 r. o odpadach (</w:t>
      </w:r>
      <w:proofErr w:type="spellStart"/>
      <w:r>
        <w:t>t.j</w:t>
      </w:r>
      <w:proofErr w:type="spellEnd"/>
      <w:r>
        <w:t xml:space="preserve">. Dz. U. z </w:t>
      </w:r>
      <w:r>
        <w:t xml:space="preserve">2023 r. poz. 1587 z </w:t>
      </w:r>
      <w:proofErr w:type="spellStart"/>
      <w:r>
        <w:t>późn</w:t>
      </w:r>
      <w:proofErr w:type="spellEnd"/>
      <w:r>
        <w:t>. zm.</w:t>
      </w:r>
      <w:r>
        <w:t xml:space="preserve"> </w:t>
      </w:r>
      <w:r>
        <w:t>–</w:t>
      </w:r>
      <w:r>
        <w:t xml:space="preserve"> </w:t>
      </w:r>
      <w:r>
        <w:t>dalej „</w:t>
      </w:r>
      <w:r>
        <w:rPr>
          <w:b/>
        </w:rPr>
        <w:t>ustawa o odpadach</w:t>
      </w:r>
      <w:r>
        <w:t>”</w:t>
      </w:r>
      <w:r>
        <w:t>) oraz</w:t>
      </w:r>
      <w:r>
        <w:rPr>
          <w:sz w:val="22"/>
        </w:rPr>
        <w:t xml:space="preserve"> </w:t>
      </w:r>
      <w:r>
        <w:t xml:space="preserve">Ustawa z dnia 27 </w:t>
      </w:r>
      <w:r>
        <w:t>kwietnia 2001 r. Prawo ochrony środowiska (</w:t>
      </w:r>
      <w:proofErr w:type="spellStart"/>
      <w:r>
        <w:t>t.j</w:t>
      </w:r>
      <w:proofErr w:type="spellEnd"/>
      <w:r>
        <w:t>. Dz. U. z 2024 r. poz. 54</w:t>
      </w:r>
      <w:r>
        <w:t xml:space="preserve"> </w:t>
      </w:r>
      <w:r>
        <w:t>–</w:t>
      </w:r>
      <w:r>
        <w:t xml:space="preserve"> </w:t>
      </w:r>
      <w:r>
        <w:t>dalej „</w:t>
      </w:r>
      <w:r>
        <w:rPr>
          <w:b/>
        </w:rPr>
        <w:t>POŚ</w:t>
      </w:r>
      <w:r>
        <w:t>”</w:t>
      </w:r>
      <w:r>
        <w:t xml:space="preserve">) </w:t>
      </w:r>
      <w:r>
        <w:t xml:space="preserve">w przedmiocie skutków przekształcenia </w:t>
      </w:r>
      <w:r>
        <w:t>p</w:t>
      </w:r>
      <w:r>
        <w:t xml:space="preserve">rzedsiębiorcy oraz spółek prawa handlowego </w:t>
      </w:r>
      <w:r>
        <w:t xml:space="preserve">na decyzje administracyjne wydawane na podstawie tych ustaw; </w:t>
      </w:r>
    </w:p>
    <w:p w14:paraId="75627407" w14:textId="77777777" w:rsidR="0023626A" w:rsidRDefault="001F6201">
      <w:pPr>
        <w:numPr>
          <w:ilvl w:val="0"/>
          <w:numId w:val="1"/>
        </w:numPr>
        <w:spacing w:after="207"/>
        <w:ind w:right="41" w:hanging="361"/>
      </w:pPr>
      <w:r>
        <w:t>doprecyzowanie pojęcia „istotnej zmiany” zezwoleń oraz pozwoleń odpadowych dla uniknięcia uznaniowości organów w interpretacji tego pojęcia oraz celem ułatwienia uzyskiwania decyzji odpadowych w przypadku zmian w sposób oczywisty niewymagających stosowania dodatkowych obostrzeń</w:t>
      </w:r>
      <w:r>
        <w:t>,</w:t>
      </w:r>
      <w:r>
        <w:rPr>
          <w:sz w:val="22"/>
        </w:rPr>
        <w:t xml:space="preserve"> </w:t>
      </w:r>
    </w:p>
    <w:p w14:paraId="5D0A36F6" w14:textId="77777777" w:rsidR="0023626A" w:rsidRDefault="001F6201">
      <w:pPr>
        <w:ind w:left="-15" w:right="41" w:firstLine="0"/>
      </w:pPr>
      <w:r>
        <w:t>które to zmiany</w:t>
      </w:r>
      <w:r>
        <w:t xml:space="preserve"> w ocenie </w:t>
      </w:r>
      <w:proofErr w:type="spellStart"/>
      <w:r>
        <w:t>IGMNiR</w:t>
      </w:r>
      <w:proofErr w:type="spellEnd"/>
      <w:r>
        <w:t xml:space="preserve"> </w:t>
      </w:r>
      <w:r>
        <w:t xml:space="preserve">znacząco przyspieszą i uproszczą </w:t>
      </w:r>
      <w:r>
        <w:t xml:space="preserve">proces uzyskiwania i </w:t>
      </w:r>
      <w:r>
        <w:t>przenoszenia decyzji administracyjnych z zakresu ochrony środowiska, w tym w szczególności decyzji dotyczących odpadów</w:t>
      </w:r>
      <w:r>
        <w:t xml:space="preserve">, nie </w:t>
      </w:r>
      <w:r>
        <w:t>zwiększając tym samym</w:t>
      </w:r>
      <w:r>
        <w:t xml:space="preserve"> </w:t>
      </w:r>
      <w:r>
        <w:t>ryzyka oddziaływania na środowisko, w tym na</w:t>
      </w:r>
      <w:r>
        <w:t xml:space="preserve"> zakres kontroli sprawowanej przez organy administracji. </w:t>
      </w:r>
    </w:p>
    <w:p w14:paraId="6BEB7679" w14:textId="77777777" w:rsidR="0023626A" w:rsidRDefault="001F6201">
      <w:pPr>
        <w:spacing w:after="0" w:line="259" w:lineRule="auto"/>
        <w:ind w:right="0" w:firstLine="0"/>
        <w:jc w:val="left"/>
      </w:pPr>
      <w:r>
        <w:t xml:space="preserve"> </w:t>
      </w:r>
    </w:p>
    <w:p w14:paraId="432CEA81" w14:textId="77777777" w:rsidR="0023626A" w:rsidRDefault="001F6201">
      <w:pPr>
        <w:spacing w:line="250" w:lineRule="auto"/>
        <w:ind w:left="-5" w:right="33" w:hanging="10"/>
      </w:pPr>
      <w:r>
        <w:rPr>
          <w:b/>
        </w:rPr>
        <w:t xml:space="preserve">Ad. 1 - skrócenie terminów wydawania zezwoleń środowiskowych dla przedsiębiorstw zajmujących się recyklingiem metali nieżelaznych </w:t>
      </w:r>
    </w:p>
    <w:p w14:paraId="2D2D3C18" w14:textId="77777777" w:rsidR="0023626A" w:rsidRDefault="001F6201">
      <w:pPr>
        <w:spacing w:after="0" w:line="259" w:lineRule="auto"/>
        <w:ind w:right="0" w:firstLine="0"/>
        <w:jc w:val="left"/>
      </w:pPr>
      <w:r>
        <w:rPr>
          <w:rFonts w:ascii="Times New Roman" w:eastAsia="Times New Roman" w:hAnsi="Times New Roman" w:cs="Times New Roman"/>
        </w:rPr>
        <w:t xml:space="preserve"> </w:t>
      </w:r>
    </w:p>
    <w:p w14:paraId="3B672768" w14:textId="77777777" w:rsidR="0023626A" w:rsidRDefault="001F6201">
      <w:pPr>
        <w:ind w:left="-15" w:right="41"/>
      </w:pPr>
      <w:r>
        <w:t xml:space="preserve">Obecne procedury wydawania zezwoleń środowiskowych są czasochłonne i często powodują znaczące opóźnienia w </w:t>
      </w:r>
      <w:r>
        <w:t xml:space="preserve">modernizacji </w:t>
      </w:r>
      <w:r>
        <w:t xml:space="preserve">zakładów </w:t>
      </w:r>
      <w:r>
        <w:t xml:space="preserve">lub </w:t>
      </w:r>
      <w:r>
        <w:t>rozpoczęciu działalności przez przedsiębiorstwa z sektora recyklingu. W efekcie, wpływa to negatywnie na rozwój tej branży podnoszenie dbałości o ochronę</w:t>
      </w:r>
      <w:r>
        <w:t xml:space="preserve"> </w:t>
      </w:r>
      <w:r>
        <w:t xml:space="preserve">środowiska oraz na realizację celów zrównoważonego </w:t>
      </w:r>
      <w:r>
        <w:t xml:space="preserve">rozwoju, </w:t>
      </w:r>
      <w:r>
        <w:t>które stają się tak istotne w obecnych czasach</w:t>
      </w:r>
      <w:r>
        <w:t xml:space="preserve">. </w:t>
      </w:r>
    </w:p>
    <w:p w14:paraId="7F5F8D94" w14:textId="77777777" w:rsidR="0023626A" w:rsidRDefault="001F6201">
      <w:pPr>
        <w:ind w:left="-15" w:right="41"/>
      </w:pPr>
      <w:r>
        <w:t>Przedsiębiorstwa zajmujące się recyklingiem metali nieżelaznych stoją przed wyzwaniami związanymi z długotrwałymi i skomplikowanymi procedurami administracyjnymi, które nie tylko opóźniają rozpoczęcie ich działalności, ale również generują dodatkowe koszty</w:t>
      </w:r>
      <w:r>
        <w:t xml:space="preserve"> i ryzyko. Z tego powodu, wiele potencjalnie dochodowych i ekologicznie korzystnych </w:t>
      </w:r>
      <w:r>
        <w:t>projektów jest opóźnionych lub odstępuję się od ich realizacji</w:t>
      </w:r>
      <w:r>
        <w:t xml:space="preserve">. </w:t>
      </w:r>
    </w:p>
    <w:p w14:paraId="0FC76DF1" w14:textId="77777777" w:rsidR="0023626A" w:rsidRDefault="001F6201">
      <w:pPr>
        <w:ind w:left="144" w:right="41" w:firstLine="567"/>
      </w:pPr>
      <w:r>
        <w:t>Skrócenie czasu oczekiwania na wydanie zezwoleń środowiskowych przyniesie szereg korzyści, takich jak:</w:t>
      </w:r>
      <w:r>
        <w:t xml:space="preserve"> </w:t>
      </w:r>
    </w:p>
    <w:p w14:paraId="70D15DBC" w14:textId="77777777" w:rsidR="0023626A" w:rsidRDefault="001F6201">
      <w:pPr>
        <w:spacing w:after="56" w:line="259" w:lineRule="auto"/>
        <w:ind w:left="1426" w:right="0" w:firstLine="0"/>
        <w:jc w:val="left"/>
      </w:pPr>
      <w:r>
        <w:t xml:space="preserve"> </w:t>
      </w:r>
    </w:p>
    <w:p w14:paraId="2B05F56D" w14:textId="77777777" w:rsidR="0023626A" w:rsidRDefault="001F6201">
      <w:pPr>
        <w:numPr>
          <w:ilvl w:val="0"/>
          <w:numId w:val="2"/>
        </w:numPr>
        <w:ind w:right="41" w:hanging="360"/>
      </w:pPr>
      <w:r>
        <w:t>Zwiększenie efektywności procesów recyklingu –</w:t>
      </w:r>
      <w:r>
        <w:t xml:space="preserve"> szybszy </w:t>
      </w:r>
      <w:r>
        <w:t xml:space="preserve">dostęp do zezwoleń pozwoli przedsiębiorstwom na szybsze rozpoczęcie działalności i wprowadzenie innowacyjnych technologii recyklingu. Przedsiębiorstwa te będą mogły w pełni wykorzystać swoje zasoby i potencjał technologiczny, co w dłuższej perspektywie </w:t>
      </w:r>
      <w:r>
        <w:t>pr</w:t>
      </w:r>
      <w:r>
        <w:t>zełoży się na bardziej efektywne zarządzanie odpadami i surowcami wtórnymi.</w:t>
      </w:r>
      <w:r>
        <w:t xml:space="preserve"> </w:t>
      </w:r>
    </w:p>
    <w:p w14:paraId="1EA52174" w14:textId="77777777" w:rsidR="0023626A" w:rsidRDefault="001F6201">
      <w:pPr>
        <w:spacing w:after="0" w:line="259" w:lineRule="auto"/>
        <w:ind w:left="1426" w:right="0" w:firstLine="0"/>
        <w:jc w:val="left"/>
      </w:pPr>
      <w:r>
        <w:t xml:space="preserve"> </w:t>
      </w:r>
    </w:p>
    <w:p w14:paraId="4001243A" w14:textId="77777777" w:rsidR="0023626A" w:rsidRDefault="001F6201">
      <w:pPr>
        <w:numPr>
          <w:ilvl w:val="0"/>
          <w:numId w:val="2"/>
        </w:numPr>
        <w:ind w:right="41" w:hanging="360"/>
      </w:pPr>
      <w:r>
        <w:lastRenderedPageBreak/>
        <w:t>Wsparcie dla gospodarki obiegu zamkniętego –</w:t>
      </w:r>
      <w:r>
        <w:t xml:space="preserve"> </w:t>
      </w:r>
      <w:r>
        <w:t xml:space="preserve">dynamiczny rozwój recyklingu metali nieżelaznych przyczyni się do stworzenia większej ilości miejsc pracy oraz poprawy konkurencyjności polskiej gospodarki. Recykling metali nieżelaznych jest </w:t>
      </w:r>
      <w:r>
        <w:t xml:space="preserve">kluczowym elementem </w:t>
      </w:r>
      <w:r>
        <w:t>gospodarki obiegu zamkniętego, która jest jednym z priorytetów polityki Unii Europejskiej. Wprowadzenie szybszych i bardziej przejrzystych procedur administracyjnych pozwoli Polsce lepiej realizować te założenia i czerpać z tego wymierne korzyści gospodar</w:t>
      </w:r>
      <w:r>
        <w:t xml:space="preserve">cze. </w:t>
      </w:r>
    </w:p>
    <w:p w14:paraId="06D78AAF" w14:textId="77777777" w:rsidR="0023626A" w:rsidRDefault="001F6201">
      <w:pPr>
        <w:spacing w:after="56" w:line="259" w:lineRule="auto"/>
        <w:ind w:left="1426" w:right="0" w:firstLine="0"/>
        <w:jc w:val="left"/>
      </w:pPr>
      <w:r>
        <w:t xml:space="preserve"> </w:t>
      </w:r>
    </w:p>
    <w:p w14:paraId="15F0053D" w14:textId="77777777" w:rsidR="0023626A" w:rsidRDefault="001F6201">
      <w:pPr>
        <w:numPr>
          <w:ilvl w:val="0"/>
          <w:numId w:val="2"/>
        </w:numPr>
        <w:ind w:right="41" w:hanging="360"/>
      </w:pPr>
      <w:r>
        <w:t>Oszczędności dla budżetu państwa –</w:t>
      </w:r>
      <w:r>
        <w:t xml:space="preserve"> </w:t>
      </w:r>
      <w:r>
        <w:t>poprzez ułatwienie działalności firmom recyklingowym, możliwe jest ograniczenie kosztów związanych z zarządzaniem odpadami oraz zmniejszenie obciążenia składowisk odpadów. Długotrwałe procedury administracyjne generują koszty nie tylko dla przedsiębiorstw, ale również dla administracji publicznej. Przyspieszenie tych procesów przyniesie oszczędności zarówno dla sektora prywatnego, jak i dla budżetu państwa.</w:t>
      </w:r>
      <w:r>
        <w:t xml:space="preserve"> </w:t>
      </w:r>
    </w:p>
    <w:p w14:paraId="3405A856" w14:textId="77777777" w:rsidR="0023626A" w:rsidRDefault="001F6201">
      <w:pPr>
        <w:spacing w:after="20" w:line="259" w:lineRule="auto"/>
        <w:ind w:left="721" w:right="0" w:firstLine="0"/>
        <w:jc w:val="left"/>
      </w:pPr>
      <w:r>
        <w:t xml:space="preserve"> </w:t>
      </w:r>
    </w:p>
    <w:p w14:paraId="5817C767" w14:textId="77777777" w:rsidR="0023626A" w:rsidRDefault="001F6201">
      <w:pPr>
        <w:ind w:left="-15" w:right="41"/>
      </w:pPr>
      <w:r>
        <w:t xml:space="preserve">W związku z powyższym, zwracam się z prośbą o podjęcie działań </w:t>
      </w:r>
      <w:r>
        <w:t xml:space="preserve">legislacyjnych, organizacyjnych </w:t>
      </w:r>
      <w:r>
        <w:t>i technologicznych (Załącznik nr 1)</w:t>
      </w:r>
      <w:r>
        <w:t xml:space="preserve"> </w:t>
      </w:r>
      <w:r>
        <w:t xml:space="preserve">mających na celu uproszczenie procedur administracyjnych oraz skrócenie czasu wydawania zezwoleń środowiskowych dla przedsiębiorstw z branży recyklingu metali nieżelaznych. Liczę na pozytywne rozpatrzenie </w:t>
      </w:r>
      <w:r>
        <w:t xml:space="preserve">naszej </w:t>
      </w:r>
      <w:r>
        <w:t xml:space="preserve">prośby oraz na podjęcie działań, które przyczynią się do poprawy warunków funkcjonowania przedsiębiorstw dostarczających cennych surowców dla polskiej gospodarki </w:t>
      </w:r>
      <w:r>
        <w:t>oraz dz</w:t>
      </w:r>
      <w:r>
        <w:t>iałających na rzecz ochrony środowiska.</w:t>
      </w:r>
      <w:r>
        <w:t xml:space="preserve"> </w:t>
      </w:r>
    </w:p>
    <w:p w14:paraId="2349A44B" w14:textId="77777777" w:rsidR="0023626A" w:rsidRDefault="001F6201">
      <w:pPr>
        <w:spacing w:after="221" w:line="259" w:lineRule="auto"/>
        <w:ind w:left="706" w:right="0" w:firstLine="0"/>
        <w:jc w:val="left"/>
      </w:pPr>
      <w:r>
        <w:t xml:space="preserve"> </w:t>
      </w:r>
    </w:p>
    <w:p w14:paraId="5B309DF9" w14:textId="77777777" w:rsidR="0023626A" w:rsidRDefault="001F6201">
      <w:pPr>
        <w:spacing w:line="250" w:lineRule="auto"/>
        <w:ind w:left="-5" w:right="33" w:hanging="10"/>
      </w:pPr>
      <w:r>
        <w:rPr>
          <w:b/>
        </w:rPr>
        <w:t xml:space="preserve">Ad. 2 – doprecyzowanie przepisów ustawy o odpadach oraz POŚ w przedmiocie skutków przekształcenia przedsiębiorcy oraz spółek prawa handlowego na decyzje administracyjne wydawane na podstawie tych ustaw </w:t>
      </w:r>
    </w:p>
    <w:p w14:paraId="7329334B" w14:textId="77777777" w:rsidR="0023626A" w:rsidRDefault="001F6201">
      <w:pPr>
        <w:spacing w:after="0" w:line="259" w:lineRule="auto"/>
        <w:ind w:right="0" w:firstLine="0"/>
        <w:jc w:val="left"/>
      </w:pPr>
      <w:r>
        <w:t xml:space="preserve"> </w:t>
      </w:r>
    </w:p>
    <w:p w14:paraId="0EA1BC49" w14:textId="77777777" w:rsidR="0023626A" w:rsidRDefault="001F6201">
      <w:pPr>
        <w:spacing w:after="37"/>
        <w:ind w:left="-15" w:right="41"/>
      </w:pPr>
      <w:r>
        <w:t xml:space="preserve">Zgodnie z obecnie obowiązującymi przepisami prawa, spółce przekształconej przysługują wszystkie prawa i obowiązki spółki przekształcanej, a spółka ta </w:t>
      </w:r>
      <w:r>
        <w:t xml:space="preserve">pozostaje </w:t>
      </w:r>
      <w:r>
        <w:t xml:space="preserve">podmiotem w szczególności zezwoleń, koncesji oraz ulg, które zostały przyznane spółce przed jej przekształceniem, </w:t>
      </w:r>
      <w:r>
        <w:rPr>
          <w:u w:val="single" w:color="000000"/>
        </w:rPr>
        <w:t>chyba że ustawa lub decyzja o udzieleniu zezwolenia, koncesji albo ulgi</w:t>
      </w:r>
      <w:r>
        <w:t xml:space="preserve"> </w:t>
      </w:r>
      <w:r>
        <w:rPr>
          <w:u w:val="single" w:color="000000"/>
        </w:rPr>
        <w:t>stanowi inaczej</w:t>
      </w:r>
      <w:r>
        <w:t>.</w:t>
      </w:r>
      <w:r>
        <w:rPr>
          <w:vertAlign w:val="superscript"/>
        </w:rPr>
        <w:footnoteReference w:id="1"/>
      </w:r>
      <w:r>
        <w:t xml:space="preserve"> </w:t>
      </w:r>
      <w:r>
        <w:t>Tożsamo uregulowana została</w:t>
      </w:r>
      <w:r>
        <w:t xml:space="preserve"> </w:t>
      </w:r>
      <w:r>
        <w:t>kwestia przekształcenia przedsiębiorcy będącego osobą fizyczną wykonującą we własnym imieniu działalność gospodarczą</w:t>
      </w:r>
      <w:r>
        <w:t xml:space="preserve"> </w:t>
      </w:r>
      <w:r>
        <w:t xml:space="preserve">w spółkę </w:t>
      </w:r>
      <w:r>
        <w:t>prawa handlowego.</w:t>
      </w:r>
      <w:r>
        <w:rPr>
          <w:vertAlign w:val="superscript"/>
        </w:rPr>
        <w:footnoteReference w:id="2"/>
      </w:r>
      <w:r>
        <w:t xml:space="preserve"> </w:t>
      </w:r>
    </w:p>
    <w:p w14:paraId="6DC0EFB1" w14:textId="77777777" w:rsidR="0023626A" w:rsidRDefault="001F6201">
      <w:pPr>
        <w:spacing w:after="217"/>
        <w:ind w:left="-15" w:right="41"/>
      </w:pPr>
      <w:r>
        <w:t>Brzmienie powyżej powołanych przepisów przesądza, że w przypadku</w:t>
      </w:r>
      <w:r>
        <w:t xml:space="preserve">, gdy inaczej nie wynika z konkretnej decyzji </w:t>
      </w:r>
      <w:r>
        <w:t xml:space="preserve">lub ze szczególnego przepisu prawa, przekształcenie </w:t>
      </w:r>
      <w:r>
        <w:t xml:space="preserve">nie wywiera </w:t>
      </w:r>
      <w:r>
        <w:t>żadnego wpływu</w:t>
      </w:r>
      <w:r>
        <w:t xml:space="preserve"> na prawo </w:t>
      </w:r>
      <w:r>
        <w:t xml:space="preserve">podmiotu przekształconego do </w:t>
      </w:r>
      <w:r>
        <w:t xml:space="preserve">stosowania decyzji wydanych na </w:t>
      </w:r>
      <w:r>
        <w:t xml:space="preserve">jego rzecz przed przekształceniem. </w:t>
      </w:r>
      <w:r>
        <w:t>Przekszta</w:t>
      </w:r>
      <w:r>
        <w:t>łcenie</w:t>
      </w:r>
      <w:r>
        <w:t xml:space="preserve"> </w:t>
      </w:r>
      <w:r>
        <w:t xml:space="preserve">oznacza jedynie zmianę formy prawnej </w:t>
      </w:r>
    </w:p>
    <w:p w14:paraId="1DB85BD4" w14:textId="77777777" w:rsidR="0023626A" w:rsidRDefault="001F6201">
      <w:pPr>
        <w:spacing w:after="0" w:line="259" w:lineRule="auto"/>
        <w:ind w:right="0" w:firstLine="0"/>
        <w:jc w:val="left"/>
      </w:pPr>
      <w:r>
        <w:rPr>
          <w:noProof/>
          <w:sz w:val="22"/>
        </w:rPr>
        <mc:AlternateContent>
          <mc:Choice Requires="wpg">
            <w:drawing>
              <wp:inline distT="0" distB="0" distL="0" distR="0" wp14:anchorId="4F825FC5" wp14:editId="57A0E93A">
                <wp:extent cx="1829689" cy="6097"/>
                <wp:effectExtent l="0" t="0" r="0" b="0"/>
                <wp:docPr id="10517" name="Group 10517"/>
                <wp:cNvGraphicFramePr/>
                <a:graphic xmlns:a="http://schemas.openxmlformats.org/drawingml/2006/main">
                  <a:graphicData uri="http://schemas.microsoft.com/office/word/2010/wordprocessingGroup">
                    <wpg:wgp>
                      <wpg:cNvGrpSpPr/>
                      <wpg:grpSpPr>
                        <a:xfrm>
                          <a:off x="0" y="0"/>
                          <a:ext cx="1829689" cy="6097"/>
                          <a:chOff x="0" y="0"/>
                          <a:chExt cx="1829689" cy="6097"/>
                        </a:xfrm>
                      </wpg:grpSpPr>
                      <wps:wsp>
                        <wps:cNvPr id="11463" name="Shape 11463"/>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17" style="width:144.07pt;height:0.480042pt;mso-position-horizontal-relative:char;mso-position-vertical-relative:line" coordsize="18296,60">
                <v:shape id="Shape 11464" style="position:absolute;width:18296;height:91;left:0;top:0;" coordsize="1829689,9144" path="m0,0l1829689,0l1829689,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14:paraId="44A797AD" w14:textId="77777777" w:rsidR="0023626A" w:rsidRDefault="001F6201">
      <w:pPr>
        <w:ind w:left="-15" w:right="41" w:firstLine="0"/>
      </w:pPr>
      <w:r>
        <w:lastRenderedPageBreak/>
        <w:t xml:space="preserve">prowadzenia działalności, a spółka przekształcona stanowi </w:t>
      </w:r>
      <w:r>
        <w:t xml:space="preserve">ten sam podmiot, co potwierdza </w:t>
      </w:r>
      <w:r>
        <w:t>zarówno orzecznictwo sądowe</w:t>
      </w:r>
      <w:r>
        <w:rPr>
          <w:vertAlign w:val="superscript"/>
        </w:rPr>
        <w:footnoteReference w:id="3"/>
      </w:r>
      <w:r>
        <w:t xml:space="preserve"> jak i doktryna prawa. </w:t>
      </w:r>
      <w:r>
        <w:t>Świadczy o tym również fakt, że spółk</w:t>
      </w:r>
      <w:r>
        <w:t xml:space="preserve">a zachowuje dotychczasowy NIP oraz REGON. </w:t>
      </w:r>
    </w:p>
    <w:p w14:paraId="6C72A282" w14:textId="77777777" w:rsidR="0023626A" w:rsidRDefault="001F6201">
      <w:pPr>
        <w:ind w:left="-15" w:right="41"/>
      </w:pPr>
      <w:r>
        <w:t xml:space="preserve">W ustawie o odpadach brak jest </w:t>
      </w:r>
      <w:r>
        <w:t xml:space="preserve">przepisów, które ograniczałyby wystąpienie powyższego skutku (ciągłości podmiotowej) </w:t>
      </w:r>
      <w:r>
        <w:t xml:space="preserve">dla </w:t>
      </w:r>
      <w:r>
        <w:t xml:space="preserve">zezwoleń oraz decyzji odpadowych. </w:t>
      </w:r>
      <w:r>
        <w:t xml:space="preserve">Mimo to, </w:t>
      </w:r>
      <w:r>
        <w:t>część organów administracji publicznej</w:t>
      </w:r>
      <w:r>
        <w:t xml:space="preserve"> </w:t>
      </w:r>
      <w:r>
        <w:t>przyjęł</w:t>
      </w:r>
      <w:r>
        <w:t xml:space="preserve">a </w:t>
      </w:r>
      <w:r>
        <w:t>sprzeczną z obowiązującym prawem praktykę</w:t>
      </w:r>
      <w:r>
        <w:t xml:space="preserve">, </w:t>
      </w:r>
      <w:r>
        <w:t xml:space="preserve">zgodnie z którą organy odmawiają </w:t>
      </w:r>
      <w:r>
        <w:t xml:space="preserve">uznania </w:t>
      </w:r>
      <w:r>
        <w:t>skutków przekształcenia</w:t>
      </w:r>
      <w:r>
        <w:t xml:space="preserve"> jasno </w:t>
      </w:r>
      <w:r>
        <w:t xml:space="preserve">wynikających </w:t>
      </w:r>
      <w:r>
        <w:t>z aktualnego stanu normatywnego</w:t>
      </w:r>
      <w:r>
        <w:t xml:space="preserve">. Organy powołują się przy tym na </w:t>
      </w:r>
      <w:r>
        <w:t xml:space="preserve">brak w ustawie o odpadach przepisu </w:t>
      </w:r>
      <w:r>
        <w:t>szczególnego dopuszczającego możliwość przeniesienia zezwoleń na zbieranie lub przetwarzanie odpadów</w:t>
      </w:r>
      <w:r>
        <w:t>, tj.</w:t>
      </w:r>
      <w:r>
        <w:t xml:space="preserve"> przepisu </w:t>
      </w:r>
      <w:r>
        <w:t>pełniącego funkcję</w:t>
      </w:r>
      <w:r>
        <w:t xml:space="preserve"> </w:t>
      </w:r>
      <w:r>
        <w:t>art. 189 POŚ.</w:t>
      </w:r>
      <w:r>
        <w:t xml:space="preserve">  </w:t>
      </w:r>
    </w:p>
    <w:p w14:paraId="04D14D31" w14:textId="77777777" w:rsidR="0023626A" w:rsidRDefault="001F6201">
      <w:pPr>
        <w:ind w:left="-15" w:right="41" w:firstLine="0"/>
      </w:pPr>
      <w:r>
        <w:t xml:space="preserve"> </w:t>
      </w:r>
      <w:r>
        <w:t xml:space="preserve">Praktyka przyjęta przez niektóre organy stoi w sprzeczności z obowiązującymi </w:t>
      </w:r>
      <w:r>
        <w:t xml:space="preserve">przepisami prawa. Brak w ustawie o odpadach przepisu </w:t>
      </w:r>
      <w:r>
        <w:t xml:space="preserve">dotyczącego wpływu przekształcenia </w:t>
      </w:r>
      <w:r>
        <w:t xml:space="preserve">na decyzje </w:t>
      </w:r>
      <w:r>
        <w:t>określone w ustawie o odpadach przesądza</w:t>
      </w:r>
      <w:r>
        <w:t xml:space="preserve"> o </w:t>
      </w:r>
      <w:r>
        <w:t xml:space="preserve">tym, iż spółka przekształcona </w:t>
      </w:r>
      <w:r>
        <w:t xml:space="preserve">pozostaje podmiotem wszelkich decyzji </w:t>
      </w:r>
      <w:r>
        <w:t xml:space="preserve">wydanych na rzecz spółki przekształcanej. Nie może </w:t>
      </w:r>
      <w:r>
        <w:t xml:space="preserve">to </w:t>
      </w:r>
      <w:r>
        <w:t>więc stanowić argumentu</w:t>
      </w:r>
      <w:r>
        <w:t xml:space="preserve"> </w:t>
      </w:r>
      <w:r>
        <w:t>za odmową uznania skutków</w:t>
      </w:r>
      <w:r>
        <w:t xml:space="preserve"> prawnych </w:t>
      </w:r>
      <w:r>
        <w:t>przekształcenia.</w:t>
      </w:r>
      <w:r>
        <w:t xml:space="preserve"> </w:t>
      </w:r>
      <w:r>
        <w:t xml:space="preserve">Powołanie się na art. 189 POŚ również </w:t>
      </w:r>
      <w:r>
        <w:t xml:space="preserve">pozbawione jest podstawy prawnej, </w:t>
      </w:r>
      <w:r>
        <w:t xml:space="preserve">gdyż przepis ten </w:t>
      </w:r>
      <w:r>
        <w:t xml:space="preserve">dotyczy </w:t>
      </w:r>
      <w:r>
        <w:t>podmiotów, które</w:t>
      </w:r>
      <w:r>
        <w:t xml:space="preserve"> </w:t>
      </w:r>
      <w:r>
        <w:t>stają się</w:t>
      </w:r>
      <w:r>
        <w:t xml:space="preserve"> </w:t>
      </w:r>
      <w:r>
        <w:t>prowadzącym instalację lub jej oznaczon</w:t>
      </w:r>
      <w:r>
        <w:t xml:space="preserve">ej </w:t>
      </w:r>
      <w:r>
        <w:t>częś</w:t>
      </w:r>
      <w:r>
        <w:t xml:space="preserve">ci. Jak wynika z </w:t>
      </w:r>
      <w:r>
        <w:t xml:space="preserve">powołanych powyżej przepisów prawa, orzecznictwa sądowego oraz doktryny prawa, </w:t>
      </w:r>
      <w:r>
        <w:t>p</w:t>
      </w:r>
      <w:r>
        <w:t>rzekształcenie nie skutkuje</w:t>
      </w:r>
      <w:r>
        <w:t xml:space="preserve"> jednak </w:t>
      </w:r>
      <w:r>
        <w:t xml:space="preserve">tym, że spółka przekształcona staje się prowadzącym instalację, lecz spółka ta jest tym samym podmiotem, który instalację </w:t>
      </w:r>
      <w:r>
        <w:t xml:space="preserve">dotychczas </w:t>
      </w:r>
      <w:r>
        <w:t>prowadził</w:t>
      </w:r>
      <w:r>
        <w:t xml:space="preserve">. </w:t>
      </w:r>
      <w:r>
        <w:t xml:space="preserve">Powołana regulacja </w:t>
      </w:r>
      <w:r>
        <w:t xml:space="preserve">nie </w:t>
      </w:r>
      <w:r>
        <w:t>odnosi się więc do przekształceni</w:t>
      </w:r>
      <w:r>
        <w:t xml:space="preserve">a. </w:t>
      </w:r>
    </w:p>
    <w:p w14:paraId="6C8AFCEE" w14:textId="77777777" w:rsidR="0023626A" w:rsidRDefault="001F6201">
      <w:pPr>
        <w:ind w:left="-15" w:right="41"/>
      </w:pPr>
      <w:r>
        <w:t>W związku z powyższym wskazuję, że o</w:t>
      </w:r>
      <w:r>
        <w:t xml:space="preserve">dmowa uznania przez organy administracji publicznej </w:t>
      </w:r>
      <w:r>
        <w:t>skutków przekształcenia</w:t>
      </w:r>
      <w:r>
        <w:t xml:space="preserve"> </w:t>
      </w:r>
      <w:r>
        <w:t>wywiera negatywny wpływ na</w:t>
      </w:r>
      <w:r>
        <w:t xml:space="preserve"> </w:t>
      </w:r>
      <w:r>
        <w:t>działalności spółek</w:t>
      </w:r>
      <w:r>
        <w:t xml:space="preserve"> </w:t>
      </w:r>
      <w:r>
        <w:t>przekształconych, które</w:t>
      </w:r>
      <w:r>
        <w:t xml:space="preserve"> </w:t>
      </w:r>
      <w:r>
        <w:t>mogą zostać pozbawione</w:t>
      </w:r>
      <w:r>
        <w:t xml:space="preserve"> </w:t>
      </w:r>
      <w:r>
        <w:t>możliwości wykonywania dalszej działalnośc</w:t>
      </w:r>
      <w:r>
        <w:t xml:space="preserve">i. Podmioty gospodarcze </w:t>
      </w:r>
      <w:r>
        <w:t xml:space="preserve">kierując się brzmieniem przepisów prawa, orzecznictwem </w:t>
      </w:r>
      <w:r>
        <w:t xml:space="preserve">oraz stanowiskiem doktryny </w:t>
      </w:r>
      <w:r>
        <w:t>uprawnione są do działania w</w:t>
      </w:r>
      <w:r>
        <w:t xml:space="preserve"> </w:t>
      </w:r>
      <w:r>
        <w:t>uzasadnionym przekonaniu, że przekształcenie</w:t>
      </w:r>
      <w:r>
        <w:t xml:space="preserve"> </w:t>
      </w:r>
      <w:r>
        <w:t>nie wymaga od nich podjęcia żadnych dodatkowych działań celem</w:t>
      </w:r>
      <w:r>
        <w:t xml:space="preserve"> </w:t>
      </w:r>
      <w:r>
        <w:t xml:space="preserve">„uznania” </w:t>
      </w:r>
      <w:r>
        <w:t xml:space="preserve">przez organy </w:t>
      </w:r>
      <w:r>
        <w:t>ciągłości podmiotowej w zakresie pr</w:t>
      </w:r>
      <w:r>
        <w:t xml:space="preserve">aw i obowiązków wynikających z decyzji </w:t>
      </w:r>
      <w:r>
        <w:t xml:space="preserve">odpadowych. </w:t>
      </w:r>
      <w:r>
        <w:t xml:space="preserve">Działając w oparciu o aktualny stan normatywny spółki ponoszą </w:t>
      </w:r>
      <w:r>
        <w:t xml:space="preserve">szereg </w:t>
      </w:r>
      <w:r>
        <w:t>wydatków koniecznych do przeprowadzenia procedury przekształcenia</w:t>
      </w:r>
      <w:r>
        <w:t xml:space="preserve">. W wyniku wadliwej </w:t>
      </w:r>
      <w:r>
        <w:t>interpretacji przepisów przez o</w:t>
      </w:r>
      <w:r>
        <w:t xml:space="preserve">rgany administracji publicznej, podmioty te zmuszone </w:t>
      </w:r>
      <w:r>
        <w:t>są odstąpić</w:t>
      </w:r>
      <w:r>
        <w:t xml:space="preserve"> </w:t>
      </w:r>
      <w:r>
        <w:t>od procesu przekształcenia</w:t>
      </w:r>
      <w:r>
        <w:t xml:space="preserve">, co skutkuje powstaniem po ich stronie realnej szkody. </w:t>
      </w:r>
      <w:r>
        <w:t>Co więcej, przyjmowanie przez organy odmiennych poglądów w tak istotnej kwestii</w:t>
      </w:r>
      <w:r>
        <w:t xml:space="preserve">, skutkuje </w:t>
      </w:r>
      <w:r>
        <w:t>naruszeniem konstytucyjnej zasady równo</w:t>
      </w:r>
      <w:r>
        <w:t>ści</w:t>
      </w:r>
      <w:r>
        <w:t xml:space="preserve"> wobec prawa.  </w:t>
      </w:r>
    </w:p>
    <w:p w14:paraId="2B163624" w14:textId="77777777" w:rsidR="0023626A" w:rsidRDefault="001F6201">
      <w:pPr>
        <w:spacing w:after="127"/>
        <w:ind w:left="-15" w:right="41"/>
      </w:pPr>
      <w:r>
        <w:t xml:space="preserve">Wymienione powyżej konsekwencje wadliwego działania organów administracji </w:t>
      </w:r>
      <w:r>
        <w:t xml:space="preserve">publicznej </w:t>
      </w:r>
      <w:r>
        <w:t>dotknęły wielu członków Izby, którzy</w:t>
      </w:r>
      <w:r>
        <w:t xml:space="preserve"> </w:t>
      </w:r>
      <w:r>
        <w:t>podjęli decyzję o przekształceniu</w:t>
      </w:r>
      <w:r>
        <w:t xml:space="preserve"> zgodnie z przepisami KSH. </w:t>
      </w:r>
      <w:r>
        <w:t xml:space="preserve">Podmioty te działając w zaufaniu do działania władzy publicznej </w:t>
      </w:r>
      <w:r>
        <w:t xml:space="preserve">zgodnie z przepisami prawa </w:t>
      </w:r>
      <w:r>
        <w:t xml:space="preserve">narażone zostały na </w:t>
      </w:r>
      <w:r>
        <w:t xml:space="preserve">poniesienie istotnej </w:t>
      </w:r>
      <w:r>
        <w:t>szkody oraz utratę możliwości wykonywania działalności gospodarczej</w:t>
      </w:r>
      <w:r>
        <w:t xml:space="preserve"> z uwagi na </w:t>
      </w:r>
      <w:r>
        <w:t xml:space="preserve">przyjęcie przez organy błędnego </w:t>
      </w:r>
    </w:p>
    <w:p w14:paraId="0E27CA57" w14:textId="77777777" w:rsidR="0023626A" w:rsidRDefault="001F6201">
      <w:pPr>
        <w:spacing w:after="0" w:line="259" w:lineRule="auto"/>
        <w:ind w:right="0" w:firstLine="0"/>
        <w:jc w:val="left"/>
      </w:pPr>
      <w:r>
        <w:rPr>
          <w:noProof/>
          <w:sz w:val="22"/>
        </w:rPr>
        <mc:AlternateContent>
          <mc:Choice Requires="wpg">
            <w:drawing>
              <wp:inline distT="0" distB="0" distL="0" distR="0" wp14:anchorId="53202CB0" wp14:editId="145F34E1">
                <wp:extent cx="1829689" cy="6096"/>
                <wp:effectExtent l="0" t="0" r="0" b="0"/>
                <wp:docPr id="10075" name="Group 10075"/>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1465" name="Shape 11465"/>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75" style="width:144.07pt;height:0.47998pt;mso-position-horizontal-relative:char;mso-position-vertical-relative:line" coordsize="18296,60">
                <v:shape id="Shape 11466" style="position:absolute;width:18296;height:91;left:0;top:0;" coordsize="1829689,9144" path="m0,0l1829689,0l1829689,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14:paraId="278A151E" w14:textId="77777777" w:rsidR="0023626A" w:rsidRDefault="001F6201">
      <w:pPr>
        <w:ind w:left="-15" w:right="41" w:firstLine="0"/>
      </w:pPr>
      <w:r>
        <w:t xml:space="preserve">stanowiska </w:t>
      </w:r>
      <w:r>
        <w:t>w zakresie skutków przekształcenia</w:t>
      </w:r>
      <w:r>
        <w:t xml:space="preserve">. O </w:t>
      </w:r>
      <w:r>
        <w:t>praktyce tych organów członkowie Izby dowiadywali się przypadkowo, niejednokrotnie w przededniu</w:t>
      </w:r>
      <w:r>
        <w:t xml:space="preserve"> lub na kilka dni przed </w:t>
      </w:r>
      <w:r>
        <w:lastRenderedPageBreak/>
        <w:t xml:space="preserve">dokonaniem </w:t>
      </w:r>
      <w:r>
        <w:t xml:space="preserve">przekształcenia, co skutkowało koniecznością </w:t>
      </w:r>
      <w:r>
        <w:t xml:space="preserve">zatrzymania procedury </w:t>
      </w:r>
      <w:proofErr w:type="spellStart"/>
      <w:r>
        <w:t>przekształceniowej</w:t>
      </w:r>
      <w:proofErr w:type="spellEnd"/>
      <w:r>
        <w:t xml:space="preserve"> (mimo poniesienia już uprzednio istotnych kosztów w tym zakresie) </w:t>
      </w:r>
      <w:r>
        <w:t xml:space="preserve">przez </w:t>
      </w:r>
      <w:r>
        <w:t>wzgląd na</w:t>
      </w:r>
      <w:r>
        <w:t xml:space="preserve"> ryzyko utraty </w:t>
      </w:r>
      <w:r>
        <w:t xml:space="preserve">możliwości dalszego prowadzenia działalności bez przysługujących im </w:t>
      </w:r>
      <w:r>
        <w:t xml:space="preserve">dotychczas decyzji administracyjnych.  </w:t>
      </w:r>
    </w:p>
    <w:p w14:paraId="7758EB7F" w14:textId="77777777" w:rsidR="0023626A" w:rsidRDefault="001F6201">
      <w:pPr>
        <w:ind w:left="-15" w:right="41"/>
      </w:pPr>
      <w:r>
        <w:t>Z uwagi na p</w:t>
      </w:r>
      <w:r>
        <w:t>owołane powyżej wątpliwości</w:t>
      </w:r>
      <w:r>
        <w:t xml:space="preserve"> </w:t>
      </w:r>
      <w:r>
        <w:t>powstałe w praktyce</w:t>
      </w:r>
      <w:r>
        <w:t xml:space="preserve"> stosowania prawa przez organy administracji publicznej, Izba postuluje </w:t>
      </w:r>
      <w:r>
        <w:t xml:space="preserve">przeprowadzenie następujących zmian </w:t>
      </w:r>
      <w:r>
        <w:t xml:space="preserve">legislacyjnych celem doprecyzowania </w:t>
      </w:r>
      <w:r>
        <w:t>obowiązujących reguł dotyczących skutków przekształcenia</w:t>
      </w:r>
      <w:r>
        <w:t xml:space="preserve"> </w:t>
      </w:r>
      <w:r>
        <w:t>przedsiębiorców oraz spółek prawa handlowego</w:t>
      </w:r>
      <w:r>
        <w:t xml:space="preserve">, tj.: </w:t>
      </w:r>
      <w:r>
        <w:rPr>
          <w:b/>
        </w:rPr>
        <w:t>1)</w:t>
      </w:r>
      <w:r>
        <w:rPr>
          <w:rFonts w:ascii="Arial" w:eastAsia="Arial" w:hAnsi="Arial" w:cs="Arial"/>
          <w:b/>
        </w:rPr>
        <w:t xml:space="preserve"> </w:t>
      </w:r>
      <w:r>
        <w:rPr>
          <w:b/>
        </w:rPr>
        <w:t xml:space="preserve">w POŚ: </w:t>
      </w:r>
    </w:p>
    <w:tbl>
      <w:tblPr>
        <w:tblStyle w:val="TableGrid"/>
        <w:tblW w:w="8422" w:type="dxa"/>
        <w:tblInd w:w="706" w:type="dxa"/>
        <w:tblCellMar>
          <w:top w:w="34" w:type="dxa"/>
          <w:left w:w="0" w:type="dxa"/>
          <w:bottom w:w="0" w:type="dxa"/>
          <w:right w:w="0" w:type="dxa"/>
        </w:tblCellMar>
        <w:tblLook w:val="04A0" w:firstRow="1" w:lastRow="0" w:firstColumn="1" w:lastColumn="0" w:noHBand="0" w:noVBand="1"/>
      </w:tblPr>
      <w:tblGrid>
        <w:gridCol w:w="360"/>
        <w:gridCol w:w="8062"/>
      </w:tblGrid>
      <w:tr w:rsidR="0023626A" w14:paraId="6E293DC3" w14:textId="77777777">
        <w:trPr>
          <w:trHeight w:val="1665"/>
        </w:trPr>
        <w:tc>
          <w:tcPr>
            <w:tcW w:w="360" w:type="dxa"/>
            <w:tcBorders>
              <w:top w:val="nil"/>
              <w:left w:val="nil"/>
              <w:bottom w:val="nil"/>
              <w:right w:val="nil"/>
            </w:tcBorders>
          </w:tcPr>
          <w:p w14:paraId="294F71E8" w14:textId="77777777" w:rsidR="0023626A" w:rsidRDefault="001F6201">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tc>
        <w:tc>
          <w:tcPr>
            <w:tcW w:w="8062" w:type="dxa"/>
            <w:tcBorders>
              <w:top w:val="nil"/>
              <w:left w:val="nil"/>
              <w:bottom w:val="nil"/>
              <w:right w:val="nil"/>
            </w:tcBorders>
          </w:tcPr>
          <w:p w14:paraId="67D1940A" w14:textId="77777777" w:rsidR="0023626A" w:rsidRDefault="001F6201">
            <w:pPr>
              <w:spacing w:after="0" w:line="259" w:lineRule="auto"/>
              <w:ind w:right="53" w:firstLine="0"/>
            </w:pPr>
            <w:r>
              <w:t>modyfikację przepisu art. 193</w:t>
            </w:r>
            <w:r>
              <w:t xml:space="preserve"> </w:t>
            </w:r>
            <w:r>
              <w:t>ust. 5 POŚ poprzez</w:t>
            </w:r>
            <w:r>
              <w:t xml:space="preserve"> poprawne </w:t>
            </w:r>
            <w:r>
              <w:t xml:space="preserve">określenie w jego treści </w:t>
            </w:r>
            <w:r>
              <w:t xml:space="preserve">skutku </w:t>
            </w:r>
            <w:r>
              <w:t>przekształcenia</w:t>
            </w:r>
            <w:r>
              <w:t xml:space="preserve"> </w:t>
            </w:r>
            <w:r>
              <w:t>spółek handlowych</w:t>
            </w:r>
            <w:r>
              <w:t xml:space="preserve"> </w:t>
            </w:r>
            <w:r>
              <w:t>i wyraźne wskazanie, że</w:t>
            </w:r>
            <w:r>
              <w:t xml:space="preserve"> w przypadku </w:t>
            </w:r>
            <w:r>
              <w:t>przekształcenia nie dochodzi do przejęcia praw i obowiązków</w:t>
            </w:r>
            <w:r>
              <w:t xml:space="preserve"> </w:t>
            </w:r>
            <w:r>
              <w:t xml:space="preserve">wynikających </w:t>
            </w:r>
            <w:r>
              <w:t xml:space="preserve">z </w:t>
            </w:r>
            <w:r>
              <w:t xml:space="preserve">pozwoleń odpadowych, a spółka przekształcona jest kontynuatorem spółki </w:t>
            </w:r>
            <w:r>
              <w:t>przek</w:t>
            </w:r>
            <w:r>
              <w:t>ształcanej</w:t>
            </w:r>
            <w:r>
              <w:t xml:space="preserve"> </w:t>
            </w:r>
            <w:r>
              <w:t>(tożsamość podmiotowa)</w:t>
            </w:r>
            <w:r>
              <w:t xml:space="preserve">; </w:t>
            </w:r>
          </w:p>
        </w:tc>
      </w:tr>
      <w:tr w:rsidR="0023626A" w14:paraId="203A3E3B" w14:textId="77777777">
        <w:trPr>
          <w:trHeight w:val="316"/>
        </w:trPr>
        <w:tc>
          <w:tcPr>
            <w:tcW w:w="360" w:type="dxa"/>
            <w:tcBorders>
              <w:top w:val="nil"/>
              <w:left w:val="nil"/>
              <w:bottom w:val="nil"/>
              <w:right w:val="nil"/>
            </w:tcBorders>
          </w:tcPr>
          <w:p w14:paraId="3F3364E4" w14:textId="77777777" w:rsidR="0023626A" w:rsidRDefault="001F6201">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tc>
        <w:tc>
          <w:tcPr>
            <w:tcW w:w="8062" w:type="dxa"/>
            <w:tcBorders>
              <w:top w:val="nil"/>
              <w:left w:val="nil"/>
              <w:bottom w:val="nil"/>
              <w:right w:val="nil"/>
            </w:tcBorders>
          </w:tcPr>
          <w:p w14:paraId="31B24CD4" w14:textId="77777777" w:rsidR="0023626A" w:rsidRDefault="001F6201">
            <w:pPr>
              <w:spacing w:after="0" w:line="259" w:lineRule="auto"/>
              <w:ind w:right="0" w:firstLine="0"/>
            </w:pPr>
            <w:r>
              <w:t xml:space="preserve">rozszerzenie </w:t>
            </w:r>
            <w:r>
              <w:t>zakresu podmiotowego art. 189 POŚ o</w:t>
            </w:r>
            <w:r>
              <w:t xml:space="preserve"> </w:t>
            </w:r>
            <w:r>
              <w:t xml:space="preserve">spółkę przekształconą, na </w:t>
            </w:r>
          </w:p>
        </w:tc>
      </w:tr>
    </w:tbl>
    <w:p w14:paraId="75720F68" w14:textId="77777777" w:rsidR="0023626A" w:rsidRDefault="001F6201">
      <w:pPr>
        <w:spacing w:after="42"/>
        <w:ind w:left="1066" w:right="41" w:firstLine="0"/>
      </w:pPr>
      <w:r>
        <w:t>którą, podobnie jak na „podmiot, który stał się prowadzącym instalację lub jej oznaczoną część”</w:t>
      </w:r>
      <w:r>
        <w:t xml:space="preserve"> </w:t>
      </w:r>
      <w:r>
        <w:t xml:space="preserve">nakłada się obowiązek niezwłocznego wystąpienia z wnioskiem o zmianę pozwolenia w zakresie oznaczenia prowadzącego instalację. Z uwagi na powołane powyżej skutki prawne przekształcenia, wniosek spółki przekształconej powinien mieć </w:t>
      </w:r>
      <w:r>
        <w:t xml:space="preserve">jednak dla </w:t>
      </w:r>
      <w:r>
        <w:t xml:space="preserve">właściwego </w:t>
      </w:r>
      <w:r>
        <w:t xml:space="preserve">organu </w:t>
      </w:r>
      <w:r>
        <w:t xml:space="preserve">charakter wiążący i służyć powinien </w:t>
      </w:r>
      <w:r>
        <w:t xml:space="preserve">jedynie potrzebie </w:t>
      </w:r>
      <w:r>
        <w:t>uwzględnienia w decyzji zmiany formy prawnej spółki</w:t>
      </w:r>
      <w:r>
        <w:t xml:space="preserve">. </w:t>
      </w:r>
    </w:p>
    <w:p w14:paraId="33C60EE7" w14:textId="77777777" w:rsidR="0023626A" w:rsidRDefault="001F6201">
      <w:pPr>
        <w:spacing w:after="81" w:line="250" w:lineRule="auto"/>
        <w:ind w:left="370" w:right="0" w:hanging="10"/>
        <w:jc w:val="left"/>
      </w:pPr>
      <w:r>
        <w:rPr>
          <w:b/>
        </w:rPr>
        <w:t>2)</w:t>
      </w:r>
      <w:r>
        <w:rPr>
          <w:rFonts w:ascii="Arial" w:eastAsia="Arial" w:hAnsi="Arial" w:cs="Arial"/>
          <w:b/>
        </w:rPr>
        <w:t xml:space="preserve"> </w:t>
      </w:r>
      <w:r>
        <w:rPr>
          <w:b/>
        </w:rPr>
        <w:t xml:space="preserve">w ustawie o odpadach: </w:t>
      </w:r>
    </w:p>
    <w:p w14:paraId="50369327" w14:textId="77777777" w:rsidR="0023626A" w:rsidRDefault="001F6201">
      <w:pPr>
        <w:spacing w:after="208"/>
        <w:ind w:left="1066" w:right="41" w:hanging="360"/>
      </w:pPr>
      <w:r>
        <w:rPr>
          <w:rFonts w:ascii="Segoe UI Symbol" w:eastAsia="Segoe UI Symbol" w:hAnsi="Segoe UI Symbol" w:cs="Segoe UI Symbol"/>
        </w:rPr>
        <w:t>−</w:t>
      </w:r>
      <w:r>
        <w:rPr>
          <w:rFonts w:ascii="Arial" w:eastAsia="Arial" w:hAnsi="Arial" w:cs="Arial"/>
        </w:rPr>
        <w:t xml:space="preserve"> </w:t>
      </w:r>
      <w:r>
        <w:t xml:space="preserve">uchwalenie </w:t>
      </w:r>
      <w:r>
        <w:t>przepisu obejmującego zakresem przedmiotowym ws</w:t>
      </w:r>
      <w:r>
        <w:t xml:space="preserve">zystkie decyzje </w:t>
      </w:r>
      <w:r>
        <w:t>odpadowe wydawane na podstawie ustawy o odpadach, który</w:t>
      </w:r>
      <w:r>
        <w:t xml:space="preserve"> </w:t>
      </w:r>
      <w:r>
        <w:t>w sposób wyraźn</w:t>
      </w:r>
      <w:r>
        <w:t xml:space="preserve">y </w:t>
      </w:r>
      <w:r>
        <w:t>potwierdzałby skutki prawne przekształcenia wynikające z KSH</w:t>
      </w:r>
      <w:r>
        <w:t xml:space="preserve"> (</w:t>
      </w:r>
      <w:r>
        <w:t>zasadę tożsamości spółki przekształc</w:t>
      </w:r>
      <w:r>
        <w:t xml:space="preserve">onej ze </w:t>
      </w:r>
      <w:r>
        <w:t>spółką przekształcaną</w:t>
      </w:r>
      <w:r>
        <w:t>) oraz</w:t>
      </w:r>
      <w:r>
        <w:t>, tak jak w pkt 1 powyżej dotyczącym POŚ, nakładałby na spółkę przekształconą</w:t>
      </w:r>
      <w:r>
        <w:t xml:space="preserve"> </w:t>
      </w:r>
      <w:r>
        <w:t xml:space="preserve">obowiązek niezwłocznego wystąpienia z wnioskiem o zmianę </w:t>
      </w:r>
      <w:r>
        <w:t xml:space="preserve">decyzji w zakresie oznaczenia jej adresata. </w:t>
      </w:r>
      <w:r>
        <w:t>Również w tym wypadku, z</w:t>
      </w:r>
      <w:r>
        <w:t xml:space="preserve"> </w:t>
      </w:r>
      <w:r>
        <w:t>uwagi na powołane powyżej skutki prawne przekształcenia, wniosek powinien mieć dla organu</w:t>
      </w:r>
      <w:r>
        <w:t xml:space="preserve"> </w:t>
      </w:r>
      <w:r>
        <w:t>charakter wi</w:t>
      </w:r>
      <w:r>
        <w:t>ążący.</w:t>
      </w:r>
      <w:r>
        <w:t xml:space="preserve"> </w:t>
      </w:r>
    </w:p>
    <w:p w14:paraId="58B813D6" w14:textId="77777777" w:rsidR="0023626A" w:rsidRDefault="001F6201">
      <w:pPr>
        <w:ind w:left="-15" w:right="41"/>
      </w:pPr>
      <w:r>
        <w:t>Konieczność</w:t>
      </w:r>
      <w:r>
        <w:t xml:space="preserve"> </w:t>
      </w:r>
      <w:r>
        <w:t xml:space="preserve">dokonania powyższych zmian normatywnych </w:t>
      </w:r>
      <w:r>
        <w:t xml:space="preserve">wynika z </w:t>
      </w:r>
      <w:r>
        <w:t xml:space="preserve">pojawienia się </w:t>
      </w:r>
      <w:r>
        <w:t xml:space="preserve">w </w:t>
      </w:r>
      <w:r>
        <w:t>praktyce organów administracji publicznej błędne</w:t>
      </w:r>
      <w:r>
        <w:t xml:space="preserve">j </w:t>
      </w:r>
      <w:r>
        <w:t>wykładni</w:t>
      </w:r>
      <w:r>
        <w:t xml:space="preserve"> </w:t>
      </w:r>
      <w:r>
        <w:t xml:space="preserve">przepisów dotyczących skutków przekształcenia oraz ich wpływu na </w:t>
      </w:r>
      <w:r>
        <w:t xml:space="preserve">decyzje oraz pozwolenia odpadowe na gruncie </w:t>
      </w:r>
      <w:r>
        <w:t>ustawy o odpadach oraz POŚ</w:t>
      </w:r>
      <w:r>
        <w:t xml:space="preserve">. Wymienione w Ad. 2 postulaty Izby </w:t>
      </w:r>
      <w:r>
        <w:t xml:space="preserve">mają na celu </w:t>
      </w:r>
      <w:r>
        <w:t xml:space="preserve">doprecyzowanie </w:t>
      </w:r>
      <w:r>
        <w:t xml:space="preserve">już obowiązującego stanu </w:t>
      </w:r>
      <w:r>
        <w:t>normatywnego</w:t>
      </w:r>
      <w:r>
        <w:t xml:space="preserve">, co w efekcie skutkować ma </w:t>
      </w:r>
      <w:r>
        <w:t xml:space="preserve">ograniczeniem </w:t>
      </w:r>
      <w:r>
        <w:t xml:space="preserve">przypadków wadliwego stosowania prawa </w:t>
      </w:r>
      <w:r>
        <w:t>przez organy. W konsekwencji z</w:t>
      </w:r>
      <w:r>
        <w:t>miany te przyczynią się do zwiększenia z</w:t>
      </w:r>
      <w:r>
        <w:t>aufania podmiotów gospodarczych do</w:t>
      </w:r>
      <w:r>
        <w:t xml:space="preserve"> </w:t>
      </w:r>
      <w:r>
        <w:t xml:space="preserve">władzy </w:t>
      </w:r>
      <w:r>
        <w:t xml:space="preserve">publicznej </w:t>
      </w:r>
      <w:r>
        <w:t>oraz uchronią podmioty przechodzące procedurę przekształcenia prze</w:t>
      </w:r>
      <w:r>
        <w:t xml:space="preserve">d bezprawnym </w:t>
      </w:r>
      <w:r>
        <w:t xml:space="preserve">na gruncie obowiązujących przepisów </w:t>
      </w:r>
      <w:r>
        <w:t xml:space="preserve">ryzykiem utraty prawa do wykonywania praw </w:t>
      </w:r>
      <w:r>
        <w:t xml:space="preserve">z przysługujących im </w:t>
      </w:r>
      <w:r>
        <w:t xml:space="preserve">decyzji administracyjnych. </w:t>
      </w:r>
    </w:p>
    <w:p w14:paraId="28DDDC53" w14:textId="77777777" w:rsidR="0023626A" w:rsidRDefault="001F6201">
      <w:pPr>
        <w:spacing w:after="20" w:line="259" w:lineRule="auto"/>
        <w:ind w:right="0" w:firstLine="0"/>
        <w:jc w:val="left"/>
      </w:pPr>
      <w:r>
        <w:t xml:space="preserve"> </w:t>
      </w:r>
    </w:p>
    <w:p w14:paraId="625A1EFD" w14:textId="77777777" w:rsidR="0023626A" w:rsidRDefault="001F6201">
      <w:pPr>
        <w:spacing w:line="250" w:lineRule="auto"/>
        <w:ind w:left="-5" w:right="33" w:hanging="10"/>
      </w:pPr>
      <w:r>
        <w:rPr>
          <w:b/>
        </w:rPr>
        <w:t xml:space="preserve">Ad. 3 – doprecyzowanie pojęcia „istotnej zmiany” zezwoleń oraz pozwoleń odpadowych dla uniknięcia uznaniowości organów w interpretacji tego pojęcia oraz celem ułatwienia uzyskiwania decyzji odpadowych w przypadku zmian w sposób oczywisty niewymagających stosowania dodatkowych obostrzeń </w:t>
      </w:r>
    </w:p>
    <w:p w14:paraId="3663AAA6" w14:textId="77777777" w:rsidR="0023626A" w:rsidRDefault="001F6201">
      <w:pPr>
        <w:spacing w:after="20" w:line="259" w:lineRule="auto"/>
        <w:ind w:left="706" w:right="0" w:firstLine="0"/>
        <w:jc w:val="left"/>
      </w:pPr>
      <w:r>
        <w:rPr>
          <w:b/>
        </w:rPr>
        <w:lastRenderedPageBreak/>
        <w:t xml:space="preserve"> </w:t>
      </w:r>
      <w:r>
        <w:rPr>
          <w:b/>
        </w:rPr>
        <w:tab/>
      </w:r>
      <w:r>
        <w:t xml:space="preserve">  </w:t>
      </w:r>
    </w:p>
    <w:p w14:paraId="28967ADF" w14:textId="77777777" w:rsidR="0023626A" w:rsidRDefault="001F6201">
      <w:pPr>
        <w:spacing w:after="20" w:line="259" w:lineRule="auto"/>
        <w:ind w:right="50" w:firstLine="0"/>
        <w:jc w:val="right"/>
      </w:pPr>
      <w:r>
        <w:t>Podstawową zasadą procedowania decyzji administracyjnych, wyrażoną w a</w:t>
      </w:r>
      <w:r>
        <w:t xml:space="preserve">rt. 155 </w:t>
      </w:r>
    </w:p>
    <w:p w14:paraId="2FF48B50" w14:textId="77777777" w:rsidR="0023626A" w:rsidRDefault="001F6201">
      <w:pPr>
        <w:ind w:left="-15" w:right="41" w:firstLine="0"/>
      </w:pPr>
      <w:r>
        <w:t xml:space="preserve">Ustawy </w:t>
      </w:r>
      <w:r>
        <w:t>z dnia 14 czerwca 1960 r. Kodeks postępowania administracyjnego (</w:t>
      </w:r>
      <w:proofErr w:type="spellStart"/>
      <w:r>
        <w:t>t.j</w:t>
      </w:r>
      <w:proofErr w:type="spellEnd"/>
      <w:r>
        <w:t xml:space="preserve">. Dz. U. z 2024 </w:t>
      </w:r>
    </w:p>
    <w:p w14:paraId="53914EC8" w14:textId="77777777" w:rsidR="0023626A" w:rsidRDefault="001F6201">
      <w:pPr>
        <w:ind w:left="-15" w:right="41" w:firstLine="0"/>
      </w:pPr>
      <w:r>
        <w:t xml:space="preserve">r. poz. 572) </w:t>
      </w:r>
      <w:r>
        <w:t xml:space="preserve">jest możliwość ich zmiany. </w:t>
      </w:r>
      <w:r>
        <w:t xml:space="preserve">Zgodnie z </w:t>
      </w:r>
      <w:r>
        <w:t>powołanym przepisem</w:t>
      </w:r>
      <w:r>
        <w:t xml:space="preserve"> decyzja ostateczna, na mocy </w:t>
      </w:r>
      <w:r>
        <w:t>której strona nabyła prawo, może</w:t>
      </w:r>
      <w:r>
        <w:t xml:space="preserve"> </w:t>
      </w:r>
      <w:r>
        <w:t>być w każdym czasie za zgodą strony uchylona lub zmieniona przez organ administracji publicznej, który ją</w:t>
      </w:r>
      <w:r>
        <w:t xml:space="preserve"> </w:t>
      </w:r>
      <w:r>
        <w:t>wydał, jeżeli przepisy szczególne nie sprzeciwiają się uchyleniu lub zmianie takiej decyzji i przemawia za</w:t>
      </w:r>
      <w:r>
        <w:t xml:space="preserve"> </w:t>
      </w:r>
      <w:r>
        <w:t>tym interes społeczny lub słuszny interes strony.</w:t>
      </w:r>
      <w:r>
        <w:t xml:space="preserve"> </w:t>
      </w:r>
    </w:p>
    <w:p w14:paraId="08883CE1" w14:textId="77777777" w:rsidR="0023626A" w:rsidRDefault="001F6201">
      <w:pPr>
        <w:ind w:left="-15" w:right="41"/>
      </w:pPr>
      <w:r>
        <w:t xml:space="preserve">Powyższe ma zastosowanie również do zezwoleń </w:t>
      </w:r>
      <w:r>
        <w:t xml:space="preserve">na przetwarzanie </w:t>
      </w:r>
      <w:r>
        <w:t>odpadów oraz pozwolenia na wytwarzanie odpadów</w:t>
      </w:r>
      <w:r>
        <w:t xml:space="preserve">. Zgodnie z art. 41a ust. 6 ustawy o odpadach w przypadku </w:t>
      </w:r>
      <w:r>
        <w:rPr>
          <w:u w:val="single" w:color="000000"/>
        </w:rPr>
        <w:t>istotnej zmiany</w:t>
      </w:r>
      <w:r>
        <w:t xml:space="preserve"> zezwolenia na przetwarzanie </w:t>
      </w:r>
      <w:r>
        <w:t>odpadów oraz pozwolenia na wytwarzanie odpadów uwzględniającego przetwarzanie odpadów, stosuje się</w:t>
      </w:r>
      <w:r>
        <w:t xml:space="preserve"> odpowiednio przepisy art. 41 ust. 1-5a ustawy o odpadach, </w:t>
      </w:r>
      <w:r>
        <w:t xml:space="preserve">co w praktyce oznacza konieczność powtórzenia </w:t>
      </w:r>
      <w:r>
        <w:t xml:space="preserve">procedury jak przy wydawaniu tego typu decyzji, tj. przeprowadzenia ponownej kontroli instalacji przez odpowiedniego </w:t>
      </w:r>
      <w:r>
        <w:t>wojewódzkiego inspektora oc</w:t>
      </w:r>
      <w:r>
        <w:t>hrony środowiska oraz komendanta powiatowego (miejskiego) Państwowej</w:t>
      </w:r>
      <w:r>
        <w:t xml:space="preserve"> </w:t>
      </w:r>
      <w:r>
        <w:t xml:space="preserve">Straży Pożarnej przed wydaniem decyzji </w:t>
      </w:r>
      <w:r>
        <w:t xml:space="preserve">w sprawie zmiany </w:t>
      </w:r>
      <w:r>
        <w:t xml:space="preserve">w/w pozwoleń/zezwoleń. </w:t>
      </w:r>
      <w:r>
        <w:t xml:space="preserve"> </w:t>
      </w:r>
    </w:p>
    <w:p w14:paraId="6D943EA1" w14:textId="77777777" w:rsidR="0023626A" w:rsidRDefault="001F6201">
      <w:pPr>
        <w:ind w:left="-15" w:right="41"/>
      </w:pPr>
      <w:r>
        <w:t xml:space="preserve">Zwracamy uwagę, że niejednoznaczność powyższych przepisów powoduje niejednolitą interpretację pojęcia „istotnej zmiany” przez właściwe organy, a tym samym nieuzasadnione nakładanie na podmioty dodatkowych obowiązków w tym zakresie podczas postępowań w </w:t>
      </w:r>
      <w:r>
        <w:t>przedmiocie zmian</w:t>
      </w:r>
      <w:r>
        <w:t>y w/w pozwoleń/zezwoleń. Mając na względzie powyższe koniecznym wydaje się podjęcie prac legislacyjnych mających na celu zdefiniowanie pojęcia istotnej zmiany poprzez określenie rodzaju zmian jakie rozumie się pod tym pojęciem lub odpowiednio skonstruowanie przepisu wskazującego</w:t>
      </w:r>
      <w:r>
        <w:t xml:space="preserve"> jakie rodzaje zmian nie stanow</w:t>
      </w:r>
      <w:r>
        <w:t xml:space="preserve">ią zmiany istotnej. W </w:t>
      </w:r>
      <w:r>
        <w:t xml:space="preserve">ocenie </w:t>
      </w:r>
      <w:proofErr w:type="spellStart"/>
      <w:r>
        <w:t>IGMNiR</w:t>
      </w:r>
      <w:proofErr w:type="spellEnd"/>
      <w:r>
        <w:t xml:space="preserve"> </w:t>
      </w:r>
      <w:r>
        <w:t xml:space="preserve">zmiany rodzajów odpadów w decyzjach, zmiany mas rodzajów odpadów (bez </w:t>
      </w:r>
      <w:r>
        <w:t xml:space="preserve">zmiany </w:t>
      </w:r>
      <w:r>
        <w:t>całkowitej ilości rocznej odpadów zbieranych/przetwarzanych/wytwarzanych</w:t>
      </w:r>
      <w:r>
        <w:t xml:space="preserve">), zmiany </w:t>
      </w:r>
      <w:r>
        <w:t xml:space="preserve">w zakresie utraty </w:t>
      </w:r>
      <w:r>
        <w:t>statusu odpadów, zmiany w technologii niepowodujące negatywnego oddziaływania na środowisko, nie</w:t>
      </w:r>
      <w:r>
        <w:t xml:space="preserve"> </w:t>
      </w:r>
      <w:r>
        <w:t>powinny stanowić „istotnej zmiany”.</w:t>
      </w:r>
      <w:r>
        <w:t xml:space="preserve"> W zakresie regulacji </w:t>
      </w:r>
      <w:r>
        <w:t xml:space="preserve">dotyczących postępowania w przedmiocie zmiany w/w decyzji brak jest także </w:t>
      </w:r>
      <w:r>
        <w:t xml:space="preserve">wskazania </w:t>
      </w:r>
      <w:r>
        <w:rPr>
          <w:b/>
        </w:rPr>
        <w:t xml:space="preserve">wymaganych do dołączenia do wniosku o zmianę dokumentów, jak również wskazania terminu wydania przedmiotowej decyzji przez organ.  </w:t>
      </w:r>
    </w:p>
    <w:p w14:paraId="6B339DD9" w14:textId="77777777" w:rsidR="0023626A" w:rsidRDefault="001F6201">
      <w:pPr>
        <w:spacing w:after="348"/>
        <w:ind w:left="-15" w:right="41"/>
      </w:pPr>
      <w:r>
        <w:t xml:space="preserve">Niewątpliwie wprowadzenie tych regulacji w sposób znaczący wpłynęłoby na czas trwania postępowań oraz ułatwiłoby procedowanie zmiany </w:t>
      </w:r>
      <w:r>
        <w:t xml:space="preserve">decyzji </w:t>
      </w:r>
      <w:r>
        <w:t xml:space="preserve">przez podmioty, na które wydane zostały w/w decyzje administracyjne co jest szczególnie istotne mając na uwadze obecną </w:t>
      </w:r>
      <w:r>
        <w:t>sytuacj</w:t>
      </w:r>
      <w:r>
        <w:t>ę</w:t>
      </w:r>
      <w:r>
        <w:t xml:space="preserve"> rynkow</w:t>
      </w:r>
      <w:r>
        <w:t xml:space="preserve">ą i branżową, w tym </w:t>
      </w:r>
      <w:r>
        <w:t xml:space="preserve">np. </w:t>
      </w:r>
      <w:r>
        <w:t xml:space="preserve">częsta </w:t>
      </w:r>
      <w:r>
        <w:t xml:space="preserve">zmiana klasyfikacji </w:t>
      </w:r>
      <w:r>
        <w:t xml:space="preserve">odpadów przez kontrahentów członków </w:t>
      </w:r>
      <w:proofErr w:type="spellStart"/>
      <w:r>
        <w:t>IGMNiR</w:t>
      </w:r>
      <w:proofErr w:type="spellEnd"/>
      <w:r>
        <w:t>.</w:t>
      </w:r>
      <w:r>
        <w:t xml:space="preserve"> </w:t>
      </w:r>
    </w:p>
    <w:p w14:paraId="363B754F" w14:textId="77777777" w:rsidR="0023626A" w:rsidRDefault="001F6201">
      <w:pPr>
        <w:spacing w:after="592"/>
        <w:ind w:left="-15" w:right="41"/>
      </w:pPr>
      <w:r>
        <w:t xml:space="preserve">Misją </w:t>
      </w:r>
      <w:proofErr w:type="spellStart"/>
      <w:r>
        <w:t>IGMNiR</w:t>
      </w:r>
      <w:proofErr w:type="spellEnd"/>
      <w:r>
        <w:t>, jako organizacji samorządu gospodarczego, jest wspieranie rozwoju przemysłu metali nieżelaznych i recyklingu metali w Polsce. Przedstawione powyżej zagadnienia pełnią kluczową rolę</w:t>
      </w:r>
      <w:r>
        <w:t xml:space="preserve"> w zakresie </w:t>
      </w:r>
      <w:r>
        <w:t>utrzymania i rozwoju przedsiębiorstw branżowych</w:t>
      </w:r>
      <w:r>
        <w:t xml:space="preserve">, a w szerokiej perspektywie w zakresie wsparcia </w:t>
      </w:r>
      <w:r>
        <w:t xml:space="preserve">krajowego przemysłu, a co za </w:t>
      </w:r>
      <w:r>
        <w:t xml:space="preserve">tym idzie polskiej i europejskiej gospodarki. </w:t>
      </w:r>
    </w:p>
    <w:p w14:paraId="22102BB2" w14:textId="77777777" w:rsidR="0023626A" w:rsidRDefault="001F6201">
      <w:pPr>
        <w:spacing w:after="1441" w:line="259" w:lineRule="auto"/>
        <w:ind w:left="1488" w:right="0" w:firstLine="0"/>
        <w:jc w:val="center"/>
      </w:pPr>
      <w:r>
        <w:t xml:space="preserve">Z wyrazami szacunku, </w:t>
      </w:r>
    </w:p>
    <w:p w14:paraId="616916E4" w14:textId="77777777" w:rsidR="0023626A" w:rsidRDefault="001F6201">
      <w:pPr>
        <w:spacing w:after="0" w:line="259" w:lineRule="auto"/>
        <w:ind w:left="1550" w:right="0" w:firstLine="0"/>
        <w:jc w:val="center"/>
      </w:pPr>
      <w:r>
        <w:rPr>
          <w:b/>
        </w:rPr>
        <w:lastRenderedPageBreak/>
        <w:t xml:space="preserve">                    </w:t>
      </w:r>
    </w:p>
    <w:p w14:paraId="17A010C2" w14:textId="77777777" w:rsidR="0023626A" w:rsidRDefault="001F6201">
      <w:pPr>
        <w:spacing w:after="0" w:line="259" w:lineRule="auto"/>
        <w:ind w:left="1031" w:right="0" w:firstLine="0"/>
        <w:jc w:val="center"/>
      </w:pPr>
      <w:r>
        <w:rPr>
          <w:b/>
        </w:rPr>
        <w:t xml:space="preserve">               </w:t>
      </w:r>
    </w:p>
    <w:p w14:paraId="72AF937A" w14:textId="77777777" w:rsidR="0023626A" w:rsidRDefault="001F6201">
      <w:pPr>
        <w:spacing w:after="0" w:line="259" w:lineRule="auto"/>
        <w:ind w:left="1329" w:right="0" w:firstLine="0"/>
        <w:jc w:val="center"/>
      </w:pPr>
      <w:r>
        <w:rPr>
          <w:b/>
        </w:rPr>
        <w:t xml:space="preserve">                  </w:t>
      </w:r>
    </w:p>
    <w:p w14:paraId="54B9A794" w14:textId="77777777" w:rsidR="0023626A" w:rsidRDefault="001F6201">
      <w:pPr>
        <w:spacing w:after="0" w:line="259" w:lineRule="auto"/>
        <w:ind w:left="4293" w:right="0" w:firstLine="0"/>
        <w:jc w:val="left"/>
      </w:pPr>
      <w:r>
        <w:rPr>
          <w:b/>
        </w:rPr>
        <w:t xml:space="preserve">                                 </w:t>
      </w:r>
      <w:r>
        <w:br w:type="page"/>
      </w:r>
    </w:p>
    <w:p w14:paraId="715EC722" w14:textId="77777777" w:rsidR="0023626A" w:rsidRDefault="001F6201">
      <w:pPr>
        <w:spacing w:after="231" w:line="250" w:lineRule="auto"/>
        <w:ind w:left="10" w:right="0" w:hanging="10"/>
        <w:jc w:val="left"/>
      </w:pPr>
      <w:r>
        <w:rPr>
          <w:b/>
        </w:rPr>
        <w:lastRenderedPageBreak/>
        <w:t xml:space="preserve">Załącznik nr 1 do Pisma </w:t>
      </w:r>
      <w:proofErr w:type="spellStart"/>
      <w:r>
        <w:rPr>
          <w:b/>
        </w:rPr>
        <w:t>IGMNiR</w:t>
      </w:r>
      <w:proofErr w:type="spellEnd"/>
      <w:r>
        <w:rPr>
          <w:b/>
        </w:rPr>
        <w:t xml:space="preserve">: </w:t>
      </w:r>
    </w:p>
    <w:p w14:paraId="5C0A528B" w14:textId="77777777" w:rsidR="0023626A" w:rsidRDefault="001F6201">
      <w:pPr>
        <w:spacing w:after="0" w:line="259" w:lineRule="auto"/>
        <w:ind w:right="0" w:firstLine="0"/>
        <w:jc w:val="left"/>
      </w:pPr>
      <w:r>
        <w:rPr>
          <w:b/>
        </w:rPr>
        <w:t xml:space="preserve"> </w:t>
      </w:r>
    </w:p>
    <w:p w14:paraId="130D8D9E" w14:textId="77777777" w:rsidR="0023626A" w:rsidRDefault="001F6201">
      <w:pPr>
        <w:spacing w:line="250" w:lineRule="auto"/>
        <w:ind w:left="-5" w:right="33" w:hanging="10"/>
      </w:pPr>
      <w:r>
        <w:rPr>
          <w:b/>
        </w:rPr>
        <w:t xml:space="preserve">Zwiększenie nakładów na systemy IT w celu skrócenia terminów wydawania zezwoleń środowiskowych </w:t>
      </w:r>
    </w:p>
    <w:p w14:paraId="09FEA830" w14:textId="77777777" w:rsidR="0023626A" w:rsidRDefault="001F6201">
      <w:pPr>
        <w:spacing w:after="0" w:line="259" w:lineRule="auto"/>
        <w:ind w:right="0" w:firstLine="0"/>
        <w:jc w:val="left"/>
      </w:pPr>
      <w:r>
        <w:rPr>
          <w:b/>
        </w:rPr>
        <w:t xml:space="preserve"> </w:t>
      </w:r>
    </w:p>
    <w:p w14:paraId="0986FF59" w14:textId="77777777" w:rsidR="0023626A" w:rsidRDefault="001F6201">
      <w:pPr>
        <w:ind w:left="-15" w:right="41"/>
      </w:pPr>
      <w:r>
        <w:t>Współczesne technologie informa</w:t>
      </w:r>
      <w:r>
        <w:t xml:space="preserve">tyczne </w:t>
      </w:r>
      <w:r>
        <w:t xml:space="preserve">oferują wiele rozwiązań, które mogą znacząco przyspieszyć proces wydawania zezwoleń środowiskowych. Przeznaczenie środków </w:t>
      </w:r>
      <w:r>
        <w:t>finansowych na w</w:t>
      </w:r>
      <w:r>
        <w:t>drożenie nowoczesnych systemów IT może zrewolucjonizować procedury administracyjne, zwiększając efektywność i przejrzystość procesów. Poniżej przedstawiam kilka kluczowych aspektów, jak systemy IT mogą przyczynić się do tego celu:</w:t>
      </w:r>
      <w:r>
        <w:t xml:space="preserve"> </w:t>
      </w:r>
    </w:p>
    <w:p w14:paraId="1AFEBEDE" w14:textId="77777777" w:rsidR="0023626A" w:rsidRDefault="001F6201">
      <w:pPr>
        <w:spacing w:after="0" w:line="259" w:lineRule="auto"/>
        <w:ind w:left="706" w:right="0" w:firstLine="0"/>
        <w:jc w:val="left"/>
      </w:pPr>
      <w:r>
        <w:t xml:space="preserve"> </w:t>
      </w:r>
    </w:p>
    <w:p w14:paraId="39ED13B4" w14:textId="77777777" w:rsidR="0023626A" w:rsidRDefault="001F6201">
      <w:pPr>
        <w:pStyle w:val="Nagwek2"/>
        <w:ind w:left="701"/>
      </w:pPr>
      <w:r>
        <w:t>1.</w:t>
      </w:r>
      <w:r>
        <w:rPr>
          <w:rFonts w:ascii="Arial" w:eastAsia="Arial" w:hAnsi="Arial" w:cs="Arial"/>
        </w:rPr>
        <w:t xml:space="preserve"> </w:t>
      </w:r>
      <w:r>
        <w:t>Cyfryzacja dokumentów i wniosków</w:t>
      </w:r>
      <w:r>
        <w:t xml:space="preserve"> </w:t>
      </w:r>
    </w:p>
    <w:p w14:paraId="5719BE0D" w14:textId="77777777" w:rsidR="0023626A" w:rsidRDefault="001F6201">
      <w:pPr>
        <w:ind w:left="-15" w:right="41" w:firstLine="0"/>
      </w:pPr>
      <w:r>
        <w:t xml:space="preserve">Wprowadzenie systemu cyfrowego obiegu dokumentów pozwoli na szybsze przetwarzanie wniosków. Zamiast tradycyjnych, papierowych formularzy, wnioskodawcy mogliby składać </w:t>
      </w:r>
      <w:r>
        <w:t xml:space="preserve">dokumenty elektronicznie, co przyspieszy proces ich rejestracji, weryfikacji i przechowywania. </w:t>
      </w:r>
      <w:r>
        <w:t xml:space="preserve">Elektroniczne wnioski mogą być automatycznie przesyłane do odpowiednich departamentów, </w:t>
      </w:r>
      <w:r>
        <w:t xml:space="preserve">co zredukuje czas potrzebny na ich fizyczne przemieszczenie. </w:t>
      </w:r>
    </w:p>
    <w:p w14:paraId="119CD483" w14:textId="77777777" w:rsidR="0023626A" w:rsidRDefault="001F6201">
      <w:pPr>
        <w:spacing w:after="0" w:line="259" w:lineRule="auto"/>
        <w:ind w:left="706" w:right="0" w:firstLine="0"/>
        <w:jc w:val="left"/>
      </w:pPr>
      <w:r>
        <w:t xml:space="preserve"> </w:t>
      </w:r>
    </w:p>
    <w:p w14:paraId="48916C9F" w14:textId="77777777" w:rsidR="0023626A" w:rsidRDefault="001F6201">
      <w:pPr>
        <w:pStyle w:val="Nagwek2"/>
        <w:ind w:left="701"/>
      </w:pPr>
      <w:r>
        <w:t>2.</w:t>
      </w:r>
      <w:r>
        <w:rPr>
          <w:rFonts w:ascii="Arial" w:eastAsia="Arial" w:hAnsi="Arial" w:cs="Arial"/>
        </w:rPr>
        <w:t xml:space="preserve"> </w:t>
      </w:r>
      <w:r>
        <w:t>Automatyzacja procesów decyzyjnych</w:t>
      </w:r>
      <w:r>
        <w:t xml:space="preserve"> (zastosowanie AI) </w:t>
      </w:r>
    </w:p>
    <w:p w14:paraId="0E00F119" w14:textId="77777777" w:rsidR="0023626A" w:rsidRDefault="001F6201">
      <w:pPr>
        <w:ind w:left="-15" w:right="41" w:firstLine="0"/>
      </w:pPr>
      <w:r>
        <w:t xml:space="preserve">Wykorzystanie zaawansowanych algorytmów i sztucznej inteligencji (AI) do automatyzacji wstępnych etapów oceny wniosków może znacząco skrócić czas oczekiwania. Systemy AI mogą szybko analizować zgodność wniosków z obowiązującymi przepisami i wytycznymi, </w:t>
      </w:r>
      <w:r>
        <w:t>ide</w:t>
      </w:r>
      <w:r>
        <w:t>ntyfikując potencjalne problemy i sugerując optymalne rozwiązania. Automatyzacja może także pomóc w standaryzacji decyzji, co zwiększy ich przewidywalność i spójność.</w:t>
      </w:r>
      <w:r>
        <w:t xml:space="preserve"> </w:t>
      </w:r>
    </w:p>
    <w:p w14:paraId="552DFDAF" w14:textId="77777777" w:rsidR="0023626A" w:rsidRDefault="001F6201">
      <w:pPr>
        <w:spacing w:after="0" w:line="259" w:lineRule="auto"/>
        <w:ind w:left="706" w:right="0" w:firstLine="0"/>
        <w:jc w:val="left"/>
      </w:pPr>
      <w:r>
        <w:t xml:space="preserve"> </w:t>
      </w:r>
    </w:p>
    <w:p w14:paraId="606A05DA" w14:textId="77777777" w:rsidR="0023626A" w:rsidRDefault="001F6201">
      <w:pPr>
        <w:pStyle w:val="Nagwek2"/>
        <w:ind w:left="701"/>
      </w:pPr>
      <w:r>
        <w:t>3.</w:t>
      </w:r>
      <w:r>
        <w:rPr>
          <w:rFonts w:ascii="Arial" w:eastAsia="Arial" w:hAnsi="Arial" w:cs="Arial"/>
        </w:rPr>
        <w:t xml:space="preserve"> </w:t>
      </w:r>
      <w:r>
        <w:t>Zarządzanie przepływem pracy (</w:t>
      </w:r>
      <w:proofErr w:type="spellStart"/>
      <w:r>
        <w:t>Workflow</w:t>
      </w:r>
      <w:proofErr w:type="spellEnd"/>
      <w:r>
        <w:t xml:space="preserve"> Management)</w:t>
      </w:r>
      <w:r>
        <w:t xml:space="preserve"> </w:t>
      </w:r>
    </w:p>
    <w:p w14:paraId="5E6F6FE2" w14:textId="77777777" w:rsidR="0023626A" w:rsidRDefault="001F6201">
      <w:pPr>
        <w:ind w:left="-15" w:right="41" w:firstLine="0"/>
      </w:pPr>
      <w:r>
        <w:t xml:space="preserve">Systemy zarządzania przepływem pracy mogą koordynować i monitorować postępy w przetwarzaniu wniosków na każdym etapie. Dzięki temu możliwe jest lepsze zarządzanie zasobami ludzkimi, eliminowanie wąskich gardeł i identyfikowanie opóźnień w procesie. </w:t>
      </w:r>
      <w:r>
        <w:t>Automat</w:t>
      </w:r>
      <w:r>
        <w:t>yczne przypomnienia i powiadomienia mogą również zwiększyć efektywność pracy urzędników, zapewniając, że żadne zadanie nie zostanie przeoczone.</w:t>
      </w:r>
      <w:r>
        <w:t xml:space="preserve"> </w:t>
      </w:r>
    </w:p>
    <w:p w14:paraId="74241C52" w14:textId="77777777" w:rsidR="0023626A" w:rsidRDefault="001F6201">
      <w:pPr>
        <w:spacing w:after="0" w:line="259" w:lineRule="auto"/>
        <w:ind w:left="706" w:right="0" w:firstLine="0"/>
        <w:jc w:val="left"/>
      </w:pPr>
      <w:r>
        <w:t xml:space="preserve"> </w:t>
      </w:r>
    </w:p>
    <w:p w14:paraId="285F7339" w14:textId="77777777" w:rsidR="0023626A" w:rsidRDefault="001F6201">
      <w:pPr>
        <w:pStyle w:val="Nagwek2"/>
        <w:ind w:left="701"/>
      </w:pPr>
      <w:r>
        <w:t>4.</w:t>
      </w:r>
      <w:r>
        <w:rPr>
          <w:rFonts w:ascii="Arial" w:eastAsia="Arial" w:hAnsi="Arial" w:cs="Arial"/>
        </w:rPr>
        <w:t xml:space="preserve"> </w:t>
      </w:r>
      <w:r>
        <w:t xml:space="preserve">Interaktywne portale i bazy danych </w:t>
      </w:r>
    </w:p>
    <w:p w14:paraId="70D407E1" w14:textId="77777777" w:rsidR="0023626A" w:rsidRDefault="001F6201">
      <w:pPr>
        <w:ind w:left="-15" w:right="41" w:firstLine="0"/>
      </w:pPr>
      <w:r>
        <w:t>Stworzenie interaktywnych portali dla wnioskodawców pozwoli na bieżące śledzenie statusu ich wniosków, co zredukuje liczbę zapytań i telefonów do urzędów. Bazy danych zawierające często zadawane pytania (FAQ), wzory dokumentów oraz szczegółowe wytyczne mogą również pomóc wnioskodawcom w przygotowaniu kompletnych i zgodnych z wymaganiami aplikacji, co z kolei zmniejszy liczbę odrzuconych wniosków i konieczność ich poprawiania.</w:t>
      </w:r>
      <w:r>
        <w:t xml:space="preserve"> </w:t>
      </w:r>
    </w:p>
    <w:p w14:paraId="113F2918" w14:textId="77777777" w:rsidR="0023626A" w:rsidRDefault="001F6201">
      <w:pPr>
        <w:spacing w:after="0" w:line="259" w:lineRule="auto"/>
        <w:ind w:left="706" w:right="0" w:firstLine="0"/>
        <w:jc w:val="left"/>
      </w:pPr>
      <w:r>
        <w:t xml:space="preserve"> </w:t>
      </w:r>
    </w:p>
    <w:p w14:paraId="3F1835FE" w14:textId="77777777" w:rsidR="0023626A" w:rsidRDefault="001F6201">
      <w:pPr>
        <w:pStyle w:val="Nagwek2"/>
        <w:ind w:left="701"/>
      </w:pPr>
      <w:r>
        <w:lastRenderedPageBreak/>
        <w:t>5.</w:t>
      </w:r>
      <w:r>
        <w:rPr>
          <w:rFonts w:ascii="Arial" w:eastAsia="Arial" w:hAnsi="Arial" w:cs="Arial"/>
        </w:rPr>
        <w:t xml:space="preserve"> </w:t>
      </w:r>
      <w:r>
        <w:t xml:space="preserve">Zintegrowane systemy informatyczne </w:t>
      </w:r>
    </w:p>
    <w:p w14:paraId="1EDC1490" w14:textId="77777777" w:rsidR="0023626A" w:rsidRDefault="001F6201">
      <w:pPr>
        <w:ind w:left="-15" w:right="41" w:firstLine="0"/>
      </w:pPr>
      <w:r>
        <w:t>Integracja systemów informa</w:t>
      </w:r>
      <w:r>
        <w:t xml:space="preserve">tycznych </w:t>
      </w:r>
      <w:r>
        <w:t>różnych organów państwa</w:t>
      </w:r>
      <w:r>
        <w:t xml:space="preserve"> odpowiedzialnych za </w:t>
      </w:r>
      <w:r>
        <w:t>ochronę środowiska umożliwi szybszą wymianę danych i współpracę między różnymi jednostkami administracyjnymi. Dzięki temu możliwe będzie bardziej efektywne i skoordynowane podejmowanie decyzji. Zintegrowane systemy mogą również wspierać analizę danych historycznych i prognozowanie, co pozwoli na bardziej świadome planowanie i zarządzanie zasobami.</w:t>
      </w:r>
      <w:r>
        <w:t xml:space="preserve"> </w:t>
      </w:r>
    </w:p>
    <w:p w14:paraId="7C0D9021" w14:textId="77777777" w:rsidR="0023626A" w:rsidRDefault="001F6201">
      <w:pPr>
        <w:spacing w:after="0" w:line="259" w:lineRule="auto"/>
        <w:ind w:left="706" w:right="0" w:firstLine="0"/>
        <w:jc w:val="left"/>
      </w:pPr>
      <w:r>
        <w:t xml:space="preserve"> </w:t>
      </w:r>
    </w:p>
    <w:p w14:paraId="2F5F4E8E" w14:textId="77777777" w:rsidR="0023626A" w:rsidRDefault="001F6201">
      <w:pPr>
        <w:pStyle w:val="Nagwek2"/>
        <w:ind w:left="701"/>
      </w:pPr>
      <w:r>
        <w:t>6.</w:t>
      </w:r>
      <w:r>
        <w:rPr>
          <w:rFonts w:ascii="Arial" w:eastAsia="Arial" w:hAnsi="Arial" w:cs="Arial"/>
        </w:rPr>
        <w:t xml:space="preserve"> </w:t>
      </w:r>
      <w:r>
        <w:t>Bezpieczeństwo i transparentność danych</w:t>
      </w:r>
      <w:r>
        <w:t xml:space="preserve"> </w:t>
      </w:r>
    </w:p>
    <w:p w14:paraId="76556E22" w14:textId="77777777" w:rsidR="0023626A" w:rsidRDefault="001F6201">
      <w:pPr>
        <w:ind w:left="-15" w:right="41" w:firstLine="0"/>
      </w:pPr>
      <w:r>
        <w:t xml:space="preserve">Zaawansowane technologie zabezpieczeń mogą zapewnić wysoką transparentność i niezmienność danych w procesie wydawania zezwoleń. Dzięki temu wszelkie zmiany w dokumentacji mogą być łatwo śledzone, co zwiększy zaufanie wnioskodawców do procesu </w:t>
      </w:r>
      <w:r>
        <w:t>administracyjn</w:t>
      </w:r>
      <w:r>
        <w:t>ego oraz zmniejszy ryzyko korupcji i nieprawidłowości.</w:t>
      </w:r>
      <w:r>
        <w:t xml:space="preserve"> </w:t>
      </w:r>
    </w:p>
    <w:p w14:paraId="466EF24E" w14:textId="77777777" w:rsidR="0023626A" w:rsidRDefault="001F6201">
      <w:pPr>
        <w:spacing w:after="221" w:line="259" w:lineRule="auto"/>
        <w:ind w:right="0" w:firstLine="0"/>
        <w:jc w:val="left"/>
      </w:pPr>
      <w:r>
        <w:rPr>
          <w:b/>
        </w:rPr>
        <w:t xml:space="preserve"> </w:t>
      </w:r>
    </w:p>
    <w:p w14:paraId="2952802A" w14:textId="77777777" w:rsidR="0023626A" w:rsidRDefault="001F6201">
      <w:pPr>
        <w:spacing w:after="8704" w:line="250" w:lineRule="auto"/>
        <w:ind w:left="-15" w:right="33" w:firstLine="706"/>
      </w:pPr>
      <w:r>
        <w:rPr>
          <w:b/>
        </w:rPr>
        <w:t>Podsumowując, wdrożenie nowoczesnych systemów IT w procesie wydawania zezwoleń środowiskowych naszym zdaniem przyniesie znaczące korzyści, takie jak skrócenie czasu przetwarzania wniosków, polepszenie warunków pracy a przez to zwiększenie efektywności pracy urzędników, poprawę transparentności wszystkich stron oraz zadowolenia wnioskodawców. Inwestycje w te technologie są kluczowym krokiem w kierunku bardziej zrównoważonej i efektywnej administracji publicznej z wymiernym pozytywnym efektem dla polskiej ora</w:t>
      </w:r>
      <w:r>
        <w:rPr>
          <w:b/>
        </w:rPr>
        <w:t xml:space="preserve">z unijnej gospodarki. </w:t>
      </w:r>
    </w:p>
    <w:p w14:paraId="5D0B9F53" w14:textId="77777777" w:rsidR="0023626A" w:rsidRDefault="001F6201">
      <w:pPr>
        <w:spacing w:after="8" w:line="259" w:lineRule="auto"/>
        <w:ind w:right="0" w:firstLine="0"/>
        <w:jc w:val="right"/>
      </w:pPr>
      <w:r>
        <w:rPr>
          <w:sz w:val="20"/>
        </w:rPr>
        <w:lastRenderedPageBreak/>
        <w:t xml:space="preserve"> </w:t>
      </w:r>
    </w:p>
    <w:p w14:paraId="21EC2BB7" w14:textId="77777777" w:rsidR="0023626A" w:rsidRDefault="001F6201">
      <w:pPr>
        <w:spacing w:after="0" w:line="259" w:lineRule="auto"/>
        <w:ind w:right="0" w:firstLine="0"/>
        <w:jc w:val="left"/>
      </w:pPr>
      <w:r>
        <w:rPr>
          <w:rFonts w:ascii="Times New Roman" w:eastAsia="Times New Roman" w:hAnsi="Times New Roman" w:cs="Times New Roman"/>
        </w:rPr>
        <w:t xml:space="preserve"> </w:t>
      </w:r>
    </w:p>
    <w:sectPr w:rsidR="0023626A">
      <w:footerReference w:type="even" r:id="rId12"/>
      <w:footerReference w:type="default" r:id="rId13"/>
      <w:footerReference w:type="first" r:id="rId14"/>
      <w:pgSz w:w="11904" w:h="16838"/>
      <w:pgMar w:top="714" w:right="1366" w:bottom="70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F6D3" w14:textId="77777777" w:rsidR="001F6201" w:rsidRDefault="001F6201">
      <w:pPr>
        <w:spacing w:after="0" w:line="240" w:lineRule="auto"/>
      </w:pPr>
      <w:r>
        <w:separator/>
      </w:r>
    </w:p>
  </w:endnote>
  <w:endnote w:type="continuationSeparator" w:id="0">
    <w:p w14:paraId="3A1FB901" w14:textId="77777777" w:rsidR="001F6201" w:rsidRDefault="001F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1262" w14:textId="77777777" w:rsidR="0023626A" w:rsidRDefault="001F6201">
    <w:pPr>
      <w:spacing w:after="8" w:line="259" w:lineRule="auto"/>
      <w:ind w:right="4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62DA1E61" w14:textId="77777777" w:rsidR="0023626A" w:rsidRDefault="001F6201">
    <w:pPr>
      <w:spacing w:after="0" w:line="259" w:lineRule="auto"/>
      <w:ind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8182" w14:textId="77777777" w:rsidR="0023626A" w:rsidRDefault="001F6201">
    <w:pPr>
      <w:spacing w:after="8" w:line="259" w:lineRule="auto"/>
      <w:ind w:right="4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58F0C4D" w14:textId="77777777" w:rsidR="0023626A" w:rsidRDefault="001F6201">
    <w:pPr>
      <w:spacing w:after="0" w:line="259" w:lineRule="auto"/>
      <w:ind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F054" w14:textId="77777777" w:rsidR="0023626A" w:rsidRDefault="0023626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BA6E" w14:textId="77777777" w:rsidR="0023626A" w:rsidRDefault="001F6201">
      <w:pPr>
        <w:spacing w:after="17" w:line="235" w:lineRule="auto"/>
        <w:ind w:right="0" w:firstLine="0"/>
      </w:pPr>
      <w:r>
        <w:separator/>
      </w:r>
    </w:p>
  </w:footnote>
  <w:footnote w:type="continuationSeparator" w:id="0">
    <w:p w14:paraId="05882EBD" w14:textId="77777777" w:rsidR="0023626A" w:rsidRDefault="001F6201">
      <w:pPr>
        <w:spacing w:after="17" w:line="235" w:lineRule="auto"/>
        <w:ind w:right="0" w:firstLine="0"/>
      </w:pPr>
      <w:r>
        <w:continuationSeparator/>
      </w:r>
    </w:p>
  </w:footnote>
  <w:footnote w:id="1">
    <w:p w14:paraId="3AEC11E6" w14:textId="77777777" w:rsidR="0023626A" w:rsidRDefault="001F6201">
      <w:pPr>
        <w:pStyle w:val="footnotedescription"/>
        <w:spacing w:after="17" w:line="235" w:lineRule="auto"/>
      </w:pPr>
      <w:r>
        <w:rPr>
          <w:rStyle w:val="footnotemark"/>
        </w:rPr>
        <w:footnoteRef/>
      </w:r>
      <w:r>
        <w:t xml:space="preserve"> </w:t>
      </w:r>
      <w:r>
        <w:t>Art. 553 § 1 i 2 Ustawa z dnia 15 września 2000 r. Kodeks spółek handlowych (</w:t>
      </w:r>
      <w:proofErr w:type="spellStart"/>
      <w:r>
        <w:t>t.j</w:t>
      </w:r>
      <w:proofErr w:type="spellEnd"/>
      <w:r>
        <w:t>. Dz. U. z 2024 r. poz. 18 z późn. zm. –</w:t>
      </w:r>
      <w:r>
        <w:t xml:space="preserve"> dalej </w:t>
      </w:r>
      <w:r>
        <w:t>„</w:t>
      </w:r>
      <w:r>
        <w:rPr>
          <w:b/>
        </w:rPr>
        <w:t>KSH</w:t>
      </w:r>
      <w:r>
        <w:t>”).</w:t>
      </w:r>
      <w:r>
        <w:rPr>
          <w:sz w:val="20"/>
        </w:rPr>
        <w:t xml:space="preserve"> </w:t>
      </w:r>
    </w:p>
  </w:footnote>
  <w:footnote w:id="2">
    <w:p w14:paraId="0D776E10" w14:textId="77777777" w:rsidR="0023626A" w:rsidRDefault="001F6201">
      <w:pPr>
        <w:pStyle w:val="footnotedescription"/>
        <w:spacing w:line="259" w:lineRule="auto"/>
        <w:jc w:val="left"/>
      </w:pPr>
      <w:r>
        <w:rPr>
          <w:rStyle w:val="footnotemark"/>
        </w:rPr>
        <w:footnoteRef/>
      </w:r>
      <w:r>
        <w:t xml:space="preserve"> </w:t>
      </w:r>
      <w:r>
        <w:t>Art. 584</w:t>
      </w:r>
      <w:r>
        <w:rPr>
          <w:vertAlign w:val="superscript"/>
        </w:rPr>
        <w:t>2</w:t>
      </w:r>
      <w:r>
        <w:t xml:space="preserve"> </w:t>
      </w:r>
      <w:r>
        <w:t>§ 1 i 2 KSH.</w:t>
      </w:r>
      <w:r>
        <w:rPr>
          <w:sz w:val="20"/>
        </w:rPr>
        <w:t xml:space="preserve"> </w:t>
      </w:r>
    </w:p>
  </w:footnote>
  <w:footnote w:id="3">
    <w:p w14:paraId="39C6168F" w14:textId="77777777" w:rsidR="0023626A" w:rsidRDefault="001F6201">
      <w:pPr>
        <w:pStyle w:val="footnotedescription"/>
      </w:pPr>
      <w:r>
        <w:rPr>
          <w:rStyle w:val="footnotemark"/>
        </w:rPr>
        <w:footnoteRef/>
      </w:r>
      <w:r>
        <w:t xml:space="preserve"> </w:t>
      </w:r>
      <w:r>
        <w:t xml:space="preserve">M.in. Postanowienie SN z 30.06.2020 r., I CZ 15/20, LEX nr 3046030; Wyrok NSA z 22.03.2022 r., II FSK 649/21, LEX nr 3366026; </w:t>
      </w:r>
      <w:r>
        <w:t xml:space="preserve">Uchwała SN z 29.11.2017 r., III CZP 68/17, </w:t>
      </w:r>
      <w:r>
        <w:t>OSNC 2018, nr 6, poz. 60.</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25BD9"/>
    <w:multiLevelType w:val="hybridMultilevel"/>
    <w:tmpl w:val="C772026A"/>
    <w:lvl w:ilvl="0" w:tplc="E77876A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FC65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D4E91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DE893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B06D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E4957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D4ED5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3EDEA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32C9B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C86361"/>
    <w:multiLevelType w:val="hybridMultilevel"/>
    <w:tmpl w:val="820A5B24"/>
    <w:lvl w:ilvl="0" w:tplc="CB6221EC">
      <w:start w:val="1"/>
      <w:numFmt w:val="decimal"/>
      <w:lvlText w:val="%1."/>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D40C10">
      <w:start w:val="1"/>
      <w:numFmt w:val="lowerLetter"/>
      <w:lvlText w:val="%2"/>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2ABBEA">
      <w:start w:val="1"/>
      <w:numFmt w:val="lowerRoman"/>
      <w:lvlText w:val="%3"/>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020F3A">
      <w:start w:val="1"/>
      <w:numFmt w:val="decimal"/>
      <w:lvlText w:val="%4"/>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B8CDC8">
      <w:start w:val="1"/>
      <w:numFmt w:val="lowerLetter"/>
      <w:lvlText w:val="%5"/>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D29C12">
      <w:start w:val="1"/>
      <w:numFmt w:val="lowerRoman"/>
      <w:lvlText w:val="%6"/>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B6ACDC">
      <w:start w:val="1"/>
      <w:numFmt w:val="decimal"/>
      <w:lvlText w:val="%7"/>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5C20CE">
      <w:start w:val="1"/>
      <w:numFmt w:val="lowerLetter"/>
      <w:lvlText w:val="%8"/>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86F58E">
      <w:start w:val="1"/>
      <w:numFmt w:val="lowerRoman"/>
      <w:lvlText w:val="%9"/>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46831533">
    <w:abstractNumId w:val="0"/>
  </w:num>
  <w:num w:numId="2" w16cid:durableId="106989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6A"/>
    <w:rsid w:val="001F6201"/>
    <w:rsid w:val="00236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DD75"/>
  <w15:docId w15:val="{F21053EA-9815-4226-87AD-71CBD956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9" w:lineRule="auto"/>
      <w:ind w:right="43" w:firstLine="696"/>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line="259" w:lineRule="auto"/>
      <w:ind w:left="4960"/>
      <w:jc w:val="center"/>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237" w:line="259" w:lineRule="auto"/>
      <w:ind w:left="716" w:hanging="10"/>
      <w:outlineLvl w:val="1"/>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22"/>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line="250" w:lineRule="auto"/>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gmnir/" TargetMode="External"/><Relationship Id="rId13" Type="http://schemas.openxmlformats.org/officeDocument/2006/relationships/footer" Target="footer2.xml"/><Relationship Id="rId3" Type="http://schemas.openxmlformats.org/officeDocument/2006/relationships/settings" Target="settings.xml"/><Relationship Id="hyperlink202" Type="http://schemas.openxmlformats.org/officeDocument/2006/relationships/hyperlink" Target="http://www.igmnir/" TargetMode="External"/><Relationship Id="rId7" Type="http://schemas.openxmlformats.org/officeDocument/2006/relationships/hyperlink" Target="http://www.igmni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0.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igmnir/"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2987</Words>
  <Characters>17926</Characters>
  <Application>Microsoft Office Word</Application>
  <DocSecurity>0</DocSecurity>
  <Lines>149</Lines>
  <Paragraphs>41</Paragraphs>
  <ScaleCrop>false</ScaleCrop>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IGMNiR</dc:creator>
  <cp:keywords/>
  <cp:lastModifiedBy>Orlińska Sylwia</cp:lastModifiedBy>
  <cp:revision>2</cp:revision>
  <dcterms:created xsi:type="dcterms:W3CDTF">2024-06-12T08:48:00Z</dcterms:created>
  <dcterms:modified xsi:type="dcterms:W3CDTF">2024-06-12T08:48:00Z</dcterms:modified>
</cp:coreProperties>
</file>