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95147" w14:textId="17979463" w:rsidR="00485913" w:rsidRDefault="00240129" w:rsidP="002D04F6">
      <w:pPr>
        <w:spacing w:after="200"/>
        <w:jc w:val="right"/>
        <w:rPr>
          <w:rFonts w:ascii="Arial" w:eastAsia="Calibri" w:hAnsi="Arial" w:cs="Arial"/>
          <w:lang w:val="pl-PL" w:eastAsia="en-US"/>
        </w:rPr>
      </w:pPr>
      <w:r>
        <w:rPr>
          <w:noProof/>
          <w:lang w:val="pl-PL"/>
        </w:rPr>
        <w:drawing>
          <wp:anchor distT="0" distB="0" distL="114300" distR="114300" simplePos="0" relativeHeight="251659264" behindDoc="1" locked="0" layoutInCell="1" allowOverlap="1" wp14:anchorId="32D57AB6" wp14:editId="2D2457A2">
            <wp:simplePos x="0" y="0"/>
            <wp:positionH relativeFrom="page">
              <wp:align>left</wp:align>
            </wp:positionH>
            <wp:positionV relativeFrom="paragraph">
              <wp:posOffset>-1056197</wp:posOffset>
            </wp:positionV>
            <wp:extent cx="7560000" cy="1442544"/>
            <wp:effectExtent l="0" t="0" r="3175" b="5715"/>
            <wp:wrapNone/>
            <wp:docPr id="3" name="Obraz 3" descr="Macintosh HD:Users:mkula:Documents:____Projekty:Rozne:Logo NOWE mista Opola:Papier firmowy:elementy graficzne:Papier-Urzad-niebieski-gora-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kula:Documents:____Projekty:Rozne:Logo NOWE mista Opola:Papier firmowy:elementy graficzne:Papier-Urzad-niebieski-gora-v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000" cy="14425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4B4D9" w14:textId="4958668B" w:rsidR="002D04F6" w:rsidRDefault="002D04F6" w:rsidP="002D04F6">
      <w:pPr>
        <w:spacing w:after="200"/>
        <w:jc w:val="right"/>
        <w:rPr>
          <w:rFonts w:ascii="Arial" w:eastAsia="Calibri" w:hAnsi="Arial" w:cs="Arial"/>
          <w:lang w:val="pl-PL" w:eastAsia="en-US"/>
        </w:rPr>
      </w:pPr>
      <w:r>
        <w:rPr>
          <w:rFonts w:ascii="Arial" w:eastAsia="Calibri" w:hAnsi="Arial" w:cs="Arial"/>
          <w:lang w:val="pl-PL" w:eastAsia="en-US"/>
        </w:rPr>
        <w:t xml:space="preserve">Opole, dnia </w:t>
      </w:r>
      <w:r w:rsidR="00195B8C">
        <w:rPr>
          <w:rFonts w:ascii="Arial" w:eastAsia="Calibri" w:hAnsi="Arial" w:cs="Arial"/>
          <w:lang w:val="pl-PL" w:eastAsia="en-US"/>
        </w:rPr>
        <w:t>26</w:t>
      </w:r>
      <w:r w:rsidR="00AE3145">
        <w:rPr>
          <w:rFonts w:ascii="Arial" w:eastAsia="Calibri" w:hAnsi="Arial" w:cs="Arial"/>
          <w:lang w:val="pl-PL" w:eastAsia="en-US"/>
        </w:rPr>
        <w:t xml:space="preserve"> </w:t>
      </w:r>
      <w:r w:rsidR="001A11B3">
        <w:rPr>
          <w:rFonts w:ascii="Arial" w:eastAsia="Calibri" w:hAnsi="Arial" w:cs="Arial"/>
          <w:lang w:val="pl-PL" w:eastAsia="en-US"/>
        </w:rPr>
        <w:t>kwietnia</w:t>
      </w:r>
      <w:r w:rsidR="00E26196">
        <w:rPr>
          <w:rFonts w:ascii="Arial" w:eastAsia="Calibri" w:hAnsi="Arial" w:cs="Arial"/>
          <w:lang w:val="pl-PL" w:eastAsia="en-US"/>
        </w:rPr>
        <w:t xml:space="preserve"> 2024</w:t>
      </w:r>
      <w:r>
        <w:rPr>
          <w:rFonts w:ascii="Arial" w:eastAsia="Calibri" w:hAnsi="Arial" w:cs="Arial"/>
          <w:lang w:val="pl-PL" w:eastAsia="en-US"/>
        </w:rPr>
        <w:t xml:space="preserve"> r.</w:t>
      </w:r>
    </w:p>
    <w:p w14:paraId="7092AFF8" w14:textId="5B7A150B" w:rsidR="00E26196" w:rsidRDefault="001A11B3" w:rsidP="00E26196">
      <w:pPr>
        <w:rPr>
          <w:rFonts w:ascii="Arial" w:eastAsia="Calibri" w:hAnsi="Arial" w:cs="Arial"/>
          <w:lang w:val="pl-PL" w:eastAsia="en-US"/>
        </w:rPr>
      </w:pPr>
      <w:r w:rsidRPr="001A11B3">
        <w:rPr>
          <w:rFonts w:ascii="Arial" w:eastAsia="Calibri" w:hAnsi="Arial" w:cs="Arial"/>
          <w:lang w:val="pl-PL" w:eastAsia="en-US"/>
        </w:rPr>
        <w:t>GOK-RWO.3137.32.2024</w:t>
      </w:r>
    </w:p>
    <w:p w14:paraId="2FB73D48" w14:textId="179EF100" w:rsidR="00E26196" w:rsidRDefault="001A11B3" w:rsidP="00E26196">
      <w:pPr>
        <w:spacing w:after="200"/>
        <w:rPr>
          <w:rFonts w:ascii="Arial" w:eastAsia="Calibri" w:hAnsi="Arial" w:cs="Arial"/>
          <w:lang w:val="pl-PL" w:eastAsia="en-US"/>
        </w:rPr>
      </w:pPr>
      <w:r w:rsidRPr="001A11B3">
        <w:rPr>
          <w:rFonts w:ascii="Arial" w:eastAsia="Calibri" w:hAnsi="Arial" w:cs="Arial"/>
          <w:lang w:val="pl-PL" w:eastAsia="en-US"/>
        </w:rPr>
        <w:t>GOK-RWO.KW-001083/24</w:t>
      </w:r>
    </w:p>
    <w:p w14:paraId="2FDB15D2" w14:textId="77777777" w:rsidR="00485913" w:rsidRDefault="00485913" w:rsidP="001A11B3">
      <w:pPr>
        <w:ind w:left="5664" w:firstLine="6"/>
        <w:rPr>
          <w:rFonts w:ascii="Arial" w:eastAsia="Calibri" w:hAnsi="Arial" w:cs="Arial"/>
          <w:b/>
          <w:lang w:val="pl-PL" w:eastAsia="en-US"/>
        </w:rPr>
      </w:pPr>
    </w:p>
    <w:p w14:paraId="08E7E12B" w14:textId="77777777" w:rsidR="00485913" w:rsidRDefault="00485913" w:rsidP="001A11B3">
      <w:pPr>
        <w:ind w:left="5664" w:firstLine="6"/>
        <w:rPr>
          <w:rFonts w:ascii="Arial" w:eastAsia="Calibri" w:hAnsi="Arial" w:cs="Arial"/>
          <w:b/>
          <w:lang w:val="pl-PL" w:eastAsia="en-US"/>
        </w:rPr>
      </w:pPr>
    </w:p>
    <w:p w14:paraId="11C1A69F" w14:textId="02E0E618" w:rsidR="00E26196" w:rsidRPr="00E26196" w:rsidRDefault="001A11B3" w:rsidP="001A11B3">
      <w:pPr>
        <w:ind w:left="5664" w:firstLine="6"/>
        <w:rPr>
          <w:rFonts w:ascii="Arial" w:eastAsia="Calibri" w:hAnsi="Arial" w:cs="Arial"/>
          <w:b/>
          <w:lang w:val="pl-PL" w:eastAsia="en-US"/>
        </w:rPr>
      </w:pPr>
      <w:r>
        <w:rPr>
          <w:rFonts w:ascii="Arial" w:eastAsia="Calibri" w:hAnsi="Arial" w:cs="Arial"/>
          <w:b/>
          <w:lang w:val="pl-PL" w:eastAsia="en-US"/>
        </w:rPr>
        <w:t xml:space="preserve">Ministerstwo Klimatu </w:t>
      </w:r>
      <w:r>
        <w:rPr>
          <w:rFonts w:ascii="Arial" w:eastAsia="Calibri" w:hAnsi="Arial" w:cs="Arial"/>
          <w:b/>
          <w:lang w:val="pl-PL" w:eastAsia="en-US"/>
        </w:rPr>
        <w:br/>
        <w:t>i Środowiska</w:t>
      </w:r>
    </w:p>
    <w:p w14:paraId="19DAF63C" w14:textId="247D2550" w:rsidR="00E26196" w:rsidRPr="00E26196" w:rsidRDefault="00E26196" w:rsidP="00E26196">
      <w:pPr>
        <w:rPr>
          <w:rFonts w:ascii="Arial" w:eastAsia="Calibri" w:hAnsi="Arial" w:cs="Arial"/>
          <w:b/>
          <w:lang w:val="pl-PL" w:eastAsia="en-US"/>
        </w:rPr>
      </w:pPr>
      <w:r w:rsidRPr="00E26196">
        <w:rPr>
          <w:rFonts w:ascii="Arial" w:eastAsia="Calibri" w:hAnsi="Arial" w:cs="Arial"/>
          <w:b/>
          <w:lang w:val="pl-PL" w:eastAsia="en-US"/>
        </w:rPr>
        <w:tab/>
      </w:r>
      <w:r w:rsidRPr="00E26196">
        <w:rPr>
          <w:rFonts w:ascii="Arial" w:eastAsia="Calibri" w:hAnsi="Arial" w:cs="Arial"/>
          <w:b/>
          <w:lang w:val="pl-PL" w:eastAsia="en-US"/>
        </w:rPr>
        <w:tab/>
      </w:r>
      <w:r w:rsidRPr="00E26196">
        <w:rPr>
          <w:rFonts w:ascii="Arial" w:eastAsia="Calibri" w:hAnsi="Arial" w:cs="Arial"/>
          <w:b/>
          <w:lang w:val="pl-PL" w:eastAsia="en-US"/>
        </w:rPr>
        <w:tab/>
      </w:r>
      <w:r w:rsidRPr="00E26196">
        <w:rPr>
          <w:rFonts w:ascii="Arial" w:eastAsia="Calibri" w:hAnsi="Arial" w:cs="Arial"/>
          <w:b/>
          <w:lang w:val="pl-PL" w:eastAsia="en-US"/>
        </w:rPr>
        <w:tab/>
      </w:r>
      <w:r w:rsidRPr="00E26196">
        <w:rPr>
          <w:rFonts w:ascii="Arial" w:eastAsia="Calibri" w:hAnsi="Arial" w:cs="Arial"/>
          <w:b/>
          <w:lang w:val="pl-PL" w:eastAsia="en-US"/>
        </w:rPr>
        <w:tab/>
      </w:r>
      <w:r w:rsidRPr="00E26196">
        <w:rPr>
          <w:rFonts w:ascii="Arial" w:eastAsia="Calibri" w:hAnsi="Arial" w:cs="Arial"/>
          <w:b/>
          <w:lang w:val="pl-PL" w:eastAsia="en-US"/>
        </w:rPr>
        <w:tab/>
      </w:r>
      <w:r w:rsidRPr="00E26196">
        <w:rPr>
          <w:rFonts w:ascii="Arial" w:eastAsia="Calibri" w:hAnsi="Arial" w:cs="Arial"/>
          <w:b/>
          <w:lang w:val="pl-PL" w:eastAsia="en-US"/>
        </w:rPr>
        <w:tab/>
      </w:r>
      <w:r w:rsidRPr="00E26196">
        <w:rPr>
          <w:rFonts w:ascii="Arial" w:eastAsia="Calibri" w:hAnsi="Arial" w:cs="Arial"/>
          <w:b/>
          <w:lang w:val="pl-PL" w:eastAsia="en-US"/>
        </w:rPr>
        <w:tab/>
        <w:t xml:space="preserve">Ul. </w:t>
      </w:r>
      <w:r w:rsidR="001A11B3">
        <w:rPr>
          <w:rFonts w:ascii="Arial" w:eastAsia="Calibri" w:hAnsi="Arial" w:cs="Arial"/>
          <w:b/>
          <w:lang w:val="pl-PL" w:eastAsia="en-US"/>
        </w:rPr>
        <w:t>Wawelska 52/54</w:t>
      </w:r>
    </w:p>
    <w:p w14:paraId="3D783430" w14:textId="06283F08" w:rsidR="00E26196" w:rsidRPr="00E26196" w:rsidRDefault="00E26196" w:rsidP="00E26196">
      <w:pPr>
        <w:rPr>
          <w:rFonts w:ascii="Arial" w:eastAsia="Calibri" w:hAnsi="Arial" w:cs="Arial"/>
          <w:b/>
          <w:lang w:val="pl-PL" w:eastAsia="en-US"/>
        </w:rPr>
      </w:pPr>
      <w:r w:rsidRPr="00E26196">
        <w:rPr>
          <w:rFonts w:ascii="Arial" w:eastAsia="Calibri" w:hAnsi="Arial" w:cs="Arial"/>
          <w:b/>
          <w:lang w:val="pl-PL" w:eastAsia="en-US"/>
        </w:rPr>
        <w:tab/>
      </w:r>
      <w:r w:rsidRPr="00E26196">
        <w:rPr>
          <w:rFonts w:ascii="Arial" w:eastAsia="Calibri" w:hAnsi="Arial" w:cs="Arial"/>
          <w:b/>
          <w:lang w:val="pl-PL" w:eastAsia="en-US"/>
        </w:rPr>
        <w:tab/>
      </w:r>
      <w:r w:rsidRPr="00E26196">
        <w:rPr>
          <w:rFonts w:ascii="Arial" w:eastAsia="Calibri" w:hAnsi="Arial" w:cs="Arial"/>
          <w:b/>
          <w:lang w:val="pl-PL" w:eastAsia="en-US"/>
        </w:rPr>
        <w:tab/>
      </w:r>
      <w:r w:rsidRPr="00E26196">
        <w:rPr>
          <w:rFonts w:ascii="Arial" w:eastAsia="Calibri" w:hAnsi="Arial" w:cs="Arial"/>
          <w:b/>
          <w:lang w:val="pl-PL" w:eastAsia="en-US"/>
        </w:rPr>
        <w:tab/>
      </w:r>
      <w:r w:rsidRPr="00E26196">
        <w:rPr>
          <w:rFonts w:ascii="Arial" w:eastAsia="Calibri" w:hAnsi="Arial" w:cs="Arial"/>
          <w:b/>
          <w:lang w:val="pl-PL" w:eastAsia="en-US"/>
        </w:rPr>
        <w:tab/>
      </w:r>
      <w:r w:rsidRPr="00E26196">
        <w:rPr>
          <w:rFonts w:ascii="Arial" w:eastAsia="Calibri" w:hAnsi="Arial" w:cs="Arial"/>
          <w:b/>
          <w:lang w:val="pl-PL" w:eastAsia="en-US"/>
        </w:rPr>
        <w:tab/>
      </w:r>
      <w:r w:rsidRPr="00E26196">
        <w:rPr>
          <w:rFonts w:ascii="Arial" w:eastAsia="Calibri" w:hAnsi="Arial" w:cs="Arial"/>
          <w:b/>
          <w:lang w:val="pl-PL" w:eastAsia="en-US"/>
        </w:rPr>
        <w:tab/>
      </w:r>
      <w:r w:rsidRPr="00E26196">
        <w:rPr>
          <w:rFonts w:ascii="Arial" w:eastAsia="Calibri" w:hAnsi="Arial" w:cs="Arial"/>
          <w:b/>
          <w:lang w:val="pl-PL" w:eastAsia="en-US"/>
        </w:rPr>
        <w:tab/>
      </w:r>
      <w:r w:rsidR="001A11B3">
        <w:rPr>
          <w:rFonts w:ascii="Arial" w:eastAsia="Calibri" w:hAnsi="Arial" w:cs="Arial"/>
          <w:b/>
          <w:lang w:val="pl-PL" w:eastAsia="en-US"/>
        </w:rPr>
        <w:t>00-922</w:t>
      </w:r>
      <w:r w:rsidRPr="00E26196">
        <w:rPr>
          <w:rFonts w:ascii="Arial" w:eastAsia="Calibri" w:hAnsi="Arial" w:cs="Arial"/>
          <w:b/>
          <w:lang w:val="pl-PL" w:eastAsia="en-US"/>
        </w:rPr>
        <w:t xml:space="preserve"> </w:t>
      </w:r>
      <w:r w:rsidR="001A11B3">
        <w:rPr>
          <w:rFonts w:ascii="Arial" w:eastAsia="Calibri" w:hAnsi="Arial" w:cs="Arial"/>
          <w:b/>
          <w:lang w:val="pl-PL" w:eastAsia="en-US"/>
        </w:rPr>
        <w:t>Warszawa</w:t>
      </w:r>
    </w:p>
    <w:p w14:paraId="2A6AD8DA" w14:textId="77777777" w:rsidR="002D04F6" w:rsidRDefault="002D04F6" w:rsidP="002D04F6">
      <w:pPr>
        <w:outlineLvl w:val="0"/>
        <w:rPr>
          <w:rFonts w:ascii="Arial" w:eastAsia="Calibri" w:hAnsi="Arial" w:cs="Arial"/>
          <w:lang w:val="pl-PL" w:eastAsia="en-US"/>
        </w:rPr>
      </w:pPr>
    </w:p>
    <w:p w14:paraId="508D14EA" w14:textId="77777777" w:rsidR="00485913" w:rsidRDefault="001A11B3" w:rsidP="001A11B3">
      <w:pPr>
        <w:ind w:right="-650"/>
        <w:jc w:val="both"/>
        <w:outlineLvl w:val="0"/>
        <w:rPr>
          <w:rFonts w:ascii="Arial" w:eastAsia="Calibri" w:hAnsi="Arial" w:cs="Arial"/>
          <w:lang w:val="pl-PL" w:eastAsia="en-US"/>
        </w:rPr>
      </w:pPr>
      <w:r>
        <w:rPr>
          <w:rFonts w:ascii="Arial" w:eastAsia="Calibri" w:hAnsi="Arial" w:cs="Arial"/>
          <w:lang w:val="pl-PL" w:eastAsia="en-US"/>
        </w:rPr>
        <w:tab/>
      </w:r>
    </w:p>
    <w:p w14:paraId="54D856F5" w14:textId="77777777" w:rsidR="00485913" w:rsidRDefault="00485913" w:rsidP="00485913">
      <w:pPr>
        <w:ind w:right="-650" w:firstLine="708"/>
        <w:jc w:val="both"/>
        <w:outlineLvl w:val="0"/>
        <w:rPr>
          <w:rFonts w:ascii="Arial" w:eastAsia="Calibri" w:hAnsi="Arial" w:cs="Arial"/>
          <w:lang w:val="pl-PL" w:eastAsia="en-US"/>
        </w:rPr>
      </w:pPr>
    </w:p>
    <w:p w14:paraId="2A6708E0" w14:textId="42B5D5D0" w:rsidR="001A11B3" w:rsidRPr="001A11B3" w:rsidRDefault="001A11B3" w:rsidP="00485913">
      <w:pPr>
        <w:ind w:right="-650" w:firstLine="708"/>
        <w:jc w:val="both"/>
        <w:outlineLvl w:val="0"/>
        <w:rPr>
          <w:rFonts w:ascii="Arial" w:eastAsia="Calibri" w:hAnsi="Arial" w:cs="Arial"/>
          <w:lang w:val="pl-PL" w:eastAsia="en-US"/>
        </w:rPr>
      </w:pPr>
      <w:r w:rsidRPr="001A11B3">
        <w:rPr>
          <w:rFonts w:ascii="Arial" w:eastAsia="Calibri" w:hAnsi="Arial" w:cs="Arial"/>
          <w:lang w:val="pl-PL" w:eastAsia="en-US"/>
        </w:rPr>
        <w:t>Ponad 4 lata temu weszła w życie nowelizacja ustawy o utrzymaniu czystości i porządku w gminach wprowadzająca obowiązek selektywnej zbiórki odpadów komunalnych. Przez ten czas Miasto Opole w ramach realizowanych zadań i przyznanych ustawą kompetencji zarządzało gminnym systemem gospodarki odpadami komunalnymi, podejmując działania mające na celu jego sprawne i wydajne funkcjonowanie. Kilkuletni okres funkcjonowania obowiązkowej selektywnej zbiórki odpadów komunalnych pozwolił na uformowanie się refleksji dotyczących obowiązujących przepisów, którymi chciałbym się z Państwem zwięźle podzielić.</w:t>
      </w:r>
    </w:p>
    <w:p w14:paraId="4DCC3E62" w14:textId="77777777" w:rsidR="001A11B3" w:rsidRPr="001A11B3" w:rsidRDefault="001A11B3" w:rsidP="001A11B3">
      <w:pPr>
        <w:ind w:right="-650"/>
        <w:jc w:val="both"/>
        <w:outlineLvl w:val="0"/>
        <w:rPr>
          <w:rFonts w:ascii="Arial" w:eastAsia="Calibri" w:hAnsi="Arial" w:cs="Arial"/>
          <w:lang w:val="pl-PL" w:eastAsia="en-US"/>
        </w:rPr>
      </w:pPr>
      <w:r w:rsidRPr="001A11B3">
        <w:rPr>
          <w:rFonts w:ascii="Arial" w:eastAsia="Calibri" w:hAnsi="Arial" w:cs="Arial"/>
          <w:lang w:val="pl-PL" w:eastAsia="en-US"/>
        </w:rPr>
        <w:tab/>
        <w:t xml:space="preserve">Obecnie obowiązujące przepisy nakładają na właścicieli nieruchomości obowiązek prowadzenia selektywnej zbiórki odpadów komunalnych. Zgodnie z obowiązującym art. 6ka ust. 1  ustawy </w:t>
      </w:r>
      <w:r w:rsidRPr="00485913">
        <w:rPr>
          <w:rFonts w:ascii="Arial" w:eastAsia="Calibri" w:hAnsi="Arial" w:cs="Arial"/>
          <w:i/>
          <w:lang w:val="pl-PL" w:eastAsia="en-US"/>
        </w:rPr>
        <w:t>w przypadku niedopełnienia przez właściciela nieruchomości obowiązku selektywnego zbierania odpadów komunalnych, podmiot odbierający odpady komunalne przyjmuje je jako niesegregowane (zmieszane) odpady komunalne i powiadamia o tym wójta, burmistrza lub prezydenta miasta oraz właściciela nieruchomości</w:t>
      </w:r>
      <w:r w:rsidRPr="001A11B3">
        <w:rPr>
          <w:rFonts w:ascii="Arial" w:eastAsia="Calibri" w:hAnsi="Arial" w:cs="Arial"/>
          <w:lang w:val="pl-PL" w:eastAsia="en-US"/>
        </w:rPr>
        <w:t xml:space="preserve">. Natomiast w myśl art. 6ka ust. 2 </w:t>
      </w:r>
      <w:r w:rsidRPr="00485913">
        <w:rPr>
          <w:rFonts w:ascii="Arial" w:eastAsia="Calibri" w:hAnsi="Arial" w:cs="Arial"/>
          <w:i/>
          <w:lang w:val="pl-PL" w:eastAsia="en-US"/>
        </w:rPr>
        <w:t>wójt, burmistrz lub prezydent miasta na podstawie powiadomienia, o którym mowa w ust. 1, wszczyna postępowanie w sprawie określenia wysokości opłaty za gospodarowanie odpadami komunalnymi</w:t>
      </w:r>
      <w:r w:rsidRPr="001A11B3">
        <w:rPr>
          <w:rFonts w:ascii="Arial" w:eastAsia="Calibri" w:hAnsi="Arial" w:cs="Arial"/>
          <w:lang w:val="pl-PL" w:eastAsia="en-US"/>
        </w:rPr>
        <w:t xml:space="preserve">. Z kolei stosownie do art. 6ka ust. 3 </w:t>
      </w:r>
      <w:r w:rsidRPr="00485913">
        <w:rPr>
          <w:rFonts w:ascii="Arial" w:eastAsia="Calibri" w:hAnsi="Arial" w:cs="Arial"/>
          <w:i/>
          <w:lang w:val="pl-PL" w:eastAsia="en-US"/>
        </w:rPr>
        <w:t>wójt, burmistrz lub prezydent miasta określa, w drodze decyzji, wysokość opłaty za gospodarowanie odpadami komunalnymi za miesiąc lub miesiące, a w przypadku nieruchomości, o których mowa w art. 6j ust. 3b, za rok, w których nie dopełniono obowiązku selektywnego zbierania odpadów komunalnych, stosując wysokość stawki opłaty podwyższonej, o której mowa w art. 6k ust. 3.</w:t>
      </w:r>
    </w:p>
    <w:p w14:paraId="5C30E7B0" w14:textId="77777777" w:rsidR="00485913" w:rsidRDefault="001A11B3" w:rsidP="001A11B3">
      <w:pPr>
        <w:ind w:right="-650"/>
        <w:jc w:val="both"/>
        <w:outlineLvl w:val="0"/>
        <w:rPr>
          <w:rFonts w:ascii="Arial" w:eastAsia="Calibri" w:hAnsi="Arial" w:cs="Arial"/>
          <w:lang w:val="pl-PL" w:eastAsia="en-US"/>
        </w:rPr>
      </w:pPr>
      <w:r w:rsidRPr="001A11B3">
        <w:rPr>
          <w:rFonts w:ascii="Arial" w:eastAsia="Calibri" w:hAnsi="Arial" w:cs="Arial"/>
          <w:lang w:val="pl-PL" w:eastAsia="en-US"/>
        </w:rPr>
        <w:tab/>
        <w:t xml:space="preserve">Przepis art. 6ka ust. 1-3 dodany został do ustawy o utrzymaniu czystości i porządku w gminach nowelizacją z dnia 19 lipca 2019 r. (Dz. U. z 2019 r., poz. 1579). Niestety ponad 4 lata funkcjonowania tego przepisu ujawniły rozbieżności pomiędzy celem wprowadzenia przepisu przez ustawodawcę, a orzecznictwem sądowoadministracyjnym. Jak wskazano w uzasadnieniu do projektu nowelizacji ustawy (druk nr 3495 z 5 czerwca 2019 r.) </w:t>
      </w:r>
      <w:r w:rsidRPr="00485913">
        <w:rPr>
          <w:rFonts w:ascii="Arial" w:eastAsia="Calibri" w:hAnsi="Arial" w:cs="Arial"/>
          <w:i/>
          <w:lang w:val="pl-PL" w:eastAsia="en-US"/>
        </w:rPr>
        <w:t xml:space="preserve">niedopełnienie obowiązku selektywnego zbierania odpadów dotyczy tych właścicieli nieruchomości, którzy nie chcą selektywnie zbierać odpadów i np. </w:t>
      </w:r>
      <w:r w:rsidRPr="00485913">
        <w:rPr>
          <w:rFonts w:ascii="Arial" w:eastAsia="Calibri" w:hAnsi="Arial" w:cs="Arial"/>
          <w:i/>
          <w:u w:val="single"/>
          <w:lang w:val="pl-PL" w:eastAsia="en-US"/>
        </w:rPr>
        <w:t>notorycznie</w:t>
      </w:r>
      <w:r w:rsidRPr="00485913">
        <w:rPr>
          <w:rFonts w:ascii="Arial" w:eastAsia="Calibri" w:hAnsi="Arial" w:cs="Arial"/>
          <w:i/>
          <w:lang w:val="pl-PL" w:eastAsia="en-US"/>
        </w:rPr>
        <w:t xml:space="preserve"> w pojemnikach na odpady zmieszane umieszczają odpady, które powinny być gromadzone selektywnie w pojemnikach na papier, metale i tworzywa sztuczne, szkło oraz odpady ulegające biodegradacji. </w:t>
      </w:r>
      <w:r w:rsidRPr="00485913">
        <w:rPr>
          <w:rFonts w:ascii="Arial" w:eastAsia="Calibri" w:hAnsi="Arial" w:cs="Arial"/>
          <w:i/>
          <w:u w:val="single"/>
          <w:lang w:val="pl-PL" w:eastAsia="en-US"/>
        </w:rPr>
        <w:t>Nie dotyczy to natomiast sytuacji, kiedy w wyniku pomyłki o charakterze incydentalnym dany odpad zostanie zdeponowany do nieodpowiedniego pojemnika</w:t>
      </w:r>
      <w:r w:rsidRPr="00485913">
        <w:rPr>
          <w:rFonts w:ascii="Arial" w:eastAsia="Calibri" w:hAnsi="Arial" w:cs="Arial"/>
          <w:i/>
          <w:lang w:val="pl-PL" w:eastAsia="en-US"/>
        </w:rPr>
        <w:t xml:space="preserve"> </w:t>
      </w:r>
      <w:r w:rsidRPr="00485913">
        <w:rPr>
          <w:rFonts w:ascii="Arial" w:eastAsia="Calibri" w:hAnsi="Arial" w:cs="Arial"/>
          <w:lang w:val="pl-PL" w:eastAsia="en-US"/>
        </w:rPr>
        <w:t>(podkreślenia własne)</w:t>
      </w:r>
      <w:r w:rsidRPr="00485913">
        <w:rPr>
          <w:rFonts w:ascii="Arial" w:eastAsia="Calibri" w:hAnsi="Arial" w:cs="Arial"/>
          <w:i/>
          <w:lang w:val="pl-PL" w:eastAsia="en-US"/>
        </w:rPr>
        <w:t>.</w:t>
      </w:r>
      <w:r w:rsidRPr="001A11B3">
        <w:rPr>
          <w:rFonts w:ascii="Arial" w:eastAsia="Calibri" w:hAnsi="Arial" w:cs="Arial"/>
          <w:lang w:val="pl-PL" w:eastAsia="en-US"/>
        </w:rPr>
        <w:t xml:space="preserve"> </w:t>
      </w:r>
    </w:p>
    <w:p w14:paraId="23C795D3" w14:textId="77777777" w:rsidR="00485913" w:rsidRDefault="00485913" w:rsidP="001A11B3">
      <w:pPr>
        <w:ind w:right="-650"/>
        <w:jc w:val="both"/>
        <w:outlineLvl w:val="0"/>
        <w:rPr>
          <w:rFonts w:ascii="Arial" w:eastAsia="Calibri" w:hAnsi="Arial" w:cs="Arial"/>
          <w:lang w:val="pl-PL" w:eastAsia="en-US"/>
        </w:rPr>
      </w:pPr>
    </w:p>
    <w:p w14:paraId="328ACF12" w14:textId="77777777" w:rsidR="00485913" w:rsidRDefault="00485913" w:rsidP="001A11B3">
      <w:pPr>
        <w:ind w:right="-650"/>
        <w:jc w:val="both"/>
        <w:outlineLvl w:val="0"/>
        <w:rPr>
          <w:rFonts w:ascii="Arial" w:eastAsia="Calibri" w:hAnsi="Arial" w:cs="Arial"/>
          <w:lang w:val="pl-PL" w:eastAsia="en-US"/>
        </w:rPr>
      </w:pPr>
    </w:p>
    <w:p w14:paraId="56A3FD14" w14:textId="2820381C" w:rsidR="00485913" w:rsidRDefault="00485913" w:rsidP="001A11B3">
      <w:pPr>
        <w:ind w:right="-650"/>
        <w:jc w:val="both"/>
        <w:outlineLvl w:val="0"/>
        <w:rPr>
          <w:rFonts w:ascii="Arial" w:eastAsia="Calibri" w:hAnsi="Arial" w:cs="Arial"/>
          <w:lang w:val="pl-PL" w:eastAsia="en-US"/>
        </w:rPr>
      </w:pPr>
      <w:r>
        <w:rPr>
          <w:noProof/>
          <w:lang w:val="pl-PL"/>
        </w:rPr>
        <w:drawing>
          <wp:inline distT="0" distB="0" distL="0" distR="0" wp14:anchorId="7A983323" wp14:editId="3222C525">
            <wp:extent cx="5755640" cy="368935"/>
            <wp:effectExtent l="0" t="0" r="0" b="0"/>
            <wp:docPr id="2" name="Obraz 2" descr="papier 2024 Prezy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er 2024 Prezyd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640" cy="368935"/>
                    </a:xfrm>
                    <a:prstGeom prst="rect">
                      <a:avLst/>
                    </a:prstGeom>
                    <a:noFill/>
                    <a:ln>
                      <a:noFill/>
                    </a:ln>
                  </pic:spPr>
                </pic:pic>
              </a:graphicData>
            </a:graphic>
          </wp:inline>
        </w:drawing>
      </w:r>
    </w:p>
    <w:p w14:paraId="24DE3FA1" w14:textId="77777777" w:rsidR="00485913" w:rsidRDefault="00485913" w:rsidP="001A11B3">
      <w:pPr>
        <w:ind w:right="-650"/>
        <w:jc w:val="both"/>
        <w:outlineLvl w:val="0"/>
        <w:rPr>
          <w:rFonts w:ascii="Arial" w:eastAsia="Calibri" w:hAnsi="Arial" w:cs="Arial"/>
          <w:lang w:val="pl-PL" w:eastAsia="en-US"/>
        </w:rPr>
      </w:pPr>
    </w:p>
    <w:p w14:paraId="7B424138" w14:textId="77777777" w:rsidR="00485913" w:rsidRDefault="00485913" w:rsidP="001A11B3">
      <w:pPr>
        <w:ind w:right="-650"/>
        <w:jc w:val="both"/>
        <w:outlineLvl w:val="0"/>
        <w:rPr>
          <w:rFonts w:ascii="Arial" w:eastAsia="Calibri" w:hAnsi="Arial" w:cs="Arial"/>
          <w:lang w:val="pl-PL" w:eastAsia="en-US"/>
        </w:rPr>
      </w:pPr>
    </w:p>
    <w:p w14:paraId="0B832C1F" w14:textId="77777777" w:rsidR="00485913" w:rsidRDefault="00485913" w:rsidP="00485913">
      <w:pPr>
        <w:ind w:right="-650" w:firstLine="708"/>
        <w:jc w:val="both"/>
        <w:outlineLvl w:val="0"/>
        <w:rPr>
          <w:rFonts w:ascii="Arial" w:eastAsia="Calibri" w:hAnsi="Arial" w:cs="Arial"/>
          <w:lang w:val="pl-PL" w:eastAsia="en-US"/>
        </w:rPr>
      </w:pPr>
    </w:p>
    <w:p w14:paraId="3B4FCDB1" w14:textId="77777777" w:rsidR="00485913" w:rsidRDefault="00485913" w:rsidP="00485913">
      <w:pPr>
        <w:ind w:right="-650" w:firstLine="708"/>
        <w:jc w:val="both"/>
        <w:outlineLvl w:val="0"/>
        <w:rPr>
          <w:rFonts w:ascii="Arial" w:eastAsia="Calibri" w:hAnsi="Arial" w:cs="Arial"/>
          <w:lang w:val="pl-PL" w:eastAsia="en-US"/>
        </w:rPr>
      </w:pPr>
    </w:p>
    <w:p w14:paraId="2F821A9B" w14:textId="4240642C" w:rsidR="001A11B3" w:rsidRPr="001A11B3" w:rsidRDefault="001A11B3" w:rsidP="00485913">
      <w:pPr>
        <w:ind w:right="-650" w:firstLine="708"/>
        <w:jc w:val="both"/>
        <w:outlineLvl w:val="0"/>
        <w:rPr>
          <w:rFonts w:ascii="Arial" w:eastAsia="Calibri" w:hAnsi="Arial" w:cs="Arial"/>
          <w:lang w:val="pl-PL" w:eastAsia="en-US"/>
        </w:rPr>
      </w:pPr>
      <w:r w:rsidRPr="001A11B3">
        <w:rPr>
          <w:rFonts w:ascii="Arial" w:eastAsia="Calibri" w:hAnsi="Arial" w:cs="Arial"/>
          <w:lang w:val="pl-PL" w:eastAsia="en-US"/>
        </w:rPr>
        <w:t xml:space="preserve">Tymczasem w orzecznictwie sądów administracyjnych ukształtowało się stanowisko zupełnie odmienne, w myśl którego nawet jeden przypadek </w:t>
      </w:r>
      <w:r w:rsidR="00485913">
        <w:rPr>
          <w:rFonts w:ascii="Arial" w:eastAsia="Calibri" w:hAnsi="Arial" w:cs="Arial"/>
          <w:lang w:val="pl-PL" w:eastAsia="en-US"/>
        </w:rPr>
        <w:t>n</w:t>
      </w:r>
      <w:r w:rsidRPr="001A11B3">
        <w:rPr>
          <w:rFonts w:ascii="Arial" w:eastAsia="Calibri" w:hAnsi="Arial" w:cs="Arial"/>
          <w:lang w:val="pl-PL" w:eastAsia="en-US"/>
        </w:rPr>
        <w:t>iewłaściwego posegregowania odpadów komunalnych w miesiącu skutkuje obowiązkiem naliczenia opłaty z wyk</w:t>
      </w:r>
      <w:r w:rsidR="00485913">
        <w:rPr>
          <w:rFonts w:ascii="Arial" w:eastAsia="Calibri" w:hAnsi="Arial" w:cs="Arial"/>
          <w:lang w:val="pl-PL" w:eastAsia="en-US"/>
        </w:rPr>
        <w:t>orzystaniem stawki podwyższonej</w:t>
      </w:r>
      <w:r w:rsidR="00485913">
        <w:rPr>
          <w:rStyle w:val="Odwoanieprzypisudolnego"/>
          <w:rFonts w:ascii="Arial" w:eastAsia="Calibri" w:hAnsi="Arial" w:cs="Arial"/>
          <w:lang w:val="pl-PL" w:eastAsia="en-US"/>
        </w:rPr>
        <w:footnoteReference w:id="1"/>
      </w:r>
      <w:r w:rsidR="00485913">
        <w:rPr>
          <w:rFonts w:ascii="Arial" w:eastAsia="Calibri" w:hAnsi="Arial" w:cs="Arial"/>
          <w:lang w:val="pl-PL" w:eastAsia="en-US"/>
        </w:rPr>
        <w:t>.</w:t>
      </w:r>
    </w:p>
    <w:p w14:paraId="2D438074" w14:textId="711AE9C8" w:rsidR="001A11B3" w:rsidRPr="001A11B3" w:rsidRDefault="001A11B3" w:rsidP="001A11B3">
      <w:pPr>
        <w:ind w:right="-650"/>
        <w:jc w:val="both"/>
        <w:outlineLvl w:val="0"/>
        <w:rPr>
          <w:rFonts w:ascii="Arial" w:eastAsia="Calibri" w:hAnsi="Arial" w:cs="Arial"/>
          <w:lang w:val="pl-PL" w:eastAsia="en-US"/>
        </w:rPr>
      </w:pPr>
      <w:r w:rsidRPr="001A11B3">
        <w:rPr>
          <w:rFonts w:ascii="Arial" w:eastAsia="Calibri" w:hAnsi="Arial" w:cs="Arial"/>
          <w:lang w:val="pl-PL" w:eastAsia="en-US"/>
        </w:rPr>
        <w:t>Konsekwencje takiego stanu prawnego są bardzo poważne. Konstrukcja przepisu art. 6ka ust. 2 nakłada bowiem na wójta, burmistrza, prezydenta miasta obowiązek wszczęcia postępowania na podstawie powiadomienia od podmiotu odbierającego odpady o przyjęciu ich jako zmieszanych, a następnie wydania decyzji określającej wysokość opłaty z uwzględnieniem stawki podwyższonej za miesiące lub miesiące, w których nie dopełniono obowiązku selektywnego zbierania odpadów komunalnych. A zatem nawet w razie jednego przypadku niedopełnienia obowiązku selektywnej zbiórki odpadów komunalnych na wójcie, burmistrzu, prezydencie miasta ciąży obowiązek wydania decyzji określającej wysokość opłaty z uwzględnieniem stawki podwyższonej.</w:t>
      </w:r>
      <w:r w:rsidRPr="001A11B3">
        <w:rPr>
          <w:rFonts w:ascii="Arial" w:eastAsia="Calibri" w:hAnsi="Arial" w:cs="Arial"/>
          <w:lang w:val="pl-PL" w:eastAsia="en-US"/>
        </w:rPr>
        <w:tab/>
      </w:r>
    </w:p>
    <w:p w14:paraId="11A3BB4F" w14:textId="77777777" w:rsidR="001A11B3" w:rsidRPr="001A11B3" w:rsidRDefault="001A11B3" w:rsidP="001A11B3">
      <w:pPr>
        <w:ind w:right="-650"/>
        <w:jc w:val="both"/>
        <w:outlineLvl w:val="0"/>
        <w:rPr>
          <w:rFonts w:ascii="Arial" w:eastAsia="Calibri" w:hAnsi="Arial" w:cs="Arial"/>
          <w:lang w:val="pl-PL" w:eastAsia="en-US"/>
        </w:rPr>
      </w:pPr>
      <w:r w:rsidRPr="001A11B3">
        <w:rPr>
          <w:rFonts w:ascii="Arial" w:eastAsia="Calibri" w:hAnsi="Arial" w:cs="Arial"/>
          <w:lang w:val="pl-PL" w:eastAsia="en-US"/>
        </w:rPr>
        <w:tab/>
        <w:t>Szczególnie dotkliwe okazuje się to dla właścicieli nieruchomości w zabudowie wielorodzinnej, w której na terenie Miasta odpady komunalne odbierane są  ok 35 razy w miesiącu z jednego punktu odbioru, przy czym bardzo często z jednego punktu odbioru  korzystają setki mieszkańców kilku nieruchomości wielorodzinnych. Biorąc pod uwagę, że zazwyczaj jeden punkt odbioru składa się z kilku pojemników danego koloru, w zasadzie nie ma możliwości, żeby w miesiącu nie trafiła się chociaż jedna sytuacja źle posegregowanych odpadów w danym punkcie.</w:t>
      </w:r>
    </w:p>
    <w:p w14:paraId="51557F05" w14:textId="77777777" w:rsidR="001A11B3" w:rsidRPr="001A11B3" w:rsidRDefault="001A11B3" w:rsidP="001A11B3">
      <w:pPr>
        <w:ind w:right="-650"/>
        <w:jc w:val="both"/>
        <w:outlineLvl w:val="0"/>
        <w:rPr>
          <w:rFonts w:ascii="Arial" w:eastAsia="Calibri" w:hAnsi="Arial" w:cs="Arial"/>
          <w:lang w:val="pl-PL" w:eastAsia="en-US"/>
        </w:rPr>
      </w:pPr>
      <w:r w:rsidRPr="001A11B3">
        <w:rPr>
          <w:rFonts w:ascii="Arial" w:eastAsia="Calibri" w:hAnsi="Arial" w:cs="Arial"/>
          <w:lang w:val="pl-PL" w:eastAsia="en-US"/>
        </w:rPr>
        <w:tab/>
        <w:t>Konsekwencją powyższego jest to, że w przypadku nawet jednego przyjęcia odpadów źle posegregowanych  jako zmieszanych nawet kilkaset osób może być obowiązanych ponieść wyższą opłatę,  niezależnie od tego czy w danym lokalu odpady zostały posegregowane czy nie. Z punktu widzenia ustawy istotny jest bowiem wyłącznie fakt przyjęcia odpadów źle posegregowanych jako zmieszanych, z czym wiąże się obowiązek wszczęcia postępowania i naliczenia wszystkim osobom korzystającym z pojemników wyższej opłaty. Tym samym środki pozyskane w wyniku zapłaty opłaty podwyższonej przez mieszkańców przewyższą koszty, które poniosła gmina w związku z  odbiorem i zagospodarowaniem incydentalnie źle posegregowanych odpadów komunalnych jako zmieszanych. Wydawanie decyzji określających wysokość opłaty podwyższonej w razie pojedynczych przypadków nieprawidłowej segregacji odpadów komunalnych podważać może więc zaufanie mieszkańców nie tylko do organów podatkowych, ale również do całego systemu gospodarowania odpadami komunalnymi. W praktyce przyjęta konstrukcja prawna niweczy obowiązek selektywnej zbiórki odpadów komunalnych w zabudowie wielorodzinnej, ponieważ pomimo wysiłku wkładanego przez mieszkańców nie ma możliwości, żeby wszystkie odpady zawsze były prawidłowo posegregowane. A zatem w świadomości mieszkańców może pojawić się myśl poddająca w wątpliwość celowość segregacji odpadów, skoro i tak muszą zapłacić za cały miesiąc opłatę taką, jaką by płacili, gdyby w ogóle odpadów nie segregowali.</w:t>
      </w:r>
    </w:p>
    <w:p w14:paraId="3ED21510" w14:textId="77777777" w:rsidR="00485913" w:rsidRDefault="001A11B3" w:rsidP="001A11B3">
      <w:pPr>
        <w:ind w:right="-650"/>
        <w:jc w:val="both"/>
        <w:outlineLvl w:val="0"/>
        <w:rPr>
          <w:rFonts w:ascii="Arial" w:eastAsia="Calibri" w:hAnsi="Arial" w:cs="Arial"/>
          <w:lang w:val="pl-PL" w:eastAsia="en-US"/>
        </w:rPr>
      </w:pPr>
      <w:r w:rsidRPr="001A11B3">
        <w:rPr>
          <w:rFonts w:ascii="Arial" w:eastAsia="Calibri" w:hAnsi="Arial" w:cs="Arial"/>
          <w:lang w:val="pl-PL" w:eastAsia="en-US"/>
        </w:rPr>
        <w:tab/>
        <w:t xml:space="preserve">Tymczasem gmina pozostaje bez możliwości rozwiązania tej trudnej sytuacji. Co prawda ustawa o utrzymaniu czystości i porządku w gminach pozwala  określić w regulaminie utrzymania czystości i porządku warunki uznania, że odpady są zbierane w sposób selektywny, jednakże gmina nie może określić „marginesu błędu” w segregacji odpadów, w ramach którego odpady źle posegregowane uznane by były jako posegregowane, ponieważ </w:t>
      </w:r>
    </w:p>
    <w:p w14:paraId="48EACA72" w14:textId="77777777" w:rsidR="00485913" w:rsidRDefault="00485913" w:rsidP="001A11B3">
      <w:pPr>
        <w:ind w:right="-650"/>
        <w:jc w:val="both"/>
        <w:outlineLvl w:val="0"/>
        <w:rPr>
          <w:rFonts w:ascii="Arial" w:eastAsia="Calibri" w:hAnsi="Arial" w:cs="Arial"/>
          <w:lang w:val="pl-PL" w:eastAsia="en-US"/>
        </w:rPr>
      </w:pPr>
    </w:p>
    <w:p w14:paraId="34133A7A" w14:textId="77777777" w:rsidR="00485913" w:rsidRDefault="00485913" w:rsidP="001A11B3">
      <w:pPr>
        <w:ind w:right="-650"/>
        <w:jc w:val="both"/>
        <w:outlineLvl w:val="0"/>
        <w:rPr>
          <w:rFonts w:ascii="Arial" w:eastAsia="Calibri" w:hAnsi="Arial" w:cs="Arial"/>
          <w:lang w:val="pl-PL" w:eastAsia="en-US"/>
        </w:rPr>
      </w:pPr>
    </w:p>
    <w:p w14:paraId="6C61FCB5" w14:textId="77777777" w:rsidR="00485913" w:rsidRDefault="00485913" w:rsidP="001A11B3">
      <w:pPr>
        <w:ind w:right="-650"/>
        <w:jc w:val="both"/>
        <w:outlineLvl w:val="0"/>
        <w:rPr>
          <w:rFonts w:ascii="Arial" w:eastAsia="Calibri" w:hAnsi="Arial" w:cs="Arial"/>
          <w:lang w:val="pl-PL" w:eastAsia="en-US"/>
        </w:rPr>
      </w:pPr>
    </w:p>
    <w:p w14:paraId="5D9992F2" w14:textId="77777777" w:rsidR="00485913" w:rsidRDefault="00485913" w:rsidP="001A11B3">
      <w:pPr>
        <w:ind w:right="-650"/>
        <w:jc w:val="both"/>
        <w:outlineLvl w:val="0"/>
        <w:rPr>
          <w:rFonts w:ascii="Arial" w:eastAsia="Calibri" w:hAnsi="Arial" w:cs="Arial"/>
          <w:lang w:val="pl-PL" w:eastAsia="en-US"/>
        </w:rPr>
      </w:pPr>
    </w:p>
    <w:p w14:paraId="57F6BAEE" w14:textId="062892EF" w:rsidR="001A11B3" w:rsidRPr="001A11B3" w:rsidRDefault="001A11B3" w:rsidP="001A11B3">
      <w:pPr>
        <w:ind w:right="-650"/>
        <w:jc w:val="both"/>
        <w:outlineLvl w:val="0"/>
        <w:rPr>
          <w:rFonts w:ascii="Arial" w:eastAsia="Calibri" w:hAnsi="Arial" w:cs="Arial"/>
          <w:lang w:val="pl-PL" w:eastAsia="en-US"/>
        </w:rPr>
      </w:pPr>
      <w:r w:rsidRPr="001A11B3">
        <w:rPr>
          <w:rFonts w:ascii="Arial" w:eastAsia="Calibri" w:hAnsi="Arial" w:cs="Arial"/>
          <w:lang w:val="pl-PL" w:eastAsia="en-US"/>
        </w:rPr>
        <w:t>stanowiło by to pozwolenie na mieszanie odpadów, co byłoby niezgodne z przepisami prawa powszechnie obowiązującego.</w:t>
      </w:r>
    </w:p>
    <w:p w14:paraId="2F6E2DAE" w14:textId="3EAA4858" w:rsidR="001A11B3" w:rsidRPr="001A11B3" w:rsidRDefault="001A11B3" w:rsidP="001A11B3">
      <w:pPr>
        <w:ind w:right="-650"/>
        <w:jc w:val="both"/>
        <w:outlineLvl w:val="0"/>
        <w:rPr>
          <w:rFonts w:ascii="Arial" w:eastAsia="Calibri" w:hAnsi="Arial" w:cs="Arial"/>
          <w:lang w:val="pl-PL" w:eastAsia="en-US"/>
        </w:rPr>
      </w:pPr>
      <w:r w:rsidRPr="001A11B3">
        <w:rPr>
          <w:rFonts w:ascii="Arial" w:eastAsia="Calibri" w:hAnsi="Arial" w:cs="Arial"/>
          <w:lang w:val="pl-PL" w:eastAsia="en-US"/>
        </w:rPr>
        <w:tab/>
        <w:t xml:space="preserve"> Mając na uwadze powyższe zwracam się z prośbą o rozważenie możliwości nowelizacji art. 6ka ustawy o utrzymaniu czystości i porządku w gminach w ten sposób, żeby odpowiadał on celowi, jaki przyświecał jego wprowadzeniu. </w:t>
      </w:r>
      <w:r w:rsidRPr="00EA6DED">
        <w:rPr>
          <w:rFonts w:ascii="Arial" w:eastAsia="Calibri" w:hAnsi="Arial" w:cs="Arial"/>
          <w:u w:val="single"/>
          <w:lang w:val="pl-PL" w:eastAsia="en-US"/>
        </w:rPr>
        <w:t>Dlatego też proszę o rozważenie możliwości zastąpienia obowiązku wydawania decyzji z uwzględnieniem stawki podwyższonej możliwością jej wydania.</w:t>
      </w:r>
      <w:r w:rsidRPr="001A11B3">
        <w:rPr>
          <w:rFonts w:ascii="Arial" w:eastAsia="Calibri" w:hAnsi="Arial" w:cs="Arial"/>
          <w:lang w:val="pl-PL" w:eastAsia="en-US"/>
        </w:rPr>
        <w:t xml:space="preserve"> W takim przypadku to od decyzji gminnego organu podatkowego zależałoby wszczęcie postępowania na podstawie powiadomień podmiotu odbierającego odpady o przyjęciu odpadów źle posegregowanych jako zmieszanych. Dzięki temu nie zmieni się charakter obowiązku selektywnej zbiórki odpadów komunalnych, jego nieprzestrzeganie nadal stanowić będzie wykroczenie, a jednocześnie przed podjęciem decyzji o wszczęciu postępowania, gmina mogłaby podjąć działania wspomagające segregację, a samo naliczenie wyższej opłaty uzależnić od skuteczności poprawy segregacji odpadów przez mieszkańców.  Podejmując decyzję o wszczęciu postępowania organ podatkowy mógłby wówczas wziąć pod uwagę także inne okoliczności jak ilość przypadków złej segregacji w danym punkcie odbioru w miesiącu, regularność przypadków złej segregacji, jej uporczywość, czy też poziom recyklingu uzyskiwany przez daną gminę. Istotne byłoby, żeby każda gmina sama mogła decydować, czy i w jakich okolicznościach decyzje podwyższające opłatę będzie </w:t>
      </w:r>
      <w:r w:rsidR="00EA6DED">
        <w:rPr>
          <w:rFonts w:ascii="Arial" w:eastAsia="Calibri" w:hAnsi="Arial" w:cs="Arial"/>
          <w:lang w:val="pl-PL" w:eastAsia="en-US"/>
        </w:rPr>
        <w:t>wydawać</w:t>
      </w:r>
      <w:r w:rsidRPr="001A11B3">
        <w:rPr>
          <w:rFonts w:ascii="Arial" w:eastAsia="Calibri" w:hAnsi="Arial" w:cs="Arial"/>
          <w:lang w:val="pl-PL" w:eastAsia="en-US"/>
        </w:rPr>
        <w:t xml:space="preserve">, ponieważ każda gmina indywidualnie odpowiada za osiągnięcie celów narzuconych ustawą na swoim terenie.  </w:t>
      </w:r>
    </w:p>
    <w:p w14:paraId="30DB314C" w14:textId="2477E7EF" w:rsidR="001A11B3" w:rsidRPr="001A11B3" w:rsidRDefault="001A11B3" w:rsidP="001A11B3">
      <w:pPr>
        <w:ind w:right="-650"/>
        <w:jc w:val="both"/>
        <w:outlineLvl w:val="0"/>
        <w:rPr>
          <w:rFonts w:ascii="Arial" w:eastAsia="Calibri" w:hAnsi="Arial" w:cs="Arial"/>
          <w:lang w:val="pl-PL" w:eastAsia="en-US"/>
        </w:rPr>
      </w:pPr>
      <w:r w:rsidRPr="001A11B3">
        <w:rPr>
          <w:rFonts w:ascii="Arial" w:eastAsia="Calibri" w:hAnsi="Arial" w:cs="Arial"/>
          <w:lang w:val="pl-PL" w:eastAsia="en-US"/>
        </w:rPr>
        <w:tab/>
        <w:t xml:space="preserve">Obecnie w przypadku wydania decyzji określających wysokość opłaty z uwzględnieniem stawki podwyższonej środki, które uiszczą właściciele nieruchomości po otrzymaniu decyzji nie mogą być przeznaczone na pokrycie ewentualnych kar z tytułu nieosiągnięcia przez gminę poziomu recyklingu. Przykładowo w sytuacji wydania decyzji podwyższających opłatę w 2024 r. gmina sprawozdanie będzie musiała złożyć do końca marca 2025 r. Kwoty uzyskane z opłat podwyższonych stanowić więc będą wówczas środki niewykorzystane w poprzednich latach, ponieważ koszty systemu ustalane są wcześniej, na etapie kalkulacji stawek opłaty. </w:t>
      </w:r>
      <w:r w:rsidRPr="00EA6DED">
        <w:rPr>
          <w:rFonts w:ascii="Arial" w:eastAsia="Calibri" w:hAnsi="Arial" w:cs="Arial"/>
          <w:u w:val="single"/>
          <w:lang w:val="pl-PL" w:eastAsia="en-US"/>
        </w:rPr>
        <w:t>Dlatego też proponuję rozszerzenie katalogu wydatków, które gmina może pokryć ze środków pochodzących z opłat za gospodarowanie odpadami komunalnymi, które nie zostały wykorzystane w poprzednim roku budżetowym o możliwość pokrycia z tych środków kar.</w:t>
      </w:r>
      <w:r w:rsidRPr="001A11B3">
        <w:rPr>
          <w:rFonts w:ascii="Arial" w:eastAsia="Calibri" w:hAnsi="Arial" w:cs="Arial"/>
          <w:lang w:val="pl-PL" w:eastAsia="en-US"/>
        </w:rPr>
        <w:t xml:space="preserve"> Tym samy</w:t>
      </w:r>
      <w:r w:rsidR="00EA6DED">
        <w:rPr>
          <w:rFonts w:ascii="Arial" w:eastAsia="Calibri" w:hAnsi="Arial" w:cs="Arial"/>
          <w:lang w:val="pl-PL" w:eastAsia="en-US"/>
        </w:rPr>
        <w:t>m</w:t>
      </w:r>
      <w:r w:rsidRPr="001A11B3">
        <w:rPr>
          <w:rFonts w:ascii="Arial" w:eastAsia="Calibri" w:hAnsi="Arial" w:cs="Arial"/>
          <w:lang w:val="pl-PL" w:eastAsia="en-US"/>
        </w:rPr>
        <w:t xml:space="preserve"> ugruntowana zostanie spójność regulacji wynikających z ustawy o utrzymaniu czystości i porządku. Aktualnie wobec podmiotów niesegregujących odpadów komunalnych istnieje po stronie</w:t>
      </w:r>
      <w:r w:rsidR="00EA6DED">
        <w:rPr>
          <w:rFonts w:ascii="Arial" w:eastAsia="Calibri" w:hAnsi="Arial" w:cs="Arial"/>
          <w:lang w:val="pl-PL" w:eastAsia="en-US"/>
        </w:rPr>
        <w:t xml:space="preserve"> gminy</w:t>
      </w:r>
      <w:r w:rsidRPr="001A11B3">
        <w:rPr>
          <w:rFonts w:ascii="Arial" w:eastAsia="Calibri" w:hAnsi="Arial" w:cs="Arial"/>
          <w:lang w:val="pl-PL" w:eastAsia="en-US"/>
        </w:rPr>
        <w:t xml:space="preserve">  obowiązek naliczania opłaty z uwzględnieniem stawki podwyższonej, ale uzyskanych z tego tytułu środków nie można przeznaczyć na pokrycie przez gminę kar, które z kolei są przecież konsekwencją prowadzenia na terenie  danej gminy nieefektywnej selektywnej zbiórki odpadów komunalnych. </w:t>
      </w:r>
    </w:p>
    <w:p w14:paraId="63FEF637" w14:textId="6510C6AD" w:rsidR="001A11B3" w:rsidRPr="001A11B3" w:rsidRDefault="001A11B3" w:rsidP="001A11B3">
      <w:pPr>
        <w:ind w:right="-650"/>
        <w:jc w:val="both"/>
        <w:outlineLvl w:val="0"/>
        <w:rPr>
          <w:rFonts w:ascii="Arial" w:eastAsia="Calibri" w:hAnsi="Arial" w:cs="Arial"/>
          <w:lang w:val="pl-PL" w:eastAsia="en-US"/>
        </w:rPr>
      </w:pPr>
      <w:r w:rsidRPr="001A11B3">
        <w:rPr>
          <w:rFonts w:ascii="Arial" w:eastAsia="Calibri" w:hAnsi="Arial" w:cs="Arial"/>
          <w:lang w:val="pl-PL" w:eastAsia="en-US"/>
        </w:rPr>
        <w:tab/>
        <w:t>Formułując swoje spostrzeżenia wyrażam nadzieję na życzliwe i pełne zrozumienia podejście przez Państwo do istotnej</w:t>
      </w:r>
      <w:r w:rsidR="00C966EC">
        <w:rPr>
          <w:rFonts w:ascii="Arial" w:eastAsia="Calibri" w:hAnsi="Arial" w:cs="Arial"/>
          <w:lang w:val="pl-PL" w:eastAsia="en-US"/>
        </w:rPr>
        <w:t xml:space="preserve"> nie tylko</w:t>
      </w:r>
      <w:r w:rsidRPr="001A11B3">
        <w:rPr>
          <w:rFonts w:ascii="Arial" w:eastAsia="Calibri" w:hAnsi="Arial" w:cs="Arial"/>
          <w:lang w:val="pl-PL" w:eastAsia="en-US"/>
        </w:rPr>
        <w:t xml:space="preserve"> dla Miasta Opola</w:t>
      </w:r>
      <w:r w:rsidR="00C966EC">
        <w:rPr>
          <w:rFonts w:ascii="Arial" w:eastAsia="Calibri" w:hAnsi="Arial" w:cs="Arial"/>
          <w:lang w:val="pl-PL" w:eastAsia="en-US"/>
        </w:rPr>
        <w:t>, ale także innych gmin,</w:t>
      </w:r>
      <w:r w:rsidRPr="001A11B3">
        <w:rPr>
          <w:rFonts w:ascii="Arial" w:eastAsia="Calibri" w:hAnsi="Arial" w:cs="Arial"/>
          <w:lang w:val="pl-PL" w:eastAsia="en-US"/>
        </w:rPr>
        <w:t xml:space="preserve"> kwestii naliczania opłaty podwyższonej za niesegregowanie odpadów komunalnych oraz możliwości wykorzystania tych środków na pokrycie kosztów ewentualnych kar. Wierzę, że sytuacja, w której wykładnia art. 6ka </w:t>
      </w:r>
      <w:r w:rsidR="00013F37">
        <w:rPr>
          <w:rFonts w:ascii="Arial" w:eastAsia="Calibri" w:hAnsi="Arial" w:cs="Arial"/>
          <w:lang w:val="pl-PL" w:eastAsia="en-US"/>
        </w:rPr>
        <w:t xml:space="preserve">ustawy o utrzymaniu czystości i porządku w gminach </w:t>
      </w:r>
      <w:r w:rsidRPr="001A11B3">
        <w:rPr>
          <w:rFonts w:ascii="Arial" w:eastAsia="Calibri" w:hAnsi="Arial" w:cs="Arial"/>
          <w:lang w:val="pl-PL" w:eastAsia="en-US"/>
        </w:rPr>
        <w:t>dokonywana przez sądy administracyjne jest odmienna od celu tej regulacji, zainicjuje proces skutkujący dostosowaniem treści przepisów do celów, jakie Państwu przyświecały przy ich wprowadzeniu. Dzięki temu gminy będą mogły lepiej zarządzać osiąganiem poziomów recyklingu, a sami mieszkańcy uchronieni zostaną przed naliczaniem podwyższonych opłat za nawet jednorazową pomyłkę przy segregacji odpadów komunalnych. Dzięki zaproponowanym zmianom opłatę podwyższoną będą mogły ponieść wyłącznie te podmioty, które uporczywie i notorycznie uchylają się od obowiązku selektywnej zbiórki odpadów komunalnych, a nie jak obecnie każdy, kto bez złej intencji po prostu się pomylił.</w:t>
      </w:r>
    </w:p>
    <w:p w14:paraId="12F4C58E" w14:textId="77777777" w:rsidR="00485913" w:rsidRDefault="001A11B3" w:rsidP="001A11B3">
      <w:pPr>
        <w:ind w:right="-650"/>
        <w:jc w:val="both"/>
        <w:outlineLvl w:val="0"/>
        <w:rPr>
          <w:rFonts w:ascii="Arial" w:eastAsia="Calibri" w:hAnsi="Arial" w:cs="Arial"/>
          <w:lang w:val="pl-PL" w:eastAsia="en-US"/>
        </w:rPr>
      </w:pPr>
      <w:r w:rsidRPr="001A11B3">
        <w:rPr>
          <w:rFonts w:ascii="Arial" w:eastAsia="Calibri" w:hAnsi="Arial" w:cs="Arial"/>
          <w:lang w:val="pl-PL" w:eastAsia="en-US"/>
        </w:rPr>
        <w:lastRenderedPageBreak/>
        <w:tab/>
      </w:r>
    </w:p>
    <w:p w14:paraId="16069F71" w14:textId="77777777" w:rsidR="00485913" w:rsidRDefault="00485913" w:rsidP="001A11B3">
      <w:pPr>
        <w:ind w:right="-650"/>
        <w:jc w:val="both"/>
        <w:outlineLvl w:val="0"/>
        <w:rPr>
          <w:rFonts w:ascii="Arial" w:eastAsia="Calibri" w:hAnsi="Arial" w:cs="Arial"/>
          <w:lang w:val="pl-PL" w:eastAsia="en-US"/>
        </w:rPr>
      </w:pPr>
    </w:p>
    <w:p w14:paraId="2C780758" w14:textId="77777777" w:rsidR="00485913" w:rsidRDefault="00485913" w:rsidP="001A11B3">
      <w:pPr>
        <w:ind w:right="-650"/>
        <w:jc w:val="both"/>
        <w:outlineLvl w:val="0"/>
        <w:rPr>
          <w:rFonts w:ascii="Arial" w:eastAsia="Calibri" w:hAnsi="Arial" w:cs="Arial"/>
          <w:lang w:val="pl-PL" w:eastAsia="en-US"/>
        </w:rPr>
      </w:pPr>
    </w:p>
    <w:p w14:paraId="32FCF5F5" w14:textId="29D3673D" w:rsidR="001A11B3" w:rsidRPr="001A11B3" w:rsidRDefault="001A11B3" w:rsidP="00485913">
      <w:pPr>
        <w:ind w:right="-650" w:firstLine="708"/>
        <w:jc w:val="both"/>
        <w:outlineLvl w:val="0"/>
        <w:rPr>
          <w:rFonts w:ascii="Arial" w:eastAsia="Calibri" w:hAnsi="Arial" w:cs="Arial"/>
          <w:lang w:val="pl-PL" w:eastAsia="en-US"/>
        </w:rPr>
      </w:pPr>
      <w:r w:rsidRPr="001A11B3">
        <w:rPr>
          <w:rFonts w:ascii="Arial" w:eastAsia="Calibri" w:hAnsi="Arial" w:cs="Arial"/>
          <w:lang w:val="pl-PL" w:eastAsia="en-US"/>
        </w:rPr>
        <w:t xml:space="preserve">Wierzę, że powyższe spostrzeżenia przyczynią się do poprawienia funkcjonowania kluczowego aspektu systemu gospodarki odpadami komunalnymi, jakim jest efektywność selektywnej zbiórki odpadów komunalnych. Jednocześnie mając na uwadze syntetyczność przedstawionych wątpliwości deklaruję gotowość </w:t>
      </w:r>
      <w:r w:rsidR="00013F37">
        <w:rPr>
          <w:rFonts w:ascii="Arial" w:eastAsia="Calibri" w:hAnsi="Arial" w:cs="Arial"/>
          <w:lang w:val="pl-PL" w:eastAsia="en-US"/>
        </w:rPr>
        <w:t xml:space="preserve">ich rozszerzenia w razie potrzeby oraz </w:t>
      </w:r>
      <w:r w:rsidRPr="001A11B3">
        <w:rPr>
          <w:rFonts w:ascii="Arial" w:eastAsia="Calibri" w:hAnsi="Arial" w:cs="Arial"/>
          <w:lang w:val="pl-PL" w:eastAsia="en-US"/>
        </w:rPr>
        <w:t xml:space="preserve">współpracy przy pracach nad zmianą przepisów. Wdzięczny będę również za przekazanie informacji zwrotnej, czy podzielacie Państwo przekazane uwagi, a w razie odpowiedzi twierdzącej, czy podjęte zostaną prace nad zmianą omówionych przepisów.  </w:t>
      </w:r>
    </w:p>
    <w:p w14:paraId="6674D23D" w14:textId="77777777" w:rsidR="001A11B3" w:rsidRDefault="001A11B3" w:rsidP="001A11B3">
      <w:pPr>
        <w:ind w:right="-650"/>
        <w:jc w:val="both"/>
        <w:outlineLvl w:val="0"/>
        <w:rPr>
          <w:rFonts w:ascii="Arial" w:eastAsia="Calibri" w:hAnsi="Arial" w:cs="Arial"/>
          <w:lang w:val="pl-PL" w:eastAsia="en-US"/>
        </w:rPr>
      </w:pPr>
    </w:p>
    <w:p w14:paraId="14CBB650" w14:textId="77777777" w:rsidR="001A11B3" w:rsidRDefault="001A11B3" w:rsidP="001A11B3">
      <w:pPr>
        <w:ind w:right="-650"/>
        <w:jc w:val="both"/>
        <w:outlineLvl w:val="0"/>
        <w:rPr>
          <w:rFonts w:ascii="Arial" w:eastAsia="Calibri" w:hAnsi="Arial" w:cs="Arial"/>
          <w:lang w:val="pl-PL" w:eastAsia="en-US"/>
        </w:rPr>
      </w:pPr>
    </w:p>
    <w:p w14:paraId="0056E665" w14:textId="77777777" w:rsidR="001A11B3" w:rsidRDefault="001A11B3" w:rsidP="001A11B3">
      <w:pPr>
        <w:ind w:right="-650"/>
        <w:jc w:val="both"/>
        <w:outlineLvl w:val="0"/>
        <w:rPr>
          <w:rFonts w:ascii="Arial" w:eastAsia="Calibri" w:hAnsi="Arial" w:cs="Arial"/>
          <w:lang w:val="pl-PL" w:eastAsia="en-US"/>
        </w:rPr>
      </w:pPr>
      <w:r>
        <w:rPr>
          <w:rFonts w:ascii="Arial" w:eastAsia="Calibri" w:hAnsi="Arial" w:cs="Arial"/>
          <w:lang w:val="pl-PL" w:eastAsia="en-US"/>
        </w:rPr>
        <w:t>Otrzymują:</w:t>
      </w:r>
    </w:p>
    <w:p w14:paraId="15893BC1" w14:textId="77777777" w:rsidR="001A11B3" w:rsidRDefault="001A11B3" w:rsidP="001A11B3">
      <w:pPr>
        <w:pStyle w:val="Akapitzlist"/>
        <w:numPr>
          <w:ilvl w:val="0"/>
          <w:numId w:val="2"/>
        </w:numPr>
        <w:ind w:right="-650"/>
        <w:jc w:val="both"/>
        <w:outlineLvl w:val="0"/>
        <w:rPr>
          <w:rFonts w:ascii="Arial" w:eastAsia="Calibri" w:hAnsi="Arial" w:cs="Arial"/>
          <w:lang w:val="pl-PL" w:eastAsia="en-US"/>
        </w:rPr>
      </w:pPr>
      <w:r>
        <w:rPr>
          <w:rFonts w:ascii="Arial" w:eastAsia="Calibri" w:hAnsi="Arial" w:cs="Arial"/>
          <w:lang w:val="pl-PL" w:eastAsia="en-US"/>
        </w:rPr>
        <w:t>Adresat,</w:t>
      </w:r>
    </w:p>
    <w:p w14:paraId="42EEB1EA" w14:textId="427FFB18" w:rsidR="002D04F6" w:rsidRDefault="001A11B3" w:rsidP="001A11B3">
      <w:pPr>
        <w:pStyle w:val="Akapitzlist"/>
        <w:numPr>
          <w:ilvl w:val="0"/>
          <w:numId w:val="2"/>
        </w:numPr>
        <w:ind w:right="-650"/>
        <w:jc w:val="both"/>
        <w:outlineLvl w:val="0"/>
        <w:rPr>
          <w:rFonts w:ascii="Arial" w:eastAsia="Calibri" w:hAnsi="Arial" w:cs="Arial"/>
          <w:lang w:val="pl-PL" w:eastAsia="en-US"/>
        </w:rPr>
      </w:pPr>
      <w:r>
        <w:rPr>
          <w:rFonts w:ascii="Arial" w:eastAsia="Calibri" w:hAnsi="Arial" w:cs="Arial"/>
          <w:lang w:val="pl-PL" w:eastAsia="en-US"/>
        </w:rPr>
        <w:t>Aa.</w:t>
      </w:r>
      <w:r w:rsidR="00E26196" w:rsidRPr="001A11B3">
        <w:rPr>
          <w:rFonts w:ascii="Arial" w:eastAsia="Calibri" w:hAnsi="Arial" w:cs="Arial"/>
          <w:lang w:val="pl-PL" w:eastAsia="en-US"/>
        </w:rPr>
        <w:tab/>
      </w:r>
    </w:p>
    <w:p w14:paraId="42D09B90" w14:textId="5ECBCF1F" w:rsidR="00687D28" w:rsidRDefault="00687D28" w:rsidP="00687D28">
      <w:pPr>
        <w:ind w:right="-650"/>
        <w:jc w:val="both"/>
        <w:outlineLvl w:val="0"/>
        <w:rPr>
          <w:rFonts w:ascii="Arial" w:eastAsia="Calibri" w:hAnsi="Arial" w:cs="Arial"/>
          <w:lang w:val="pl-PL" w:eastAsia="en-US"/>
        </w:rPr>
      </w:pPr>
    </w:p>
    <w:p w14:paraId="4BD5D17F" w14:textId="64D2CAED" w:rsidR="00687D28" w:rsidRDefault="00687D28" w:rsidP="00687D28">
      <w:pPr>
        <w:ind w:right="-650"/>
        <w:jc w:val="both"/>
        <w:outlineLvl w:val="0"/>
        <w:rPr>
          <w:rFonts w:ascii="Arial" w:eastAsia="Calibri" w:hAnsi="Arial" w:cs="Arial"/>
          <w:lang w:val="pl-PL" w:eastAsia="en-US"/>
        </w:rPr>
      </w:pPr>
    </w:p>
    <w:p w14:paraId="01DFF14D" w14:textId="1448B11C" w:rsidR="00687D28" w:rsidRPr="00687D28" w:rsidRDefault="00687D28" w:rsidP="00687D28">
      <w:pPr>
        <w:ind w:left="4956" w:right="-650"/>
        <w:jc w:val="both"/>
        <w:outlineLvl w:val="0"/>
        <w:rPr>
          <w:rFonts w:ascii="Arial" w:eastAsia="Calibri" w:hAnsi="Arial" w:cs="Arial"/>
          <w:lang w:val="pl-PL" w:eastAsia="en-US"/>
        </w:rPr>
      </w:pPr>
      <w:r>
        <w:rPr>
          <w:rFonts w:ascii="Arial" w:eastAsia="Calibri" w:hAnsi="Arial" w:cs="Arial"/>
          <w:lang w:val="pl-PL" w:eastAsia="en-US"/>
        </w:rPr>
        <w:t>Zastępca Prezydenta Miasta Opola</w:t>
      </w:r>
    </w:p>
    <w:sectPr w:rsidR="00687D28" w:rsidRPr="00687D28" w:rsidSect="001A11B3">
      <w:pgSz w:w="11900" w:h="16840"/>
      <w:pgMar w:top="1418" w:right="1418" w:bottom="709"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F36C" w14:textId="77777777" w:rsidR="00FE79CF" w:rsidRDefault="00FE79CF" w:rsidP="001447F3">
      <w:r>
        <w:separator/>
      </w:r>
    </w:p>
  </w:endnote>
  <w:endnote w:type="continuationSeparator" w:id="0">
    <w:p w14:paraId="06C8DC9C" w14:textId="77777777" w:rsidR="00FE79CF" w:rsidRDefault="00FE79CF" w:rsidP="0014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BF1F" w14:textId="77777777" w:rsidR="00FE79CF" w:rsidRDefault="00FE79CF" w:rsidP="001447F3">
      <w:r>
        <w:separator/>
      </w:r>
    </w:p>
  </w:footnote>
  <w:footnote w:type="continuationSeparator" w:id="0">
    <w:p w14:paraId="513352AB" w14:textId="77777777" w:rsidR="00FE79CF" w:rsidRDefault="00FE79CF" w:rsidP="001447F3">
      <w:r>
        <w:continuationSeparator/>
      </w:r>
    </w:p>
  </w:footnote>
  <w:footnote w:id="1">
    <w:p w14:paraId="697C88F3" w14:textId="53EA0B65" w:rsidR="00485913" w:rsidRPr="00485913" w:rsidRDefault="00485913">
      <w:pPr>
        <w:pStyle w:val="Tekstprzypisudolnego"/>
        <w:rPr>
          <w:lang w:val="pl-PL"/>
        </w:rPr>
      </w:pPr>
      <w:r w:rsidRPr="00485913">
        <w:rPr>
          <w:rStyle w:val="Odwoanieprzypisudolnego"/>
        </w:rPr>
        <w:footnoteRef/>
      </w:r>
      <w:r w:rsidRPr="00485913">
        <w:t xml:space="preserve"> Zob. np. wyrok NSA z dnia 18 sierpnia 2023 r., sygn akt. III FSK 802/22, wyrok WSA w Gdańsku z dnia 19 września 2023 r., sygn akt. I SA/Gd 640/23 , wyrok WSA we Wrocławiu z dnia 31 stycznia 2024 r., sygn akt. I SA/Wr 327/23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764F1"/>
    <w:multiLevelType w:val="hybridMultilevel"/>
    <w:tmpl w:val="0D76A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B72CFF"/>
    <w:multiLevelType w:val="hybridMultilevel"/>
    <w:tmpl w:val="C97A0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3040782">
    <w:abstractNumId w:val="1"/>
  </w:num>
  <w:num w:numId="2" w16cid:durableId="150524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F3"/>
    <w:rsid w:val="00013F37"/>
    <w:rsid w:val="00047F5F"/>
    <w:rsid w:val="000A7AA6"/>
    <w:rsid w:val="001059F1"/>
    <w:rsid w:val="001447F3"/>
    <w:rsid w:val="00176425"/>
    <w:rsid w:val="00185EA4"/>
    <w:rsid w:val="00195B8C"/>
    <w:rsid w:val="001A11B3"/>
    <w:rsid w:val="001F5344"/>
    <w:rsid w:val="00240129"/>
    <w:rsid w:val="00284B76"/>
    <w:rsid w:val="002B0B83"/>
    <w:rsid w:val="002D04F6"/>
    <w:rsid w:val="0031644F"/>
    <w:rsid w:val="00383BE9"/>
    <w:rsid w:val="00485913"/>
    <w:rsid w:val="005A0E5F"/>
    <w:rsid w:val="005B2E06"/>
    <w:rsid w:val="00604C74"/>
    <w:rsid w:val="006754FA"/>
    <w:rsid w:val="00682107"/>
    <w:rsid w:val="00687D28"/>
    <w:rsid w:val="006E7E49"/>
    <w:rsid w:val="0071041E"/>
    <w:rsid w:val="007C2F91"/>
    <w:rsid w:val="007C43EB"/>
    <w:rsid w:val="00843B40"/>
    <w:rsid w:val="00906EEF"/>
    <w:rsid w:val="00937DED"/>
    <w:rsid w:val="0094534E"/>
    <w:rsid w:val="00950436"/>
    <w:rsid w:val="00AC3AF3"/>
    <w:rsid w:val="00AE3145"/>
    <w:rsid w:val="00B40370"/>
    <w:rsid w:val="00B52988"/>
    <w:rsid w:val="00BB28E6"/>
    <w:rsid w:val="00BF68E6"/>
    <w:rsid w:val="00C966EC"/>
    <w:rsid w:val="00CA7B01"/>
    <w:rsid w:val="00D3689A"/>
    <w:rsid w:val="00D720AD"/>
    <w:rsid w:val="00D811D7"/>
    <w:rsid w:val="00D8452A"/>
    <w:rsid w:val="00D847C5"/>
    <w:rsid w:val="00D920A6"/>
    <w:rsid w:val="00E11D6F"/>
    <w:rsid w:val="00E26196"/>
    <w:rsid w:val="00E264A3"/>
    <w:rsid w:val="00E439BB"/>
    <w:rsid w:val="00EA2A2F"/>
    <w:rsid w:val="00EA6DED"/>
    <w:rsid w:val="00ED7984"/>
    <w:rsid w:val="00EF5D3E"/>
    <w:rsid w:val="00F0492B"/>
    <w:rsid w:val="00F15F34"/>
    <w:rsid w:val="00F64534"/>
    <w:rsid w:val="00F73E07"/>
    <w:rsid w:val="00FE79C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8C4356D"/>
  <w14:defaultImageDpi w14:val="300"/>
  <w15:docId w15:val="{620D73C7-7A80-4A95-A3D0-D77CEFE8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7E4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47F3"/>
    <w:pPr>
      <w:tabs>
        <w:tab w:val="center" w:pos="4536"/>
        <w:tab w:val="right" w:pos="9072"/>
      </w:tabs>
    </w:pPr>
  </w:style>
  <w:style w:type="character" w:customStyle="1" w:styleId="NagwekZnak">
    <w:name w:val="Nagłówek Znak"/>
    <w:basedOn w:val="Domylnaczcionkaakapitu"/>
    <w:link w:val="Nagwek"/>
    <w:uiPriority w:val="99"/>
    <w:rsid w:val="001447F3"/>
  </w:style>
  <w:style w:type="paragraph" w:styleId="Stopka">
    <w:name w:val="footer"/>
    <w:basedOn w:val="Normalny"/>
    <w:link w:val="StopkaZnak"/>
    <w:uiPriority w:val="99"/>
    <w:unhideWhenUsed/>
    <w:rsid w:val="001447F3"/>
    <w:pPr>
      <w:tabs>
        <w:tab w:val="center" w:pos="4536"/>
        <w:tab w:val="right" w:pos="9072"/>
      </w:tabs>
    </w:pPr>
  </w:style>
  <w:style w:type="character" w:customStyle="1" w:styleId="StopkaZnak">
    <w:name w:val="Stopka Znak"/>
    <w:basedOn w:val="Domylnaczcionkaakapitu"/>
    <w:link w:val="Stopka"/>
    <w:uiPriority w:val="99"/>
    <w:rsid w:val="001447F3"/>
  </w:style>
  <w:style w:type="paragraph" w:styleId="Tekstdymka">
    <w:name w:val="Balloon Text"/>
    <w:basedOn w:val="Normalny"/>
    <w:link w:val="TekstdymkaZnak"/>
    <w:uiPriority w:val="99"/>
    <w:semiHidden/>
    <w:unhideWhenUsed/>
    <w:rsid w:val="001447F3"/>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1447F3"/>
    <w:rPr>
      <w:rFonts w:ascii="Lucida Grande CE" w:hAnsi="Lucida Grande CE"/>
      <w:sz w:val="18"/>
      <w:szCs w:val="18"/>
    </w:rPr>
  </w:style>
  <w:style w:type="paragraph" w:styleId="Poprawka">
    <w:name w:val="Revision"/>
    <w:hidden/>
    <w:uiPriority w:val="99"/>
    <w:semiHidden/>
    <w:rsid w:val="00185EA4"/>
  </w:style>
  <w:style w:type="paragraph" w:styleId="NormalnyWeb">
    <w:name w:val="Normal (Web)"/>
    <w:basedOn w:val="Normalny"/>
    <w:uiPriority w:val="99"/>
    <w:semiHidden/>
    <w:unhideWhenUsed/>
    <w:rsid w:val="0094534E"/>
    <w:pPr>
      <w:spacing w:before="100" w:beforeAutospacing="1" w:after="100" w:afterAutospacing="1"/>
    </w:pPr>
    <w:rPr>
      <w:rFonts w:ascii="Times" w:hAnsi="Times" w:cs="Times New Roman"/>
      <w:sz w:val="20"/>
      <w:szCs w:val="20"/>
    </w:rPr>
  </w:style>
  <w:style w:type="paragraph" w:styleId="Akapitzlist">
    <w:name w:val="List Paragraph"/>
    <w:basedOn w:val="Normalny"/>
    <w:uiPriority w:val="34"/>
    <w:qFormat/>
    <w:rsid w:val="0031644F"/>
    <w:pPr>
      <w:ind w:left="720"/>
      <w:contextualSpacing/>
    </w:pPr>
  </w:style>
  <w:style w:type="paragraph" w:styleId="Tekstprzypisukocowego">
    <w:name w:val="endnote text"/>
    <w:basedOn w:val="Normalny"/>
    <w:link w:val="TekstprzypisukocowegoZnak"/>
    <w:uiPriority w:val="99"/>
    <w:semiHidden/>
    <w:unhideWhenUsed/>
    <w:rsid w:val="00485913"/>
    <w:rPr>
      <w:sz w:val="20"/>
      <w:szCs w:val="20"/>
    </w:rPr>
  </w:style>
  <w:style w:type="character" w:customStyle="1" w:styleId="TekstprzypisukocowegoZnak">
    <w:name w:val="Tekst przypisu końcowego Znak"/>
    <w:basedOn w:val="Domylnaczcionkaakapitu"/>
    <w:link w:val="Tekstprzypisukocowego"/>
    <w:uiPriority w:val="99"/>
    <w:semiHidden/>
    <w:rsid w:val="00485913"/>
    <w:rPr>
      <w:sz w:val="20"/>
      <w:szCs w:val="20"/>
    </w:rPr>
  </w:style>
  <w:style w:type="character" w:styleId="Odwoanieprzypisukocowego">
    <w:name w:val="endnote reference"/>
    <w:basedOn w:val="Domylnaczcionkaakapitu"/>
    <w:uiPriority w:val="99"/>
    <w:semiHidden/>
    <w:unhideWhenUsed/>
    <w:rsid w:val="00485913"/>
    <w:rPr>
      <w:vertAlign w:val="superscript"/>
    </w:rPr>
  </w:style>
  <w:style w:type="paragraph" w:styleId="Tekstprzypisudolnego">
    <w:name w:val="footnote text"/>
    <w:basedOn w:val="Normalny"/>
    <w:link w:val="TekstprzypisudolnegoZnak"/>
    <w:uiPriority w:val="99"/>
    <w:semiHidden/>
    <w:unhideWhenUsed/>
    <w:rsid w:val="00485913"/>
    <w:rPr>
      <w:sz w:val="20"/>
      <w:szCs w:val="20"/>
    </w:rPr>
  </w:style>
  <w:style w:type="character" w:customStyle="1" w:styleId="TekstprzypisudolnegoZnak">
    <w:name w:val="Tekst przypisu dolnego Znak"/>
    <w:basedOn w:val="Domylnaczcionkaakapitu"/>
    <w:link w:val="Tekstprzypisudolnego"/>
    <w:uiPriority w:val="99"/>
    <w:semiHidden/>
    <w:rsid w:val="00485913"/>
    <w:rPr>
      <w:sz w:val="20"/>
      <w:szCs w:val="20"/>
    </w:rPr>
  </w:style>
  <w:style w:type="character" w:styleId="Odwoanieprzypisudolnego">
    <w:name w:val="footnote reference"/>
    <w:basedOn w:val="Domylnaczcionkaakapitu"/>
    <w:uiPriority w:val="99"/>
    <w:semiHidden/>
    <w:unhideWhenUsed/>
    <w:rsid w:val="004859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2221">
      <w:bodyDiv w:val="1"/>
      <w:marLeft w:val="0"/>
      <w:marRight w:val="0"/>
      <w:marTop w:val="0"/>
      <w:marBottom w:val="0"/>
      <w:divBdr>
        <w:top w:val="none" w:sz="0" w:space="0" w:color="auto"/>
        <w:left w:val="none" w:sz="0" w:space="0" w:color="auto"/>
        <w:bottom w:val="none" w:sz="0" w:space="0" w:color="auto"/>
        <w:right w:val="none" w:sz="0" w:space="0" w:color="auto"/>
      </w:divBdr>
    </w:div>
    <w:div w:id="545027931">
      <w:bodyDiv w:val="1"/>
      <w:marLeft w:val="0"/>
      <w:marRight w:val="0"/>
      <w:marTop w:val="0"/>
      <w:marBottom w:val="0"/>
      <w:divBdr>
        <w:top w:val="none" w:sz="0" w:space="0" w:color="auto"/>
        <w:left w:val="none" w:sz="0" w:space="0" w:color="auto"/>
        <w:bottom w:val="none" w:sz="0" w:space="0" w:color="auto"/>
        <w:right w:val="none" w:sz="0" w:space="0" w:color="auto"/>
      </w:divBdr>
    </w:div>
    <w:div w:id="724908543">
      <w:bodyDiv w:val="1"/>
      <w:marLeft w:val="0"/>
      <w:marRight w:val="0"/>
      <w:marTop w:val="0"/>
      <w:marBottom w:val="0"/>
      <w:divBdr>
        <w:top w:val="none" w:sz="0" w:space="0" w:color="auto"/>
        <w:left w:val="none" w:sz="0" w:space="0" w:color="auto"/>
        <w:bottom w:val="none" w:sz="0" w:space="0" w:color="auto"/>
        <w:right w:val="none" w:sz="0" w:space="0" w:color="auto"/>
      </w:divBdr>
    </w:div>
    <w:div w:id="1305744811">
      <w:bodyDiv w:val="1"/>
      <w:marLeft w:val="0"/>
      <w:marRight w:val="0"/>
      <w:marTop w:val="0"/>
      <w:marBottom w:val="0"/>
      <w:divBdr>
        <w:top w:val="none" w:sz="0" w:space="0" w:color="auto"/>
        <w:left w:val="none" w:sz="0" w:space="0" w:color="auto"/>
        <w:bottom w:val="none" w:sz="0" w:space="0" w:color="auto"/>
        <w:right w:val="none" w:sz="0" w:space="0" w:color="auto"/>
      </w:divBdr>
    </w:div>
    <w:div w:id="1514565400">
      <w:bodyDiv w:val="1"/>
      <w:marLeft w:val="0"/>
      <w:marRight w:val="0"/>
      <w:marTop w:val="0"/>
      <w:marBottom w:val="0"/>
      <w:divBdr>
        <w:top w:val="none" w:sz="0" w:space="0" w:color="auto"/>
        <w:left w:val="none" w:sz="0" w:space="0" w:color="auto"/>
        <w:bottom w:val="none" w:sz="0" w:space="0" w:color="auto"/>
        <w:right w:val="none" w:sz="0" w:space="0" w:color="auto"/>
      </w:divBdr>
    </w:div>
    <w:div w:id="1529417835">
      <w:bodyDiv w:val="1"/>
      <w:marLeft w:val="0"/>
      <w:marRight w:val="0"/>
      <w:marTop w:val="0"/>
      <w:marBottom w:val="0"/>
      <w:divBdr>
        <w:top w:val="none" w:sz="0" w:space="0" w:color="auto"/>
        <w:left w:val="none" w:sz="0" w:space="0" w:color="auto"/>
        <w:bottom w:val="none" w:sz="0" w:space="0" w:color="auto"/>
        <w:right w:val="none" w:sz="0" w:space="0" w:color="auto"/>
      </w:divBdr>
    </w:div>
    <w:div w:id="1584754088">
      <w:bodyDiv w:val="1"/>
      <w:marLeft w:val="0"/>
      <w:marRight w:val="0"/>
      <w:marTop w:val="0"/>
      <w:marBottom w:val="0"/>
      <w:divBdr>
        <w:top w:val="none" w:sz="0" w:space="0" w:color="auto"/>
        <w:left w:val="none" w:sz="0" w:space="0" w:color="auto"/>
        <w:bottom w:val="none" w:sz="0" w:space="0" w:color="auto"/>
        <w:right w:val="none" w:sz="0" w:space="0" w:color="auto"/>
      </w:divBdr>
    </w:div>
    <w:div w:id="1702589629">
      <w:bodyDiv w:val="1"/>
      <w:marLeft w:val="0"/>
      <w:marRight w:val="0"/>
      <w:marTop w:val="0"/>
      <w:marBottom w:val="0"/>
      <w:divBdr>
        <w:top w:val="none" w:sz="0" w:space="0" w:color="auto"/>
        <w:left w:val="none" w:sz="0" w:space="0" w:color="auto"/>
        <w:bottom w:val="none" w:sz="0" w:space="0" w:color="auto"/>
        <w:right w:val="none" w:sz="0" w:space="0" w:color="auto"/>
      </w:divBdr>
    </w:div>
    <w:div w:id="1878812453">
      <w:bodyDiv w:val="1"/>
      <w:marLeft w:val="0"/>
      <w:marRight w:val="0"/>
      <w:marTop w:val="0"/>
      <w:marBottom w:val="0"/>
      <w:divBdr>
        <w:top w:val="none" w:sz="0" w:space="0" w:color="auto"/>
        <w:left w:val="none" w:sz="0" w:space="0" w:color="auto"/>
        <w:bottom w:val="none" w:sz="0" w:space="0" w:color="auto"/>
        <w:right w:val="none" w:sz="0" w:space="0" w:color="auto"/>
      </w:divBdr>
    </w:div>
    <w:div w:id="1955674996">
      <w:bodyDiv w:val="1"/>
      <w:marLeft w:val="0"/>
      <w:marRight w:val="0"/>
      <w:marTop w:val="0"/>
      <w:marBottom w:val="0"/>
      <w:divBdr>
        <w:top w:val="none" w:sz="0" w:space="0" w:color="auto"/>
        <w:left w:val="none" w:sz="0" w:space="0" w:color="auto"/>
        <w:bottom w:val="none" w:sz="0" w:space="0" w:color="auto"/>
        <w:right w:val="none" w:sz="0" w:space="0" w:color="auto"/>
      </w:divBdr>
    </w:div>
    <w:div w:id="204925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8E3F3-E2F2-4688-93EC-218B6EEAE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1568</Words>
  <Characters>9408</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Urząd Miasta Opola</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Miasta Opola Urząd Miasta Opola</dc:creator>
  <cp:keywords/>
  <dc:description/>
  <cp:lastModifiedBy>Orlińska Sylwia</cp:lastModifiedBy>
  <cp:revision>3</cp:revision>
  <cp:lastPrinted>2024-04-25T06:59:00Z</cp:lastPrinted>
  <dcterms:created xsi:type="dcterms:W3CDTF">2024-05-13T05:46:00Z</dcterms:created>
  <dcterms:modified xsi:type="dcterms:W3CDTF">2024-05-13T05:46:00Z</dcterms:modified>
</cp:coreProperties>
</file>