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04F89" w14:textId="77777777" w:rsidR="0062036B" w:rsidRDefault="009B4519">
      <w:pPr>
        <w:spacing w:after="709"/>
        <w:ind w:left="-5"/>
      </w:pPr>
      <w:r>
        <w:t>Departament Gospodarki Odpadami</w:t>
      </w:r>
    </w:p>
    <w:p w14:paraId="1257ED0D" w14:textId="77777777" w:rsidR="0062036B" w:rsidRDefault="009B4519">
      <w:pPr>
        <w:spacing w:after="15" w:line="245" w:lineRule="auto"/>
        <w:ind w:left="0" w:right="3286" w:firstLine="0"/>
        <w:jc w:val="left"/>
      </w:pPr>
      <w:r>
        <w:t xml:space="preserve">DGO-OK.053.1.2024.PL </w:t>
      </w:r>
      <w:r>
        <w:rPr>
          <w:sz w:val="18"/>
        </w:rPr>
        <w:t>3180322.12419590.10270957</w:t>
      </w:r>
    </w:p>
    <w:p w14:paraId="522DBAA1" w14:textId="77777777" w:rsidR="0062036B" w:rsidRDefault="009B4519">
      <w:pPr>
        <w:spacing w:after="709"/>
        <w:ind w:left="-5"/>
      </w:pPr>
      <w:r>
        <w:t>Warszawa, 28-06-2024</w:t>
      </w:r>
    </w:p>
    <w:p w14:paraId="3F5D8117" w14:textId="77777777" w:rsidR="0062036B" w:rsidRDefault="009B4519">
      <w:pPr>
        <w:spacing w:after="0" w:line="259" w:lineRule="auto"/>
        <w:ind w:left="0" w:firstLine="0"/>
        <w:jc w:val="left"/>
      </w:pPr>
      <w:r>
        <w:rPr>
          <w:b/>
        </w:rPr>
        <w:t xml:space="preserve">   </w:t>
      </w:r>
    </w:p>
    <w:p w14:paraId="012E1797" w14:textId="77777777" w:rsidR="0062036B" w:rsidRDefault="009B4519">
      <w:pPr>
        <w:spacing w:after="0" w:line="259" w:lineRule="auto"/>
        <w:ind w:left="0" w:firstLine="0"/>
        <w:jc w:val="left"/>
      </w:pPr>
      <w:r>
        <w:rPr>
          <w:b/>
        </w:rPr>
        <w:t xml:space="preserve">     </w:t>
      </w:r>
      <w:r>
        <w:rPr>
          <w:b/>
        </w:rPr>
        <w:tab/>
        <w:t xml:space="preserve">     </w:t>
      </w:r>
      <w:r>
        <w:rPr>
          <w:b/>
        </w:rPr>
        <w:tab/>
        <w:t xml:space="preserve">     </w:t>
      </w:r>
    </w:p>
    <w:p w14:paraId="604BB33A" w14:textId="77777777" w:rsidR="0062036B" w:rsidRDefault="009B4519">
      <w:pPr>
        <w:spacing w:after="480" w:line="240" w:lineRule="auto"/>
        <w:ind w:left="0" w:right="5495" w:firstLine="0"/>
        <w:jc w:val="left"/>
      </w:pPr>
      <w:r>
        <w:rPr>
          <w:b/>
        </w:rPr>
        <w:t>Zastępca Prezydenta Urząd Miasta Opola</w:t>
      </w:r>
    </w:p>
    <w:p w14:paraId="53279AD3" w14:textId="77777777" w:rsidR="0062036B" w:rsidRDefault="009B4519">
      <w:pPr>
        <w:ind w:left="-5"/>
      </w:pPr>
      <w:r>
        <w:t>Szanowny Panie Prezydencie,</w:t>
      </w:r>
    </w:p>
    <w:p w14:paraId="316B8564" w14:textId="77777777" w:rsidR="0062036B" w:rsidRDefault="009B4519">
      <w:pPr>
        <w:ind w:left="-5"/>
      </w:pPr>
      <w:r>
        <w:t xml:space="preserve">w </w:t>
      </w:r>
      <w:r>
        <w:t>związku</w:t>
      </w:r>
      <w:r>
        <w:t xml:space="preserve"> z </w:t>
      </w:r>
      <w:r>
        <w:t>petycją</w:t>
      </w:r>
      <w:r>
        <w:t xml:space="preserve"> z dnia 26 kwietnia 2024 r. (znak: GOK-RWO.3137.32.2024) w sprawie zmiany wybranych przepisów ustawy z dnia 13 </w:t>
      </w:r>
      <w:r>
        <w:t>września</w:t>
      </w:r>
      <w:r>
        <w:t xml:space="preserve"> 1996 r. o utrzymaniu </w:t>
      </w:r>
      <w:r>
        <w:t>czystości</w:t>
      </w:r>
      <w:r>
        <w:t xml:space="preserve"> i </w:t>
      </w:r>
      <w:r>
        <w:t>porządku</w:t>
      </w:r>
      <w:r>
        <w:t xml:space="preserve"> w gminach (Dz. U. z 2024 r. poz. 399, z </w:t>
      </w:r>
      <w:r>
        <w:t>późn.</w:t>
      </w:r>
      <w:r>
        <w:t xml:space="preserve"> zm.), </w:t>
      </w:r>
      <w:r>
        <w:t>poniżej</w:t>
      </w:r>
      <w:r>
        <w:t xml:space="preserve"> przedstawiam </w:t>
      </w:r>
      <w:r>
        <w:t>wyjaśnienia.</w:t>
      </w:r>
    </w:p>
    <w:p w14:paraId="04E92705" w14:textId="77777777" w:rsidR="0062036B" w:rsidRDefault="009B4519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3F1CE55" wp14:editId="4E8585D1">
            <wp:simplePos x="0" y="0"/>
            <wp:positionH relativeFrom="page">
              <wp:posOffset>358775</wp:posOffset>
            </wp:positionH>
            <wp:positionV relativeFrom="page">
              <wp:posOffset>278130</wp:posOffset>
            </wp:positionV>
            <wp:extent cx="3145790" cy="1061720"/>
            <wp:effectExtent l="0" t="0" r="0" b="0"/>
            <wp:wrapTopAndBottom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Odnosząc</w:t>
      </w:r>
      <w:r>
        <w:t xml:space="preserve"> </w:t>
      </w:r>
      <w:r>
        <w:t>się</w:t>
      </w:r>
      <w:r>
        <w:t xml:space="preserve"> do pierwszego postulatu, </w:t>
      </w:r>
      <w:r>
        <w:t>dotyczącego</w:t>
      </w:r>
      <w:r>
        <w:t xml:space="preserve"> </w:t>
      </w:r>
      <w:r>
        <w:rPr>
          <w:i/>
        </w:rPr>
        <w:t>zastąpienia obowiązku wydawania decyzji z uwzględnieniem stawki podwyższonej możliwością jej wydania</w:t>
      </w:r>
      <w:r>
        <w:t xml:space="preserve"> </w:t>
      </w:r>
      <w:r>
        <w:t>informuję,</w:t>
      </w:r>
      <w:r>
        <w:t xml:space="preserve"> </w:t>
      </w:r>
      <w:r>
        <w:t>że</w:t>
      </w:r>
      <w:r>
        <w:t xml:space="preserve"> zgodnie z </w:t>
      </w:r>
      <w:r>
        <w:t>przywołanym</w:t>
      </w:r>
      <w:r>
        <w:t xml:space="preserve"> przez Pana uzasadnieniem do ustawy o zmianie ustawa z dnia 19 lipca 2019 r. o zmianie ustawy o utrzymaniu </w:t>
      </w:r>
      <w:r>
        <w:t>czystości</w:t>
      </w:r>
      <w:r>
        <w:t xml:space="preserve"> i </w:t>
      </w:r>
      <w:r>
        <w:t>porządku</w:t>
      </w:r>
      <w:r>
        <w:t xml:space="preserve"> w gminach oraz niektórych innych ustaw (Dz. U. z 2019 r. poz. 1579) przepisy art. 6ka ust. 1-3 </w:t>
      </w:r>
      <w:r>
        <w:t>zostały</w:t>
      </w:r>
      <w:r>
        <w:t xml:space="preserve"> wprowadzone w celu </w:t>
      </w:r>
      <w:r>
        <w:t>umożliwienia</w:t>
      </w:r>
      <w:r>
        <w:t xml:space="preserve"> </w:t>
      </w:r>
      <w:r>
        <w:t>nałożenia</w:t>
      </w:r>
      <w:r>
        <w:t xml:space="preserve"> sankcji na </w:t>
      </w:r>
      <w:r>
        <w:t>właścicieli</w:t>
      </w:r>
      <w:r>
        <w:t xml:space="preserve"> </w:t>
      </w:r>
      <w:r>
        <w:t>nieruchomości</w:t>
      </w:r>
      <w:r>
        <w:t xml:space="preserve"> za nieprzestrzeg</w:t>
      </w:r>
      <w:r>
        <w:t xml:space="preserve">anie </w:t>
      </w:r>
      <w:r>
        <w:t>obowiązku</w:t>
      </w:r>
      <w:r>
        <w:t xml:space="preserve"> prowadzenia selektywnego zbierania odpadów komunalnych. Departament Gospodarki Odpadami </w:t>
      </w:r>
      <w:r>
        <w:t>mając</w:t>
      </w:r>
      <w:r>
        <w:t xml:space="preserve"> na uwadze </w:t>
      </w:r>
      <w:r>
        <w:t>dbałość</w:t>
      </w:r>
      <w:r>
        <w:t xml:space="preserve"> o prowadzenie </w:t>
      </w:r>
      <w:r>
        <w:t>prawidłowego</w:t>
      </w:r>
      <w:r>
        <w:t xml:space="preserve"> selektywnego zbierania odpadów komunalnych przez </w:t>
      </w:r>
      <w:r>
        <w:t>mieszkańców,</w:t>
      </w:r>
      <w:r>
        <w:t xml:space="preserve"> które w znacznym stopniu </w:t>
      </w:r>
      <w:r>
        <w:t>wpływa</w:t>
      </w:r>
      <w:r>
        <w:t xml:space="preserve"> na </w:t>
      </w:r>
      <w:r>
        <w:t>możliwość</w:t>
      </w:r>
      <w:r>
        <w:t xml:space="preserve"> </w:t>
      </w:r>
      <w:r>
        <w:t>osiągania</w:t>
      </w:r>
      <w:r>
        <w:t xml:space="preserve"> poziomów przygotowania do ponownego </w:t>
      </w:r>
      <w:r>
        <w:t>użycia</w:t>
      </w:r>
      <w:r>
        <w:t xml:space="preserve"> i recyklingu odpadów komunalnych, </w:t>
      </w:r>
      <w:r>
        <w:t>częściowo</w:t>
      </w:r>
      <w:r>
        <w:t xml:space="preserve"> popiera intencje zawarte w Pana postulacie, który zostanie przeanalizowany pod </w:t>
      </w:r>
      <w:r>
        <w:t>kątem</w:t>
      </w:r>
      <w:r>
        <w:t xml:space="preserve"> ewentualnego wykorzystania w ramach </w:t>
      </w:r>
      <w:r>
        <w:t>przyszłych</w:t>
      </w:r>
      <w:r>
        <w:t xml:space="preserve"> prac legislacyjnych.</w:t>
      </w:r>
    </w:p>
    <w:p w14:paraId="7F8AAE8C" w14:textId="77777777" w:rsidR="0062036B" w:rsidRDefault="009B4519">
      <w:pPr>
        <w:ind w:left="-5"/>
      </w:pPr>
      <w:r>
        <w:t>Jednocześnie</w:t>
      </w:r>
      <w:r>
        <w:t xml:space="preserve"> </w:t>
      </w:r>
      <w:r>
        <w:t>informuję,</w:t>
      </w:r>
      <w:r>
        <w:t xml:space="preserve"> </w:t>
      </w:r>
      <w:r>
        <w:t>że</w:t>
      </w:r>
      <w:r>
        <w:t xml:space="preserve"> w mojej opinii nie jest zasadne </w:t>
      </w:r>
      <w:r>
        <w:t>zastępowanie</w:t>
      </w:r>
      <w:r>
        <w:t xml:space="preserve"> trybu obligatoryjnego wydawania decyzji w sprawie </w:t>
      </w:r>
      <w:r>
        <w:t>określenia</w:t>
      </w:r>
      <w:r>
        <w:t xml:space="preserve"> </w:t>
      </w:r>
      <w:r>
        <w:t>wysokości</w:t>
      </w:r>
      <w:r>
        <w:t xml:space="preserve"> </w:t>
      </w:r>
      <w:r>
        <w:t>opłaty</w:t>
      </w:r>
      <w:r>
        <w:t xml:space="preserve"> </w:t>
      </w:r>
      <w:r>
        <w:t>podwyższonej</w:t>
      </w:r>
      <w:r>
        <w:t xml:space="preserve"> za gospodarowanie odpadami komunalnymi na fakultatywny. Zmiany wskazanych </w:t>
      </w:r>
      <w:r>
        <w:t>powyżej</w:t>
      </w:r>
      <w:r>
        <w:t xml:space="preserve"> przepisów ustawy o utrzymaniu </w:t>
      </w:r>
      <w:r>
        <w:t>czystości</w:t>
      </w:r>
      <w:r>
        <w:t xml:space="preserve">  i </w:t>
      </w:r>
      <w:r>
        <w:t>porządku</w:t>
      </w:r>
      <w:r>
        <w:t xml:space="preserve"> w gminach powinny raczej </w:t>
      </w:r>
      <w:r>
        <w:t>zostać</w:t>
      </w:r>
      <w:r>
        <w:t xml:space="preserve"> ukierunkowane na </w:t>
      </w:r>
      <w:r>
        <w:t>doszczegółowienie</w:t>
      </w:r>
      <w:r>
        <w:t xml:space="preserve"> sytuacji, w których taka decyzja jest wydawana lub </w:t>
      </w:r>
      <w:r>
        <w:t>całkowitej</w:t>
      </w:r>
      <w:r>
        <w:t xml:space="preserve"> zmiany systemu sankcjonowania finansowego za uchybienia w wykonywaniu </w:t>
      </w:r>
      <w:r>
        <w:t>obowiązku</w:t>
      </w:r>
      <w:r>
        <w:t xml:space="preserve"> selektywnego zbier</w:t>
      </w:r>
      <w:r>
        <w:t xml:space="preserve">ania odpadów komunalnych, co jest </w:t>
      </w:r>
      <w:r>
        <w:t>już</w:t>
      </w:r>
      <w:r>
        <w:t xml:space="preserve"> przedmiotem </w:t>
      </w:r>
      <w:r>
        <w:t>rozważań</w:t>
      </w:r>
      <w:r>
        <w:t xml:space="preserve"> w DGO.</w:t>
      </w:r>
    </w:p>
    <w:p w14:paraId="065738DC" w14:textId="77777777" w:rsidR="0062036B" w:rsidRDefault="009B4519">
      <w:pPr>
        <w:spacing w:after="510" w:line="249" w:lineRule="auto"/>
        <w:ind w:left="-5" w:right="-15"/>
      </w:pPr>
      <w:r>
        <w:t>Odnosząc</w:t>
      </w:r>
      <w:r>
        <w:t xml:space="preserve"> </w:t>
      </w:r>
      <w:r>
        <w:t>się</w:t>
      </w:r>
      <w:r>
        <w:t xml:space="preserve"> do drugiego postulatu, </w:t>
      </w:r>
      <w:r>
        <w:t>dotyczącego</w:t>
      </w:r>
      <w:r>
        <w:t xml:space="preserve"> </w:t>
      </w:r>
      <w:r>
        <w:rPr>
          <w:i/>
        </w:rPr>
        <w:t>rozszerzenia katalogu wydatków, które gmina może pokryć ze środków pochodzących z opłat za gospodarowanie odpadami komunalnymi, które nie zostały wykorzystane w poprzednim roku budżetowym o możliwość pokrycia z tych środków kar za nieosiągnięcie wymaganego poziomu recyklingu</w:t>
      </w:r>
      <w:r>
        <w:t xml:space="preserve"> </w:t>
      </w:r>
      <w:r>
        <w:t>informuję,</w:t>
      </w:r>
      <w:r>
        <w:t xml:space="preserve"> </w:t>
      </w:r>
      <w:r>
        <w:t>że</w:t>
      </w:r>
      <w:r>
        <w:t xml:space="preserve"> negatywnie oceniam </w:t>
      </w:r>
      <w:r>
        <w:t>tą</w:t>
      </w:r>
      <w:r>
        <w:t xml:space="preserve"> </w:t>
      </w:r>
      <w:r>
        <w:t>propozycję.</w:t>
      </w:r>
    </w:p>
    <w:p w14:paraId="5B2CF71C" w14:textId="77777777" w:rsidR="0062036B" w:rsidRDefault="009B4519">
      <w:pPr>
        <w:spacing w:line="259" w:lineRule="auto"/>
        <w:ind w:left="0" w:right="-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36B9530" wp14:editId="014752B8">
                <wp:extent cx="5040000" cy="6350"/>
                <wp:effectExtent l="0" t="0" r="0" b="0"/>
                <wp:docPr id="3624" name="Group 3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24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710C6EF" w14:textId="77777777" w:rsidR="0062036B" w:rsidRDefault="009B4519">
      <w:pPr>
        <w:tabs>
          <w:tab w:val="right" w:pos="7936"/>
        </w:tabs>
        <w:spacing w:after="2" w:line="253" w:lineRule="auto"/>
        <w:ind w:left="-15" w:firstLine="0"/>
        <w:jc w:val="left"/>
      </w:pPr>
      <w:r>
        <w:rPr>
          <w:sz w:val="16"/>
        </w:rPr>
        <w:t>Telefon: (+48) 223-692-262</w:t>
      </w:r>
      <w:r>
        <w:rPr>
          <w:sz w:val="16"/>
        </w:rPr>
        <w:tab/>
        <w:t xml:space="preserve">ul. Wawelska 52/54, 00-922 Warszawa </w:t>
      </w:r>
    </w:p>
    <w:p w14:paraId="09ACAFE5" w14:textId="77777777" w:rsidR="0062036B" w:rsidRDefault="009B4519">
      <w:pPr>
        <w:spacing w:after="2" w:line="253" w:lineRule="auto"/>
        <w:ind w:left="-5"/>
        <w:jc w:val="left"/>
      </w:pPr>
      <w:r>
        <w:rPr>
          <w:sz w:val="16"/>
        </w:rPr>
        <w:lastRenderedPageBreak/>
        <w:t>departament.gospodarki.odpadami@klimat.gov.pl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40E49B57" w14:textId="77777777" w:rsidR="0062036B" w:rsidRDefault="009B4519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1D282675" w14:textId="77777777" w:rsidR="0062036B" w:rsidRDefault="009B4519">
      <w:pPr>
        <w:ind w:left="-5"/>
      </w:pPr>
      <w:r>
        <w:t>Osiągany</w:t>
      </w:r>
      <w:r>
        <w:t xml:space="preserve"> poziom przygotowania do ponownego </w:t>
      </w:r>
      <w:r>
        <w:t>użycia</w:t>
      </w:r>
      <w:r>
        <w:t xml:space="preserve"> i recyklingu odpadów komunalnych jest efektem </w:t>
      </w:r>
      <w:r>
        <w:t>działań</w:t>
      </w:r>
      <w:r>
        <w:t xml:space="preserve"> podejmowanych przez </w:t>
      </w:r>
      <w:r>
        <w:t>gminę</w:t>
      </w:r>
      <w:r>
        <w:t xml:space="preserve"> oraz odzwierciedla sposób prowadzenia gospodarki odpadami komunalnymi przez </w:t>
      </w:r>
      <w:r>
        <w:t>gminę</w:t>
      </w:r>
      <w:r>
        <w:t xml:space="preserve"> na jej ternie.</w:t>
      </w:r>
    </w:p>
    <w:p w14:paraId="285825C8" w14:textId="77777777" w:rsidR="0062036B" w:rsidRDefault="009B4519">
      <w:pPr>
        <w:ind w:left="-5"/>
      </w:pPr>
      <w:r>
        <w:t xml:space="preserve">Natomiast wnoszone przez </w:t>
      </w:r>
      <w:r>
        <w:t>mieszkańców</w:t>
      </w:r>
      <w:r>
        <w:t xml:space="preserve"> </w:t>
      </w:r>
      <w:r>
        <w:t>opłaty</w:t>
      </w:r>
      <w:r>
        <w:t xml:space="preserve"> za gospodarowanie odpadami komunalnymi powinny </w:t>
      </w:r>
      <w:r>
        <w:t>pokrywać</w:t>
      </w:r>
      <w:r>
        <w:t xml:space="preserve"> koszty funkcjonowania systemu gospodarki odpadami. Ustawa o utrzymaniu </w:t>
      </w:r>
      <w:r>
        <w:t>czystości</w:t>
      </w:r>
      <w:r>
        <w:t xml:space="preserve"> i </w:t>
      </w:r>
      <w:r>
        <w:t>porządku</w:t>
      </w:r>
      <w:r>
        <w:t xml:space="preserve"> w gminach </w:t>
      </w:r>
      <w:r>
        <w:t>określa</w:t>
      </w:r>
      <w:r>
        <w:t xml:space="preserve"> katalog, w którym wyszczególniono zadania na jakie </w:t>
      </w:r>
      <w:r>
        <w:t>mogą</w:t>
      </w:r>
      <w:r>
        <w:t xml:space="preserve"> </w:t>
      </w:r>
      <w:r>
        <w:t>zostać</w:t>
      </w:r>
      <w:r>
        <w:t xml:space="preserve"> przeznaczone </w:t>
      </w:r>
      <w:r>
        <w:t>środki</w:t>
      </w:r>
      <w:r>
        <w:t xml:space="preserve"> </w:t>
      </w:r>
      <w:r>
        <w:t>pochodzące</w:t>
      </w:r>
      <w:r>
        <w:t xml:space="preserve"> z pobranych od </w:t>
      </w:r>
      <w:r>
        <w:t>mieszkańców</w:t>
      </w:r>
      <w:r>
        <w:t xml:space="preserve"> </w:t>
      </w:r>
      <w:r>
        <w:t>opłat.</w:t>
      </w:r>
      <w:r>
        <w:t xml:space="preserve"> Katalog ten </w:t>
      </w:r>
      <w:r>
        <w:t>określa</w:t>
      </w:r>
      <w:r>
        <w:t xml:space="preserve"> </w:t>
      </w:r>
      <w:r>
        <w:t>wyłącznie</w:t>
      </w:r>
      <w:r>
        <w:t xml:space="preserve"> zadania, które </w:t>
      </w:r>
      <w:r>
        <w:t>są</w:t>
      </w:r>
      <w:r>
        <w:t xml:space="preserve"> elementami </w:t>
      </w:r>
      <w:r>
        <w:t>składającymi</w:t>
      </w:r>
      <w:r>
        <w:t xml:space="preserve"> </w:t>
      </w:r>
      <w:r>
        <w:t>się</w:t>
      </w:r>
      <w:r>
        <w:t xml:space="preserve"> na funkcjonowanie systemu gminnego</w:t>
      </w:r>
      <w:r>
        <w:rPr>
          <w:vertAlign w:val="superscript"/>
        </w:rPr>
        <w:footnoteReference w:id="1"/>
      </w:r>
      <w:r>
        <w:t xml:space="preserve">. </w:t>
      </w:r>
      <w:r>
        <w:t>Należy</w:t>
      </w:r>
      <w:r>
        <w:t xml:space="preserve"> </w:t>
      </w:r>
      <w:r>
        <w:t>również</w:t>
      </w:r>
      <w:r>
        <w:t xml:space="preserve"> </w:t>
      </w:r>
      <w:r>
        <w:t>wyjaśnić,</w:t>
      </w:r>
      <w:r>
        <w:t xml:space="preserve"> </w:t>
      </w:r>
      <w:r>
        <w:t>że</w:t>
      </w:r>
      <w:r>
        <w:t xml:space="preserve"> system gospodarowania odpadami komunalnymi jest z </w:t>
      </w:r>
      <w:r>
        <w:t>założenia</w:t>
      </w:r>
      <w:r>
        <w:t xml:space="preserve"> systemem </w:t>
      </w:r>
      <w:r>
        <w:t>samobilansującym</w:t>
      </w:r>
      <w:r>
        <w:t xml:space="preserve"> </w:t>
      </w:r>
      <w:r>
        <w:t>się.</w:t>
      </w:r>
      <w:r>
        <w:t xml:space="preserve"> </w:t>
      </w:r>
      <w:r>
        <w:t>Chociaż</w:t>
      </w:r>
      <w:r>
        <w:t xml:space="preserve"> system gminny obecnie przede wszystkim jest finansowany z wnoszonych przez </w:t>
      </w:r>
      <w:r>
        <w:t>właścicieli</w:t>
      </w:r>
      <w:r>
        <w:t xml:space="preserve"> </w:t>
      </w:r>
      <w:r>
        <w:t>nieruchomości</w:t>
      </w:r>
      <w:r>
        <w:t xml:space="preserve"> </w:t>
      </w:r>
      <w:r>
        <w:t>opłat,</w:t>
      </w:r>
      <w:r>
        <w:t xml:space="preserve"> to gminy </w:t>
      </w:r>
      <w:r>
        <w:t>mają</w:t>
      </w:r>
      <w:r>
        <w:t xml:space="preserve"> </w:t>
      </w:r>
      <w:r>
        <w:t>możliwość</w:t>
      </w:r>
      <w:r>
        <w:t xml:space="preserve"> i powinny </w:t>
      </w:r>
      <w:r>
        <w:t>podejmować</w:t>
      </w:r>
      <w:r>
        <w:t xml:space="preserve"> </w:t>
      </w:r>
      <w:r>
        <w:t>działania</w:t>
      </w:r>
      <w:r>
        <w:t xml:space="preserve"> w celu zmniejszenia kosztów funkcjonowania systemu odbioru i zagospodarowania odpadów komunalnych.</w:t>
      </w:r>
    </w:p>
    <w:p w14:paraId="58AE23E0" w14:textId="77777777" w:rsidR="0062036B" w:rsidRDefault="009B4519">
      <w:pPr>
        <w:spacing w:after="168" w:line="249" w:lineRule="auto"/>
        <w:ind w:left="-5" w:right="-15"/>
      </w:pPr>
      <w:r>
        <w:t>Powyższe</w:t>
      </w:r>
      <w:r>
        <w:t xml:space="preserve"> </w:t>
      </w:r>
      <w:r>
        <w:t>podejście</w:t>
      </w:r>
      <w:r>
        <w:t xml:space="preserve"> wydaje </w:t>
      </w:r>
      <w:r>
        <w:t>się</w:t>
      </w:r>
      <w:r>
        <w:t xml:space="preserve"> </w:t>
      </w:r>
      <w:r>
        <w:t>potwierdzać</w:t>
      </w:r>
      <w:r>
        <w:t xml:space="preserve"> wyrok Naczelnego </w:t>
      </w:r>
      <w:r>
        <w:t>Sądu</w:t>
      </w:r>
      <w:r>
        <w:t xml:space="preserve"> Administracyjnego z dnia 18 sierpnia 2023 r. (sygn. akt III FSK 802/22)</w:t>
      </w:r>
      <w:r>
        <w:rPr>
          <w:i/>
        </w:rPr>
        <w:t xml:space="preserve">, </w:t>
      </w:r>
      <w:r>
        <w:t xml:space="preserve">w którym wskazano, </w:t>
      </w:r>
      <w:r>
        <w:t>że</w:t>
      </w:r>
      <w:r>
        <w:rPr>
          <w:i/>
        </w:rPr>
        <w:t xml:space="preserve"> „Uregulowania zawarte w ustawie o utrzymaniu czystości i porządku w gminach wskazują, że opłata podwyższona stanowi nie tyle finansową dolegliwość za niewłaściwą segregację, ale też jest rekompensatą dla gminy związaną z dodatkowym, wyższym kosztem zagospodarowania źle zebranych odpadów komunalnych. Przepis art. 6ka ust. 1 u.p.c.g. stwierdza wprost, że niesegregowane odpady komunalne podmiot odbierający odpady przyjmuje jako niesegregowane (zmieszane). Koszt ich zagospodarowania jest wyższy niż koszt zagos</w:t>
      </w:r>
      <w:r>
        <w:rPr>
          <w:i/>
        </w:rPr>
        <w:t>podarowania poszczególnych frakcji zbieranych w sposób selektywny. Koszt ten pokrywany jest z opłaty podwyższonej, co czyni z niej opłatę za dodatkową usługę”</w:t>
      </w:r>
      <w:r>
        <w:t>.</w:t>
      </w:r>
      <w:r>
        <w:rPr>
          <w:i/>
        </w:rPr>
        <w:t xml:space="preserve"> </w:t>
      </w:r>
    </w:p>
    <w:p w14:paraId="2BA32763" w14:textId="77777777" w:rsidR="0062036B" w:rsidRDefault="009B4519">
      <w:pPr>
        <w:ind w:left="-5"/>
      </w:pPr>
      <w:r>
        <w:t>Idąc</w:t>
      </w:r>
      <w:r>
        <w:t xml:space="preserve"> dalej </w:t>
      </w:r>
      <w:r>
        <w:t>należałoby</w:t>
      </w:r>
      <w:r>
        <w:t xml:space="preserve"> </w:t>
      </w:r>
      <w:r>
        <w:t>stwierdzić,</w:t>
      </w:r>
      <w:r>
        <w:t xml:space="preserve"> </w:t>
      </w:r>
      <w:r>
        <w:t>że</w:t>
      </w:r>
      <w:r>
        <w:t xml:space="preserve"> </w:t>
      </w:r>
      <w:r>
        <w:t>jeżeli</w:t>
      </w:r>
      <w:r>
        <w:t xml:space="preserve"> gmina nie wykonuje </w:t>
      </w:r>
      <w:r>
        <w:t>należycie</w:t>
      </w:r>
      <w:r>
        <w:t xml:space="preserve"> tak rozumianej dodatkowej </w:t>
      </w:r>
      <w:r>
        <w:t>usługi</w:t>
      </w:r>
      <w:r>
        <w:t xml:space="preserve"> w stosunku do odpadów, które nie </w:t>
      </w:r>
      <w:r>
        <w:t>zostały</w:t>
      </w:r>
      <w:r>
        <w:t xml:space="preserve"> zebrane w sposób selektywny, jak </w:t>
      </w:r>
      <w:r>
        <w:t>również</w:t>
      </w:r>
      <w:r>
        <w:t xml:space="preserve"> nie wykonuje </w:t>
      </w:r>
      <w:r>
        <w:t>należycie</w:t>
      </w:r>
      <w:r>
        <w:t xml:space="preserve">  podstawowej </w:t>
      </w:r>
      <w:r>
        <w:t>usługi</w:t>
      </w:r>
      <w:r>
        <w:t xml:space="preserve">  zagospodarowania odebranych odpadów komunalnych zebranych we </w:t>
      </w:r>
      <w:r>
        <w:t>właściwy</w:t>
      </w:r>
      <w:r>
        <w:t xml:space="preserve"> sposób, i w </w:t>
      </w:r>
      <w:r>
        <w:t>związku</w:t>
      </w:r>
      <w:r>
        <w:t xml:space="preserve"> z tym nie </w:t>
      </w:r>
      <w:r>
        <w:t>osiąga</w:t>
      </w:r>
      <w:r>
        <w:t xml:space="preserve"> wymaganych poziomów recyklingu. W </w:t>
      </w:r>
      <w:r>
        <w:t>związku</w:t>
      </w:r>
      <w:r>
        <w:t xml:space="preserve"> z </w:t>
      </w:r>
      <w:r>
        <w:t>powyższym</w:t>
      </w:r>
      <w:r>
        <w:t xml:space="preserve"> nie </w:t>
      </w:r>
      <w:r>
        <w:t>można</w:t>
      </w:r>
      <w:r>
        <w:t xml:space="preserve"> </w:t>
      </w:r>
      <w:r>
        <w:t>wprowadzać</w:t>
      </w:r>
      <w:r>
        <w:t xml:space="preserve"> </w:t>
      </w:r>
      <w:r>
        <w:t>zachęt</w:t>
      </w:r>
      <w:r>
        <w:t xml:space="preserve"> do nierealizowania </w:t>
      </w:r>
      <w:r>
        <w:t>ciążących</w:t>
      </w:r>
      <w:r>
        <w:t xml:space="preserve"> na gminach </w:t>
      </w:r>
      <w:r>
        <w:t>obowiązków</w:t>
      </w:r>
      <w:r>
        <w:t xml:space="preserve"> poprzez </w:t>
      </w:r>
      <w:r>
        <w:t>umożliwienie</w:t>
      </w:r>
      <w:r>
        <w:t xml:space="preserve"> ponoszenia kar </w:t>
      </w:r>
      <w:r>
        <w:t>pieniężn</w:t>
      </w:r>
      <w:r>
        <w:t>ych</w:t>
      </w:r>
      <w:r>
        <w:t xml:space="preserve"> za </w:t>
      </w:r>
      <w:r>
        <w:t>nieosiągnięcie</w:t>
      </w:r>
      <w:r>
        <w:t xml:space="preserve"> poziomów ze </w:t>
      </w:r>
      <w:r>
        <w:t>środków,</w:t>
      </w:r>
      <w:r>
        <w:t xml:space="preserve"> które powinny </w:t>
      </w:r>
      <w:r>
        <w:t>być</w:t>
      </w:r>
      <w:r>
        <w:t xml:space="preserve"> przeznaczone na </w:t>
      </w:r>
      <w:r>
        <w:t>działania</w:t>
      </w:r>
      <w:r>
        <w:t xml:space="preserve">  </w:t>
      </w:r>
      <w:r>
        <w:t>służące</w:t>
      </w:r>
      <w:r>
        <w:t xml:space="preserve"> </w:t>
      </w:r>
      <w:r>
        <w:t>osiągnięciu</w:t>
      </w:r>
      <w:r>
        <w:t xml:space="preserve"> wymaganych poziomów. </w:t>
      </w:r>
    </w:p>
    <w:p w14:paraId="2D2AC0BB" w14:textId="77777777" w:rsidR="0062036B" w:rsidRDefault="009B4519">
      <w:pPr>
        <w:spacing w:after="200" w:line="240" w:lineRule="auto"/>
        <w:ind w:left="0" w:firstLine="0"/>
      </w:pPr>
      <w:r>
        <w:t>Biorąc</w:t>
      </w:r>
      <w:r>
        <w:t xml:space="preserve"> pod </w:t>
      </w:r>
      <w:r>
        <w:t>uwagę</w:t>
      </w:r>
      <w:r>
        <w:t xml:space="preserve"> </w:t>
      </w:r>
      <w:r>
        <w:t>powyższe</w:t>
      </w:r>
      <w:r>
        <w:t xml:space="preserve"> w mojej opinii nie jest zasadne przeznaczanie </w:t>
      </w:r>
      <w:r>
        <w:t>środków</w:t>
      </w:r>
      <w:r>
        <w:t xml:space="preserve"> </w:t>
      </w:r>
      <w:r>
        <w:t>pochodzących</w:t>
      </w:r>
      <w:r>
        <w:t xml:space="preserve"> z </w:t>
      </w:r>
      <w:r>
        <w:t>opłat</w:t>
      </w:r>
      <w:r>
        <w:t xml:space="preserve"> wnoszonych przez </w:t>
      </w:r>
      <w:r>
        <w:t>mieszkańców</w:t>
      </w:r>
      <w:r>
        <w:t xml:space="preserve"> na pokrycie kar, które </w:t>
      </w:r>
      <w:r>
        <w:t>mogą</w:t>
      </w:r>
      <w:r>
        <w:t xml:space="preserve"> </w:t>
      </w:r>
      <w:r>
        <w:t>zostać</w:t>
      </w:r>
      <w:r>
        <w:t xml:space="preserve"> </w:t>
      </w:r>
      <w:r>
        <w:t>nałożone</w:t>
      </w:r>
      <w:r>
        <w:t xml:space="preserve"> na </w:t>
      </w:r>
      <w:r>
        <w:t>gminę</w:t>
      </w:r>
      <w:r>
        <w:t xml:space="preserve"> w </w:t>
      </w:r>
      <w:r>
        <w:t>związku</w:t>
      </w:r>
      <w:r>
        <w:t xml:space="preserve"> z </w:t>
      </w:r>
      <w:r>
        <w:t>niewywiązaniem</w:t>
      </w:r>
      <w:r>
        <w:t xml:space="preserve"> </w:t>
      </w:r>
      <w:r>
        <w:t>się</w:t>
      </w:r>
      <w:r>
        <w:t xml:space="preserve"> z ustawowo </w:t>
      </w:r>
      <w:r>
        <w:t>nałożonych</w:t>
      </w:r>
      <w:r>
        <w:t xml:space="preserve"> </w:t>
      </w:r>
      <w:r>
        <w:t>obowiązków.</w:t>
      </w:r>
      <w:r>
        <w:t xml:space="preserve"> </w:t>
      </w:r>
    </w:p>
    <w:p w14:paraId="5C308F83" w14:textId="77777777" w:rsidR="0062036B" w:rsidRDefault="009B4519">
      <w:pPr>
        <w:ind w:left="-5"/>
      </w:pPr>
      <w:r>
        <w:t xml:space="preserve">W </w:t>
      </w:r>
      <w:r>
        <w:t>związku</w:t>
      </w:r>
      <w:r>
        <w:t xml:space="preserve"> z </w:t>
      </w:r>
      <w:r>
        <w:t>powyższym</w:t>
      </w:r>
      <w:r>
        <w:t xml:space="preserve"> nie jest zasadne wprowadzenie zmian </w:t>
      </w:r>
      <w:r>
        <w:t>określonych</w:t>
      </w:r>
      <w:r>
        <w:t xml:space="preserve"> w drugim postulacie Pana pisma do przepisów ustawy o utrzymaniu </w:t>
      </w:r>
      <w:r>
        <w:t>czystości</w:t>
      </w:r>
      <w:r>
        <w:t xml:space="preserve"> i </w:t>
      </w:r>
      <w:r>
        <w:t>porządku</w:t>
      </w:r>
      <w:r>
        <w:t xml:space="preserve"> w gminach.</w:t>
      </w:r>
    </w:p>
    <w:p w14:paraId="4DFE7CAA" w14:textId="77777777" w:rsidR="0062036B" w:rsidRDefault="009B4519">
      <w:pPr>
        <w:ind w:left="-5"/>
      </w:pPr>
      <w:r>
        <w:t>Z wyrazami szacunku</w:t>
      </w:r>
    </w:p>
    <w:p w14:paraId="37016B10" w14:textId="77777777" w:rsidR="0062036B" w:rsidRDefault="009B4519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        </w:t>
      </w:r>
    </w:p>
    <w:p w14:paraId="4C750E77" w14:textId="77777777" w:rsidR="0062036B" w:rsidRDefault="009B4519">
      <w:pPr>
        <w:spacing w:after="0" w:line="259" w:lineRule="auto"/>
        <w:ind w:left="0" w:firstLine="0"/>
        <w:jc w:val="left"/>
      </w:pPr>
      <w:r>
        <w:t xml:space="preserve">        </w:t>
      </w:r>
    </w:p>
    <w:p w14:paraId="41B8DA46" w14:textId="77777777" w:rsidR="0062036B" w:rsidRDefault="009B4519">
      <w:pPr>
        <w:spacing w:after="0" w:line="259" w:lineRule="auto"/>
        <w:ind w:left="0" w:firstLine="0"/>
        <w:jc w:val="left"/>
      </w:pPr>
      <w:r>
        <w:t xml:space="preserve">        </w:t>
      </w:r>
      <w:r>
        <w:tab/>
        <w:t xml:space="preserve">                </w:t>
      </w:r>
      <w:r>
        <w:tab/>
        <w:t xml:space="preserve">      </w:t>
      </w:r>
      <w:r>
        <w:tab/>
        <w:t xml:space="preserve"> </w:t>
      </w:r>
    </w:p>
    <w:p w14:paraId="6B9A909C" w14:textId="77777777" w:rsidR="0062036B" w:rsidRDefault="009B4519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        </w:t>
      </w:r>
      <w:r>
        <w:tab/>
        <w:t xml:space="preserve">      </w:t>
      </w:r>
      <w:r>
        <w:tab/>
        <w:t xml:space="preserve">            </w:t>
      </w:r>
      <w:r>
        <w:tab/>
        <w:t xml:space="preserve">    </w:t>
      </w:r>
    </w:p>
    <w:p w14:paraId="23AAA111" w14:textId="77777777" w:rsidR="0062036B" w:rsidRDefault="009B4519">
      <w:pPr>
        <w:spacing w:after="0" w:line="259" w:lineRule="auto"/>
        <w:ind w:left="0" w:firstLine="0"/>
        <w:jc w:val="left"/>
      </w:pPr>
      <w:r>
        <w:t xml:space="preserve">                    </w:t>
      </w:r>
      <w:r>
        <w:tab/>
        <w:t xml:space="preserve">  </w:t>
      </w:r>
    </w:p>
    <w:sectPr w:rsidR="0062036B">
      <w:footnotePr>
        <w:numRestart w:val="eachPage"/>
      </w:footnotePr>
      <w:pgSz w:w="11906" w:h="16838"/>
      <w:pgMar w:top="2113" w:right="1985" w:bottom="978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D668F" w14:textId="77777777" w:rsidR="009B4519" w:rsidRDefault="009B4519">
      <w:pPr>
        <w:spacing w:after="0" w:line="240" w:lineRule="auto"/>
      </w:pPr>
      <w:r>
        <w:separator/>
      </w:r>
    </w:p>
  </w:endnote>
  <w:endnote w:type="continuationSeparator" w:id="0">
    <w:p w14:paraId="73E8F713" w14:textId="77777777" w:rsidR="009B4519" w:rsidRDefault="009B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9ED88" w14:textId="77777777" w:rsidR="0062036B" w:rsidRDefault="009B4519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6CA8D624" w14:textId="77777777" w:rsidR="0062036B" w:rsidRDefault="009B4519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794925B4" w14:textId="77777777" w:rsidR="0062036B" w:rsidRDefault="009B4519">
      <w:pPr>
        <w:pStyle w:val="footnotedescription"/>
      </w:pPr>
      <w:r>
        <w:rPr>
          <w:rStyle w:val="footnotemark"/>
        </w:rPr>
        <w:footnoteRef/>
      </w:r>
      <w:r>
        <w:t xml:space="preserve"> Art. 6r ust. 2 ustawy o utrzymaniu </w:t>
      </w:r>
      <w:r>
        <w:t>czystości</w:t>
      </w:r>
      <w:r>
        <w:t xml:space="preserve"> i </w:t>
      </w:r>
      <w:r>
        <w:t>porządku</w:t>
      </w:r>
      <w:r>
        <w:t xml:space="preserve"> w gminach.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36B"/>
    <w:rsid w:val="0062036B"/>
    <w:rsid w:val="009B4519"/>
    <w:rsid w:val="00C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AC3D"/>
  <w15:docId w15:val="{2771ADEE-8680-492B-B1AA-A4676325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90" w:line="250" w:lineRule="auto"/>
      <w:ind w:left="10" w:hanging="10"/>
      <w:jc w:val="both"/>
    </w:pPr>
    <w:rPr>
      <w:rFonts w:ascii="Lato" w:eastAsia="Lato" w:hAnsi="Lato" w:cs="Lato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</w:pPr>
    <w:rPr>
      <w:rFonts w:ascii="Lato" w:eastAsia="Lato" w:hAnsi="Lato" w:cs="Lato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color w:val="000000"/>
      <w:sz w:val="20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Orlińska Sylwia</dc:creator>
  <cp:keywords>PL, KOLOR</cp:keywords>
  <cp:lastModifiedBy>Orlińska Sylwia</cp:lastModifiedBy>
  <cp:revision>2</cp:revision>
  <dcterms:created xsi:type="dcterms:W3CDTF">2024-07-03T08:25:00Z</dcterms:created>
  <dcterms:modified xsi:type="dcterms:W3CDTF">2024-07-03T08:25:00Z</dcterms:modified>
</cp:coreProperties>
</file>