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20A72" w14:textId="77777777" w:rsidR="008E36D7" w:rsidRDefault="0001193A">
      <w:pPr>
        <w:spacing w:after="0" w:line="259" w:lineRule="auto"/>
        <w:ind w:left="0" w:right="0" w:firstLine="0"/>
        <w:jc w:val="left"/>
      </w:pPr>
      <w:r>
        <w:rPr>
          <w:sz w:val="22"/>
        </w:rPr>
        <w:t xml:space="preserve"> </w:t>
      </w:r>
    </w:p>
    <w:p w14:paraId="4F77AF60" w14:textId="77777777" w:rsidR="008E36D7" w:rsidRDefault="0001193A">
      <w:pPr>
        <w:spacing w:after="123" w:line="259" w:lineRule="auto"/>
        <w:ind w:left="0" w:right="46" w:firstLine="0"/>
        <w:jc w:val="right"/>
      </w:pPr>
      <w:r>
        <w:t xml:space="preserve">Warszawa, dnia 16-04-2024 r. </w:t>
      </w:r>
    </w:p>
    <w:p w14:paraId="3D8FC84C" w14:textId="77777777" w:rsidR="008E36D7" w:rsidRDefault="0001193A">
      <w:pPr>
        <w:spacing w:after="123" w:line="259" w:lineRule="auto"/>
        <w:ind w:left="0" w:right="0" w:firstLine="0"/>
        <w:jc w:val="left"/>
      </w:pPr>
      <w:r>
        <w:rPr>
          <w:b/>
          <w:color w:val="666666"/>
        </w:rPr>
        <w:t xml:space="preserve">PPL.40.000002.2024 </w:t>
      </w:r>
    </w:p>
    <w:p w14:paraId="5003DDF4" w14:textId="77777777" w:rsidR="008E36D7" w:rsidRDefault="0001193A">
      <w:pPr>
        <w:pStyle w:val="Nagwek1"/>
      </w:pPr>
      <w:r>
        <w:t xml:space="preserve">Pani </w:t>
      </w:r>
      <w:r>
        <w:t xml:space="preserve"> </w:t>
      </w:r>
    </w:p>
    <w:p w14:paraId="3F66CB62" w14:textId="77777777" w:rsidR="008E36D7" w:rsidRDefault="0001193A">
      <w:pPr>
        <w:spacing w:after="1" w:line="259" w:lineRule="auto"/>
        <w:ind w:left="5667" w:right="239" w:hanging="10"/>
        <w:jc w:val="left"/>
      </w:pPr>
      <w:r>
        <w:rPr>
          <w:b/>
        </w:rPr>
        <w:t xml:space="preserve">Paulina </w:t>
      </w:r>
      <w:proofErr w:type="spellStart"/>
      <w:r>
        <w:rPr>
          <w:b/>
        </w:rPr>
        <w:t>Hennig</w:t>
      </w:r>
      <w:proofErr w:type="spellEnd"/>
      <w:r>
        <w:rPr>
          <w:b/>
        </w:rPr>
        <w:t xml:space="preserve"> - Kloska Minister Klimatu i Środowiska ul. Wawelska 52/54 </w:t>
      </w:r>
    </w:p>
    <w:p w14:paraId="65953E19" w14:textId="77777777" w:rsidR="008E36D7" w:rsidRDefault="0001193A">
      <w:pPr>
        <w:spacing w:after="1" w:line="259" w:lineRule="auto"/>
        <w:ind w:left="5667" w:right="239" w:hanging="10"/>
        <w:jc w:val="left"/>
      </w:pPr>
      <w:r>
        <w:rPr>
          <w:b/>
        </w:rPr>
        <w:t xml:space="preserve">00-922 Warszawa </w:t>
      </w:r>
    </w:p>
    <w:p w14:paraId="297C3A92" w14:textId="77777777" w:rsidR="008E36D7" w:rsidRDefault="0001193A">
      <w:pPr>
        <w:spacing w:after="123" w:line="259" w:lineRule="auto"/>
        <w:ind w:left="0" w:right="0" w:firstLine="0"/>
        <w:jc w:val="left"/>
      </w:pPr>
      <w:r>
        <w:t xml:space="preserve"> </w:t>
      </w:r>
    </w:p>
    <w:p w14:paraId="1DDFC5B0" w14:textId="77777777" w:rsidR="008E36D7" w:rsidRDefault="0001193A">
      <w:pPr>
        <w:spacing w:after="123" w:line="259" w:lineRule="auto"/>
        <w:ind w:left="142" w:right="0" w:firstLine="0"/>
        <w:jc w:val="left"/>
      </w:pPr>
      <w:r>
        <w:t xml:space="preserve"> </w:t>
      </w:r>
    </w:p>
    <w:p w14:paraId="2CAFB1D4" w14:textId="77777777" w:rsidR="008E36D7" w:rsidRDefault="0001193A">
      <w:pPr>
        <w:spacing w:after="123" w:line="259" w:lineRule="auto"/>
        <w:ind w:left="137" w:right="0" w:hanging="10"/>
        <w:jc w:val="left"/>
      </w:pPr>
      <w:r>
        <w:t xml:space="preserve">dotyczy: </w:t>
      </w:r>
      <w:r>
        <w:rPr>
          <w:b/>
          <w:i/>
        </w:rPr>
        <w:t xml:space="preserve">projektu nowelizacji ustawy o zmianie ustawy o systemie monitorowania  </w:t>
      </w:r>
    </w:p>
    <w:p w14:paraId="6B45D107" w14:textId="77777777" w:rsidR="008E36D7" w:rsidRDefault="0001193A">
      <w:pPr>
        <w:spacing w:after="123" w:line="259" w:lineRule="auto"/>
        <w:ind w:left="1004" w:right="0" w:hanging="10"/>
        <w:jc w:val="left"/>
      </w:pPr>
      <w:r>
        <w:rPr>
          <w:b/>
          <w:i/>
        </w:rPr>
        <w:t xml:space="preserve">i kontrolowania jakości paliw </w:t>
      </w:r>
    </w:p>
    <w:p w14:paraId="7070F087" w14:textId="77777777" w:rsidR="008E36D7" w:rsidRDefault="0001193A">
      <w:pPr>
        <w:spacing w:after="123" w:line="259" w:lineRule="auto"/>
        <w:ind w:left="0" w:right="0" w:firstLine="0"/>
        <w:jc w:val="left"/>
      </w:pPr>
      <w:r>
        <w:t xml:space="preserve"> </w:t>
      </w:r>
    </w:p>
    <w:p w14:paraId="37C855F7" w14:textId="77777777" w:rsidR="008E36D7" w:rsidRDefault="0001193A">
      <w:pPr>
        <w:spacing w:after="1" w:line="360" w:lineRule="auto"/>
        <w:ind w:left="-15" w:right="38" w:firstLine="0"/>
      </w:pPr>
      <w:r>
        <w:rPr>
          <w:noProof/>
        </w:rPr>
        <w:drawing>
          <wp:anchor distT="0" distB="0" distL="114300" distR="114300" simplePos="0" relativeHeight="251658240" behindDoc="0" locked="0" layoutInCell="1" allowOverlap="0" wp14:anchorId="7AE585F5" wp14:editId="5250FBD8">
            <wp:simplePos x="0" y="0"/>
            <wp:positionH relativeFrom="page">
              <wp:posOffset>0</wp:posOffset>
            </wp:positionH>
            <wp:positionV relativeFrom="page">
              <wp:posOffset>9077606</wp:posOffset>
            </wp:positionV>
            <wp:extent cx="6537961" cy="886968"/>
            <wp:effectExtent l="0" t="0" r="0" b="0"/>
            <wp:wrapTopAndBottom/>
            <wp:docPr id="7708" name="Picture 7708"/>
            <wp:cNvGraphicFramePr/>
            <a:graphic xmlns:a="http://schemas.openxmlformats.org/drawingml/2006/main">
              <a:graphicData uri="http://schemas.openxmlformats.org/drawingml/2006/picture">
                <pic:pic xmlns:pic="http://schemas.openxmlformats.org/drawingml/2006/picture">
                  <pic:nvPicPr>
                    <pic:cNvPr id="7708" name="Picture 7708"/>
                    <pic:cNvPicPr/>
                  </pic:nvPicPr>
                  <pic:blipFill>
                    <a:blip r:embed="rId5"/>
                    <a:stretch>
                      <a:fillRect/>
                    </a:stretch>
                  </pic:blipFill>
                  <pic:spPr>
                    <a:xfrm>
                      <a:off x="0" y="0"/>
                      <a:ext cx="6537961" cy="886968"/>
                    </a:xfrm>
                    <a:prstGeom prst="rect">
                      <a:avLst/>
                    </a:prstGeom>
                  </pic:spPr>
                </pic:pic>
              </a:graphicData>
            </a:graphic>
          </wp:anchor>
        </w:drawing>
      </w:r>
      <w:r>
        <w:rPr>
          <w:noProof/>
        </w:rPr>
        <w:drawing>
          <wp:anchor distT="0" distB="0" distL="114300" distR="114300" simplePos="0" relativeHeight="251659264" behindDoc="0" locked="0" layoutInCell="1" allowOverlap="0" wp14:anchorId="07DA606B" wp14:editId="5FB19F44">
            <wp:simplePos x="0" y="0"/>
            <wp:positionH relativeFrom="page">
              <wp:posOffset>0</wp:posOffset>
            </wp:positionH>
            <wp:positionV relativeFrom="page">
              <wp:posOffset>0</wp:posOffset>
            </wp:positionV>
            <wp:extent cx="6537961" cy="1103376"/>
            <wp:effectExtent l="0" t="0" r="0" b="0"/>
            <wp:wrapTopAndBottom/>
            <wp:docPr id="7709" name="Picture 7709"/>
            <wp:cNvGraphicFramePr/>
            <a:graphic xmlns:a="http://schemas.openxmlformats.org/drawingml/2006/main">
              <a:graphicData uri="http://schemas.openxmlformats.org/drawingml/2006/picture">
                <pic:pic xmlns:pic="http://schemas.openxmlformats.org/drawingml/2006/picture">
                  <pic:nvPicPr>
                    <pic:cNvPr id="7709" name="Picture 7709"/>
                    <pic:cNvPicPr/>
                  </pic:nvPicPr>
                  <pic:blipFill>
                    <a:blip r:embed="rId6"/>
                    <a:stretch>
                      <a:fillRect/>
                    </a:stretch>
                  </pic:blipFill>
                  <pic:spPr>
                    <a:xfrm>
                      <a:off x="0" y="0"/>
                      <a:ext cx="6537961" cy="1103376"/>
                    </a:xfrm>
                    <a:prstGeom prst="rect">
                      <a:avLst/>
                    </a:prstGeom>
                  </pic:spPr>
                </pic:pic>
              </a:graphicData>
            </a:graphic>
          </wp:anchor>
        </w:drawing>
      </w:r>
      <w:r>
        <w:rPr>
          <w:i/>
        </w:rPr>
        <w:t xml:space="preserve">Szanowna Pani Minister, </w:t>
      </w:r>
      <w:r>
        <w:t xml:space="preserve">w załączeniu przekazujemy </w:t>
      </w:r>
      <w:r>
        <w:rPr>
          <w:b/>
          <w:i/>
        </w:rPr>
        <w:t>projekt ustawy o zmianie ustawy o systemie monitorowania i kontrolowania jakości paliw</w:t>
      </w:r>
      <w:r>
        <w:t xml:space="preserve"> z uprzejmą prośbą o dalsze procedowanie przedmiotowego projektu ustawy.  </w:t>
      </w:r>
    </w:p>
    <w:p w14:paraId="1B96C65D" w14:textId="77777777" w:rsidR="008E36D7" w:rsidRDefault="0001193A">
      <w:pPr>
        <w:spacing w:after="1" w:line="360" w:lineRule="auto"/>
        <w:ind w:left="-15" w:right="38" w:firstLine="698"/>
      </w:pPr>
      <w:r>
        <w:t>Proponowane regulacje mają na celu określenie jednolitych zasad dokumentowania jakości paliw ciekłych poprzez wprowadzenie obowiązku wystawiania świadectwa jakości przez przedsiębiorcę w momencie wprowadzenia paliwa ciekłego do obrotu oraz określenie minimalnego zakresu parametrów fizykochemicznych zamieszczanych na świadectwie jakości, których wartości uzyskano na podstawie badań laboratoryjnych próbek reprezentatywnych dla paliwa ciekłego wprowadzanego do obrotu. Zaproponowana instytucja świadectwa jakośc</w:t>
      </w:r>
      <w:r>
        <w:t xml:space="preserve">i paliw ciekłych jest analogiczną regulacją, jak w przypadku świadectwa dla paliw stałych wprowadzonego </w:t>
      </w:r>
      <w:r>
        <w:rPr>
          <w:i/>
        </w:rPr>
        <w:t xml:space="preserve">ustawą z dnia 5 lipca 2018 r. o zmianie ustawy o systemie monitorowania  i kontrolowania jakości paliw oraz ustawy o Krajowej Administracji Skarbowej (Dz. U.  poz. 1654, z </w:t>
      </w:r>
      <w:proofErr w:type="spellStart"/>
      <w:r>
        <w:rPr>
          <w:i/>
        </w:rPr>
        <w:t>późn</w:t>
      </w:r>
      <w:proofErr w:type="spellEnd"/>
      <w:r>
        <w:rPr>
          <w:i/>
        </w:rPr>
        <w:t>. zm.)</w:t>
      </w:r>
      <w:r>
        <w:t xml:space="preserve">. </w:t>
      </w:r>
    </w:p>
    <w:p w14:paraId="0244AB44" w14:textId="77777777" w:rsidR="008E36D7" w:rsidRDefault="0001193A">
      <w:pPr>
        <w:spacing w:after="1" w:line="360" w:lineRule="auto"/>
        <w:ind w:left="-15" w:right="38" w:firstLine="698"/>
      </w:pPr>
      <w:r>
        <w:t xml:space="preserve">Branżowym standardem jest, że jakość wprowadzanego do obrotu paliwa potwierdza właściciel albo zarządca infrastruktury magazynowej, na podstawie świadectwa jakości generowanego do każdej partii wydawanego paliwa. Ze względu na brak regulacji, zakres informacji oraz sposób ich prezentacji na świadectwie jakości zależy wyłącznie od wystawcy </w:t>
      </w:r>
      <w:r>
        <w:lastRenderedPageBreak/>
        <w:t>dokumentu, co stwarza pole do nadużyć i może rodzić wątpliwości co do rzetelności i miarodajności przedstawianych na dokumencie parametrów fizykochemicznych względem stanu faktycznego. W szczególności niedopuszczalną jest sytuacja, w której prezentowane na dokumencie parametry fizykochemiczne wprowadzanego do obrotu paliwa ciekłego nie mają odwzorowania w rzeczywistych wynikach badań próbek pobranych ze zbiornika przed zwolnieniem paliwa do dystrybucji lub alternatywnie na świadectwie jakości nie zawarto in</w:t>
      </w:r>
      <w:r>
        <w:t xml:space="preserve">formacji o pochodzeniu wyników spisanych z dokumentu źródłowego dostawcy. </w:t>
      </w:r>
    </w:p>
    <w:p w14:paraId="1F6AFC23" w14:textId="77777777" w:rsidR="008E36D7" w:rsidRDefault="0001193A">
      <w:pPr>
        <w:spacing w:after="1" w:line="360" w:lineRule="auto"/>
        <w:ind w:left="-15" w:right="38" w:firstLine="698"/>
      </w:pPr>
      <w:r>
        <w:rPr>
          <w:noProof/>
        </w:rPr>
        <w:drawing>
          <wp:anchor distT="0" distB="0" distL="114300" distR="114300" simplePos="0" relativeHeight="251660288" behindDoc="0" locked="0" layoutInCell="1" allowOverlap="0" wp14:anchorId="3C37EEF6" wp14:editId="48D7257D">
            <wp:simplePos x="0" y="0"/>
            <wp:positionH relativeFrom="page">
              <wp:posOffset>0</wp:posOffset>
            </wp:positionH>
            <wp:positionV relativeFrom="page">
              <wp:posOffset>9077606</wp:posOffset>
            </wp:positionV>
            <wp:extent cx="6537961" cy="886968"/>
            <wp:effectExtent l="0" t="0" r="0" b="0"/>
            <wp:wrapTopAndBottom/>
            <wp:docPr id="7710" name="Picture 7710"/>
            <wp:cNvGraphicFramePr/>
            <a:graphic xmlns:a="http://schemas.openxmlformats.org/drawingml/2006/main">
              <a:graphicData uri="http://schemas.openxmlformats.org/drawingml/2006/picture">
                <pic:pic xmlns:pic="http://schemas.openxmlformats.org/drawingml/2006/picture">
                  <pic:nvPicPr>
                    <pic:cNvPr id="7710" name="Picture 7710"/>
                    <pic:cNvPicPr/>
                  </pic:nvPicPr>
                  <pic:blipFill>
                    <a:blip r:embed="rId5"/>
                    <a:stretch>
                      <a:fillRect/>
                    </a:stretch>
                  </pic:blipFill>
                  <pic:spPr>
                    <a:xfrm>
                      <a:off x="0" y="0"/>
                      <a:ext cx="6537961" cy="886968"/>
                    </a:xfrm>
                    <a:prstGeom prst="rect">
                      <a:avLst/>
                    </a:prstGeom>
                  </pic:spPr>
                </pic:pic>
              </a:graphicData>
            </a:graphic>
          </wp:anchor>
        </w:drawing>
      </w:r>
      <w:r>
        <w:rPr>
          <w:noProof/>
        </w:rPr>
        <w:drawing>
          <wp:anchor distT="0" distB="0" distL="114300" distR="114300" simplePos="0" relativeHeight="251661312" behindDoc="0" locked="0" layoutInCell="1" allowOverlap="0" wp14:anchorId="00C60940" wp14:editId="485D91C0">
            <wp:simplePos x="0" y="0"/>
            <wp:positionH relativeFrom="page">
              <wp:posOffset>0</wp:posOffset>
            </wp:positionH>
            <wp:positionV relativeFrom="page">
              <wp:posOffset>0</wp:posOffset>
            </wp:positionV>
            <wp:extent cx="6537961" cy="1103376"/>
            <wp:effectExtent l="0" t="0" r="0" b="0"/>
            <wp:wrapTopAndBottom/>
            <wp:docPr id="7711" name="Picture 7711"/>
            <wp:cNvGraphicFramePr/>
            <a:graphic xmlns:a="http://schemas.openxmlformats.org/drawingml/2006/main">
              <a:graphicData uri="http://schemas.openxmlformats.org/drawingml/2006/picture">
                <pic:pic xmlns:pic="http://schemas.openxmlformats.org/drawingml/2006/picture">
                  <pic:nvPicPr>
                    <pic:cNvPr id="7711" name="Picture 7711"/>
                    <pic:cNvPicPr/>
                  </pic:nvPicPr>
                  <pic:blipFill>
                    <a:blip r:embed="rId6"/>
                    <a:stretch>
                      <a:fillRect/>
                    </a:stretch>
                  </pic:blipFill>
                  <pic:spPr>
                    <a:xfrm>
                      <a:off x="0" y="0"/>
                      <a:ext cx="6537961" cy="1103376"/>
                    </a:xfrm>
                    <a:prstGeom prst="rect">
                      <a:avLst/>
                    </a:prstGeom>
                  </pic:spPr>
                </pic:pic>
              </a:graphicData>
            </a:graphic>
          </wp:anchor>
        </w:drawing>
      </w:r>
      <w:r>
        <w:t xml:space="preserve">Wprowadzenie wymagania posługiwania się w obrocie paliw ciekłych świadectwami jakości paliw umożliwi ponadto każdemu podmiotowi, który nabywa paliwo ciekłe, uzyskanie rzetelnej i wyczerpującej informacji na temat produktu. Wprowadzenie świadectwa jakości paliwa ciekłego powinno również usprawnić pracę organów kontrolujących obrót paliwami. </w:t>
      </w:r>
    </w:p>
    <w:p w14:paraId="6657998A" w14:textId="77777777" w:rsidR="008E36D7" w:rsidRDefault="0001193A">
      <w:pPr>
        <w:spacing w:after="199" w:line="360" w:lineRule="auto"/>
        <w:ind w:left="-15" w:right="38" w:firstLine="698"/>
      </w:pPr>
      <w:r>
        <w:rPr>
          <w:noProof/>
        </w:rPr>
        <w:drawing>
          <wp:anchor distT="0" distB="0" distL="114300" distR="114300" simplePos="0" relativeHeight="251662336" behindDoc="0" locked="0" layoutInCell="1" allowOverlap="0" wp14:anchorId="48AD40C0" wp14:editId="3999EE6D">
            <wp:simplePos x="0" y="0"/>
            <wp:positionH relativeFrom="column">
              <wp:posOffset>-61264</wp:posOffset>
            </wp:positionH>
            <wp:positionV relativeFrom="paragraph">
              <wp:posOffset>547192</wp:posOffset>
            </wp:positionV>
            <wp:extent cx="6087669" cy="474167"/>
            <wp:effectExtent l="0" t="0" r="0" b="0"/>
            <wp:wrapSquare wrapText="bothSides"/>
            <wp:docPr id="285" name="Pictu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7"/>
                    <a:stretch>
                      <a:fillRect/>
                    </a:stretch>
                  </pic:blipFill>
                  <pic:spPr>
                    <a:xfrm>
                      <a:off x="0" y="0"/>
                      <a:ext cx="6087669" cy="474167"/>
                    </a:xfrm>
                    <a:prstGeom prst="rect">
                      <a:avLst/>
                    </a:prstGeom>
                  </pic:spPr>
                </pic:pic>
              </a:graphicData>
            </a:graphic>
          </wp:anchor>
        </w:drawing>
      </w:r>
      <w:r>
        <w:t xml:space="preserve">Jednocześnie deklarujemy pełną gotowość do współpracy w procedowaniu przedmiotowego projektu ustawy. Osobą kontaktową w przedmiotowej sprawie jest Pan </w:t>
      </w:r>
    </w:p>
    <w:p w14:paraId="49AA3745" w14:textId="77777777" w:rsidR="008E36D7" w:rsidRDefault="0001193A">
      <w:pPr>
        <w:spacing w:after="125" w:line="259" w:lineRule="auto"/>
        <w:ind w:left="708" w:right="38" w:firstLine="0"/>
      </w:pPr>
      <w:r>
        <w:t xml:space="preserve">W razie pytań pozostajemy do dyspozycji. </w:t>
      </w:r>
    </w:p>
    <w:p w14:paraId="221740BD" w14:textId="77777777" w:rsidR="008E36D7" w:rsidRDefault="0001193A">
      <w:pPr>
        <w:spacing w:after="0" w:line="259" w:lineRule="auto"/>
        <w:ind w:left="0" w:right="580" w:firstLine="0"/>
        <w:jc w:val="right"/>
      </w:pPr>
      <w:r>
        <w:rPr>
          <w:i/>
        </w:rPr>
        <w:t xml:space="preserve">Z poważaniem, </w:t>
      </w:r>
    </w:p>
    <w:p w14:paraId="711B50FF" w14:textId="77777777" w:rsidR="008E36D7" w:rsidRDefault="0001193A">
      <w:pPr>
        <w:spacing w:after="469" w:line="259" w:lineRule="auto"/>
        <w:ind w:left="5943" w:right="-648" w:firstLine="0"/>
        <w:jc w:val="left"/>
      </w:pPr>
      <w:r>
        <w:rPr>
          <w:noProof/>
        </w:rPr>
        <w:drawing>
          <wp:inline distT="0" distB="0" distL="0" distR="0" wp14:anchorId="615C9BEB" wp14:editId="38D67BC9">
            <wp:extent cx="2430069" cy="1083767"/>
            <wp:effectExtent l="0" t="0" r="0" b="0"/>
            <wp:docPr id="287" name="Picture 287"/>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8"/>
                    <a:stretch>
                      <a:fillRect/>
                    </a:stretch>
                  </pic:blipFill>
                  <pic:spPr>
                    <a:xfrm>
                      <a:off x="0" y="0"/>
                      <a:ext cx="2430069" cy="1083767"/>
                    </a:xfrm>
                    <a:prstGeom prst="rect">
                      <a:avLst/>
                    </a:prstGeom>
                  </pic:spPr>
                </pic:pic>
              </a:graphicData>
            </a:graphic>
          </wp:inline>
        </w:drawing>
      </w:r>
    </w:p>
    <w:p w14:paraId="3FFF4BA3" w14:textId="77777777" w:rsidR="008E36D7" w:rsidRDefault="0001193A">
      <w:pPr>
        <w:pStyle w:val="Nagwek2"/>
      </w:pPr>
      <w:r>
        <w:t>Załącznik</w:t>
      </w:r>
      <w:r>
        <w:rPr>
          <w:u w:val="none"/>
        </w:rPr>
        <w:t xml:space="preserve"> </w:t>
      </w:r>
    </w:p>
    <w:p w14:paraId="40056F93" w14:textId="77777777" w:rsidR="008E36D7" w:rsidRDefault="0001193A">
      <w:pPr>
        <w:spacing w:after="0" w:line="259" w:lineRule="auto"/>
        <w:ind w:left="0" w:right="0" w:firstLine="0"/>
        <w:jc w:val="left"/>
      </w:pPr>
      <w:r>
        <w:rPr>
          <w:sz w:val="20"/>
        </w:rPr>
        <w:t xml:space="preserve">Projekt ustawy wraz z uzasadnieniem i OSR. </w:t>
      </w:r>
    </w:p>
    <w:p w14:paraId="2B963F8F" w14:textId="77777777" w:rsidR="008E36D7" w:rsidRDefault="0001193A">
      <w:pPr>
        <w:spacing w:after="126" w:line="259" w:lineRule="auto"/>
        <w:ind w:left="0" w:right="46" w:firstLine="0"/>
        <w:jc w:val="right"/>
      </w:pPr>
      <w:r>
        <w:t xml:space="preserve">Projekt z dnia 16.04.2024 r. </w:t>
      </w:r>
    </w:p>
    <w:p w14:paraId="3E110CAB" w14:textId="77777777" w:rsidR="008E36D7" w:rsidRDefault="0001193A">
      <w:pPr>
        <w:spacing w:after="123" w:line="259" w:lineRule="auto"/>
        <w:ind w:left="0" w:right="0" w:firstLine="0"/>
        <w:jc w:val="left"/>
      </w:pPr>
      <w:r>
        <w:t xml:space="preserve"> </w:t>
      </w:r>
    </w:p>
    <w:p w14:paraId="2F1FCD0C" w14:textId="77777777" w:rsidR="008E36D7" w:rsidRDefault="0001193A">
      <w:pPr>
        <w:spacing w:after="124" w:line="259" w:lineRule="auto"/>
        <w:ind w:left="10" w:right="48" w:hanging="10"/>
        <w:jc w:val="center"/>
      </w:pPr>
      <w:r>
        <w:rPr>
          <w:b/>
        </w:rPr>
        <w:t xml:space="preserve">USTAWA </w:t>
      </w:r>
    </w:p>
    <w:p w14:paraId="7209FF6D" w14:textId="77777777" w:rsidR="008E36D7" w:rsidRDefault="0001193A">
      <w:pPr>
        <w:spacing w:after="123" w:line="259" w:lineRule="auto"/>
        <w:ind w:left="0" w:firstLine="0"/>
        <w:jc w:val="center"/>
      </w:pPr>
      <w:r>
        <w:t>z dnia ……………………………………….</w:t>
      </w:r>
      <w:r>
        <w:t xml:space="preserve"> </w:t>
      </w:r>
    </w:p>
    <w:p w14:paraId="0498F00A" w14:textId="77777777" w:rsidR="008E36D7" w:rsidRDefault="0001193A">
      <w:pPr>
        <w:spacing w:after="123" w:line="259" w:lineRule="auto"/>
        <w:ind w:left="0" w:right="58" w:firstLine="0"/>
        <w:jc w:val="center"/>
      </w:pPr>
      <w:r>
        <w:rPr>
          <w:b/>
        </w:rPr>
        <w:t xml:space="preserve">o zmianie ustawy o systemie monitorowania i kontrolowania jakości paliw </w:t>
      </w:r>
    </w:p>
    <w:p w14:paraId="7A3D516C" w14:textId="77777777" w:rsidR="008E36D7" w:rsidRDefault="0001193A">
      <w:pPr>
        <w:spacing w:after="123" w:line="259" w:lineRule="auto"/>
        <w:ind w:left="0" w:right="0" w:firstLine="0"/>
        <w:jc w:val="left"/>
      </w:pPr>
      <w:r>
        <w:t xml:space="preserve"> </w:t>
      </w:r>
    </w:p>
    <w:p w14:paraId="1D69995E" w14:textId="77777777" w:rsidR="008E36D7" w:rsidRDefault="0001193A">
      <w:pPr>
        <w:spacing w:after="37" w:line="360" w:lineRule="auto"/>
        <w:ind w:left="-15" w:right="38" w:firstLine="708"/>
      </w:pPr>
      <w:r>
        <w:rPr>
          <w:b/>
        </w:rPr>
        <w:lastRenderedPageBreak/>
        <w:t>Art. 1.</w:t>
      </w:r>
      <w:r>
        <w:t xml:space="preserve"> W ustawie z dnia 25 sierpnia 2006 r. o systemie monitorowania i kontrolowania </w:t>
      </w:r>
      <w:r>
        <w:t xml:space="preserve">jakości paliw (Dz. U. z </w:t>
      </w:r>
      <w:r>
        <w:t xml:space="preserve">2023 r. poz. 846 i 1681) </w:t>
      </w:r>
      <w:r>
        <w:t>wprowadza się następujące zmiany</w:t>
      </w:r>
      <w:r>
        <w:t xml:space="preserve">: </w:t>
      </w:r>
    </w:p>
    <w:p w14:paraId="772D6BCF" w14:textId="77777777" w:rsidR="008E36D7" w:rsidRDefault="0001193A">
      <w:pPr>
        <w:spacing w:after="123" w:line="259" w:lineRule="auto"/>
        <w:ind w:left="-15" w:right="38" w:firstLine="0"/>
      </w:pPr>
      <w:r>
        <w:t>1)</w:t>
      </w:r>
      <w:r>
        <w:rPr>
          <w:rFonts w:ascii="Arial" w:eastAsia="Arial" w:hAnsi="Arial" w:cs="Arial"/>
        </w:rPr>
        <w:t xml:space="preserve"> </w:t>
      </w:r>
      <w:r>
        <w:t>w art. 3 dodaje się ust. 5</w:t>
      </w:r>
      <w:r>
        <w:t xml:space="preserve">-8 w brzmieniu: </w:t>
      </w:r>
    </w:p>
    <w:p w14:paraId="248DDB0A" w14:textId="77777777" w:rsidR="008E36D7" w:rsidRDefault="0001193A">
      <w:pPr>
        <w:ind w:left="427" w:right="38" w:firstLine="566"/>
      </w:pPr>
      <w:r>
        <w:t>„5. Przedsiębiorca w momencie wprowadzania do obrotu paliwa ciekłego</w:t>
      </w:r>
      <w:r>
        <w:t xml:space="preserve">  w rozumieniu w art. 2 ust. 1 pkt 4 </w:t>
      </w:r>
      <w:r>
        <w:t>wystawia dokument potwierdzający spełnienie przez paliwo ciekłe wymagań jakościowych określonych w przepisach wydanych na podstawie ust. 2 pkt 1, zwany dalej „świadectwem jakości paliwa ciekłego”.</w:t>
      </w:r>
      <w:r>
        <w:t xml:space="preserve"> </w:t>
      </w:r>
    </w:p>
    <w:p w14:paraId="7118C567" w14:textId="77777777" w:rsidR="008E36D7" w:rsidRDefault="0001193A">
      <w:pPr>
        <w:numPr>
          <w:ilvl w:val="2"/>
          <w:numId w:val="2"/>
        </w:numPr>
        <w:ind w:right="38" w:firstLine="566"/>
      </w:pPr>
      <w:r>
        <w:t xml:space="preserve">Kopia </w:t>
      </w:r>
      <w:r>
        <w:t>świadectwa jakości paliwa ciekłego jest przekazywan</w:t>
      </w:r>
      <w:r>
        <w:t xml:space="preserve">a </w:t>
      </w:r>
      <w:r>
        <w:t>każdemu podmiotowi, który nabywa paliwo ciekłe.</w:t>
      </w:r>
      <w:r>
        <w:t xml:space="preserve"> </w:t>
      </w:r>
    </w:p>
    <w:p w14:paraId="5E59F827" w14:textId="77777777" w:rsidR="008E36D7" w:rsidRDefault="0001193A">
      <w:pPr>
        <w:numPr>
          <w:ilvl w:val="2"/>
          <w:numId w:val="2"/>
        </w:numPr>
        <w:ind w:right="38" w:firstLine="566"/>
      </w:pPr>
      <w:r>
        <w:t xml:space="preserve">Świadectwo jakości paliwa ciekłego jest przechowywane przez przedsiębiorcę, </w:t>
      </w:r>
      <w:r>
        <w:t xml:space="preserve"> o </w:t>
      </w:r>
      <w:r>
        <w:t>którym mowa w</w:t>
      </w:r>
      <w:r>
        <w:t xml:space="preserve"> </w:t>
      </w:r>
      <w:r>
        <w:t>ust. 5, przez okres 2 lat, licząc od dnia jego wystawienia.</w:t>
      </w:r>
      <w:r>
        <w:t xml:space="preserve"> </w:t>
      </w:r>
    </w:p>
    <w:p w14:paraId="3C91D433" w14:textId="77777777" w:rsidR="008E36D7" w:rsidRDefault="0001193A">
      <w:pPr>
        <w:numPr>
          <w:ilvl w:val="2"/>
          <w:numId w:val="2"/>
        </w:numPr>
        <w:spacing w:after="160" w:line="259" w:lineRule="auto"/>
        <w:ind w:right="38" w:firstLine="566"/>
      </w:pPr>
      <w:r>
        <w:t>Świadectwo jakości paliwa ciekłego zawiera:</w:t>
      </w:r>
      <w:r>
        <w:t xml:space="preserve"> </w:t>
      </w:r>
    </w:p>
    <w:p w14:paraId="41866ECF" w14:textId="77777777" w:rsidR="008E36D7" w:rsidRDefault="0001193A">
      <w:pPr>
        <w:numPr>
          <w:ilvl w:val="0"/>
          <w:numId w:val="1"/>
        </w:numPr>
        <w:spacing w:after="38"/>
        <w:ind w:right="38" w:hanging="360"/>
      </w:pPr>
      <w:r>
        <w:t xml:space="preserve">oznaczenie przedsiębiorcy wystawiającego świadectwo jakości paliwa ciekłego, jego </w:t>
      </w:r>
      <w:r>
        <w:t xml:space="preserve">siedziby i adresu; </w:t>
      </w:r>
    </w:p>
    <w:p w14:paraId="5D55E393" w14:textId="77777777" w:rsidR="008E36D7" w:rsidRDefault="0001193A">
      <w:pPr>
        <w:numPr>
          <w:ilvl w:val="0"/>
          <w:numId w:val="1"/>
        </w:numPr>
        <w:spacing w:after="36"/>
        <w:ind w:right="38" w:hanging="360"/>
      </w:pPr>
      <w:r>
        <w:t xml:space="preserve">numer identyfikacji podatkowej (NIP) przedsiębiorcy wystawiającego świadectwo jakości paliwa ciekłego oraz numer identyfikacyjny w krajowym rejestrze urzędowym podmiotów gospodarki narodowej (REGON), jeżeli został nadany, albo numer </w:t>
      </w:r>
      <w:r>
        <w:t xml:space="preserve">identyfikacyjny w </w:t>
      </w:r>
      <w:r>
        <w:t>odpowiednim rejestrze państwa obcego;</w:t>
      </w:r>
      <w:r>
        <w:t xml:space="preserve"> </w:t>
      </w:r>
    </w:p>
    <w:p w14:paraId="43085937" w14:textId="77777777" w:rsidR="008E36D7" w:rsidRDefault="0001193A">
      <w:pPr>
        <w:numPr>
          <w:ilvl w:val="0"/>
          <w:numId w:val="1"/>
        </w:numPr>
        <w:spacing w:after="160" w:line="259" w:lineRule="auto"/>
        <w:ind w:right="38" w:hanging="360"/>
      </w:pPr>
      <w:r>
        <w:t>indywidualny numer świadectwa jakości paliwa ciekłego;</w:t>
      </w:r>
      <w:r>
        <w:t xml:space="preserve"> </w:t>
      </w:r>
    </w:p>
    <w:p w14:paraId="32537284" w14:textId="77777777" w:rsidR="008E36D7" w:rsidRDefault="0001193A">
      <w:pPr>
        <w:numPr>
          <w:ilvl w:val="0"/>
          <w:numId w:val="1"/>
        </w:numPr>
        <w:spacing w:after="37"/>
        <w:ind w:right="38" w:hanging="360"/>
      </w:pPr>
      <w:r>
        <w:t>określenie rodzaju paliwa ciekłego, dla którego jest wystawiane świadectwo jakości paliwa ciekłego;</w:t>
      </w:r>
      <w:r>
        <w:t xml:space="preserve"> </w:t>
      </w:r>
    </w:p>
    <w:p w14:paraId="465CFC22" w14:textId="77777777" w:rsidR="008E36D7" w:rsidRDefault="0001193A">
      <w:pPr>
        <w:numPr>
          <w:ilvl w:val="0"/>
          <w:numId w:val="1"/>
        </w:numPr>
        <w:spacing w:after="38"/>
        <w:ind w:right="38" w:hanging="360"/>
      </w:pPr>
      <w:r>
        <w:t xml:space="preserve">wskazanie wartości parametrów paliwa ciekłego, dla którego jest wystawiane świadectwo jakości paliwa ciekłego, określonych w przepisach wydanych na </w:t>
      </w:r>
      <w:r>
        <w:t xml:space="preserve">podstawie ust. 2 pkt 1, wraz z podaniem dla: </w:t>
      </w:r>
    </w:p>
    <w:p w14:paraId="78417772" w14:textId="77777777" w:rsidR="008E36D7" w:rsidRDefault="0001193A">
      <w:pPr>
        <w:numPr>
          <w:ilvl w:val="1"/>
          <w:numId w:val="1"/>
        </w:numPr>
        <w:ind w:right="38" w:hanging="360"/>
      </w:pPr>
      <w:r>
        <w:t xml:space="preserve">benzyn silnikowych stosowanych w szczególności w pojazdach oraz </w:t>
      </w:r>
      <w:r>
        <w:t>rekreacyjnych jedn</w:t>
      </w:r>
      <w:r>
        <w:t xml:space="preserve">ostkach pływających, wyposażonych w silniki z zapłonem </w:t>
      </w:r>
      <w:r>
        <w:t>iskrowym</w:t>
      </w:r>
      <w:r>
        <w:t xml:space="preserve">, wartości parametrów uzyskanych na podstawie badań laboratoryjnych próbki </w:t>
      </w:r>
      <w:r>
        <w:t xml:space="preserve">reprezentatywnej dla </w:t>
      </w:r>
      <w:r>
        <w:t xml:space="preserve">partii paliwa ciekłego </w:t>
      </w:r>
      <w:r>
        <w:t xml:space="preserve">wprowadzonego do obrotu: </w:t>
      </w:r>
    </w:p>
    <w:tbl>
      <w:tblPr>
        <w:tblStyle w:val="TableGrid"/>
        <w:tblW w:w="5690" w:type="dxa"/>
        <w:tblInd w:w="1342" w:type="dxa"/>
        <w:tblCellMar>
          <w:top w:w="34" w:type="dxa"/>
          <w:left w:w="0" w:type="dxa"/>
          <w:bottom w:w="0" w:type="dxa"/>
          <w:right w:w="0" w:type="dxa"/>
        </w:tblCellMar>
        <w:tblLook w:val="04A0" w:firstRow="1" w:lastRow="0" w:firstColumn="1" w:lastColumn="0" w:noHBand="0" w:noVBand="1"/>
      </w:tblPr>
      <w:tblGrid>
        <w:gridCol w:w="360"/>
        <w:gridCol w:w="5330"/>
      </w:tblGrid>
      <w:tr w:rsidR="008E36D7" w14:paraId="7F99C84F" w14:textId="77777777">
        <w:trPr>
          <w:trHeight w:val="366"/>
        </w:trPr>
        <w:tc>
          <w:tcPr>
            <w:tcW w:w="360" w:type="dxa"/>
            <w:tcBorders>
              <w:top w:val="nil"/>
              <w:left w:val="nil"/>
              <w:bottom w:val="nil"/>
              <w:right w:val="nil"/>
            </w:tcBorders>
          </w:tcPr>
          <w:p w14:paraId="02903B1E" w14:textId="77777777" w:rsidR="008E36D7" w:rsidRDefault="0001193A">
            <w:pPr>
              <w:spacing w:after="0" w:line="259" w:lineRule="auto"/>
              <w:ind w:left="2" w:right="0" w:firstLine="0"/>
              <w:jc w:val="left"/>
            </w:pPr>
            <w:r>
              <w:rPr>
                <w:rFonts w:ascii="Segoe UI Symbol" w:eastAsia="Segoe UI Symbol" w:hAnsi="Segoe UI Symbol" w:cs="Segoe UI Symbol"/>
              </w:rPr>
              <w:lastRenderedPageBreak/>
              <w:t>−</w:t>
            </w:r>
            <w:r>
              <w:rPr>
                <w:rFonts w:ascii="Arial" w:eastAsia="Arial" w:hAnsi="Arial" w:cs="Arial"/>
              </w:rPr>
              <w:t xml:space="preserve"> </w:t>
            </w:r>
          </w:p>
        </w:tc>
        <w:tc>
          <w:tcPr>
            <w:tcW w:w="5330" w:type="dxa"/>
            <w:tcBorders>
              <w:top w:val="nil"/>
              <w:left w:val="nil"/>
              <w:bottom w:val="nil"/>
              <w:right w:val="nil"/>
            </w:tcBorders>
          </w:tcPr>
          <w:p w14:paraId="7238942F" w14:textId="77777777" w:rsidR="008E36D7" w:rsidRDefault="0001193A">
            <w:pPr>
              <w:spacing w:after="0" w:line="259" w:lineRule="auto"/>
              <w:ind w:left="0" w:right="0" w:firstLine="0"/>
              <w:jc w:val="left"/>
            </w:pPr>
            <w:r>
              <w:t>gęstość (w temperaturze 15ºC),</w:t>
            </w:r>
            <w:r>
              <w:t xml:space="preserve"> </w:t>
            </w:r>
          </w:p>
        </w:tc>
      </w:tr>
      <w:tr w:rsidR="008E36D7" w14:paraId="23A3E354" w14:textId="77777777">
        <w:trPr>
          <w:trHeight w:val="452"/>
        </w:trPr>
        <w:tc>
          <w:tcPr>
            <w:tcW w:w="360" w:type="dxa"/>
            <w:tcBorders>
              <w:top w:val="nil"/>
              <w:left w:val="nil"/>
              <w:bottom w:val="nil"/>
              <w:right w:val="nil"/>
            </w:tcBorders>
          </w:tcPr>
          <w:p w14:paraId="49A66B92" w14:textId="77777777" w:rsidR="008E36D7" w:rsidRDefault="0001193A">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330" w:type="dxa"/>
            <w:tcBorders>
              <w:top w:val="nil"/>
              <w:left w:val="nil"/>
              <w:bottom w:val="nil"/>
              <w:right w:val="nil"/>
            </w:tcBorders>
          </w:tcPr>
          <w:p w14:paraId="10799709" w14:textId="77777777" w:rsidR="008E36D7" w:rsidRDefault="0001193A">
            <w:pPr>
              <w:spacing w:after="0" w:line="259" w:lineRule="auto"/>
              <w:ind w:left="0" w:right="0" w:firstLine="0"/>
              <w:jc w:val="left"/>
            </w:pPr>
            <w:r>
              <w:t>zawartość siarki,</w:t>
            </w:r>
            <w:r>
              <w:t xml:space="preserve"> </w:t>
            </w:r>
          </w:p>
        </w:tc>
      </w:tr>
      <w:tr w:rsidR="008E36D7" w14:paraId="49447E5E" w14:textId="77777777">
        <w:trPr>
          <w:trHeight w:val="452"/>
        </w:trPr>
        <w:tc>
          <w:tcPr>
            <w:tcW w:w="360" w:type="dxa"/>
            <w:tcBorders>
              <w:top w:val="nil"/>
              <w:left w:val="nil"/>
              <w:bottom w:val="nil"/>
              <w:right w:val="nil"/>
            </w:tcBorders>
          </w:tcPr>
          <w:p w14:paraId="6154C3B0" w14:textId="77777777" w:rsidR="008E36D7" w:rsidRDefault="0001193A">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330" w:type="dxa"/>
            <w:tcBorders>
              <w:top w:val="nil"/>
              <w:left w:val="nil"/>
              <w:bottom w:val="nil"/>
              <w:right w:val="nil"/>
            </w:tcBorders>
          </w:tcPr>
          <w:p w14:paraId="0BE41D4B" w14:textId="77777777" w:rsidR="008E36D7" w:rsidRDefault="0001193A">
            <w:pPr>
              <w:spacing w:after="0" w:line="259" w:lineRule="auto"/>
              <w:ind w:left="0" w:right="0" w:firstLine="0"/>
              <w:jc w:val="left"/>
            </w:pPr>
            <w:r>
              <w:t>wygląd,</w:t>
            </w:r>
            <w:r>
              <w:t xml:space="preserve"> </w:t>
            </w:r>
          </w:p>
        </w:tc>
      </w:tr>
      <w:tr w:rsidR="008E36D7" w14:paraId="0F9290CA" w14:textId="77777777">
        <w:trPr>
          <w:trHeight w:val="451"/>
        </w:trPr>
        <w:tc>
          <w:tcPr>
            <w:tcW w:w="360" w:type="dxa"/>
            <w:tcBorders>
              <w:top w:val="nil"/>
              <w:left w:val="nil"/>
              <w:bottom w:val="nil"/>
              <w:right w:val="nil"/>
            </w:tcBorders>
          </w:tcPr>
          <w:p w14:paraId="63B0B7DC" w14:textId="77777777" w:rsidR="008E36D7" w:rsidRDefault="0001193A">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330" w:type="dxa"/>
            <w:tcBorders>
              <w:top w:val="nil"/>
              <w:left w:val="nil"/>
              <w:bottom w:val="nil"/>
              <w:right w:val="nil"/>
            </w:tcBorders>
          </w:tcPr>
          <w:p w14:paraId="0D8A595A" w14:textId="77777777" w:rsidR="008E36D7" w:rsidRDefault="0001193A">
            <w:pPr>
              <w:spacing w:after="0" w:line="259" w:lineRule="auto"/>
              <w:ind w:left="0" w:right="0" w:firstLine="0"/>
              <w:jc w:val="left"/>
            </w:pPr>
            <w:r>
              <w:t>zawartość tlenu,</w:t>
            </w:r>
            <w:r>
              <w:t xml:space="preserve"> </w:t>
            </w:r>
          </w:p>
        </w:tc>
      </w:tr>
      <w:tr w:rsidR="008E36D7" w14:paraId="6E8CC4E3" w14:textId="77777777">
        <w:trPr>
          <w:trHeight w:val="452"/>
        </w:trPr>
        <w:tc>
          <w:tcPr>
            <w:tcW w:w="360" w:type="dxa"/>
            <w:tcBorders>
              <w:top w:val="nil"/>
              <w:left w:val="nil"/>
              <w:bottom w:val="nil"/>
              <w:right w:val="nil"/>
            </w:tcBorders>
          </w:tcPr>
          <w:p w14:paraId="04C9469D" w14:textId="77777777" w:rsidR="008E36D7" w:rsidRDefault="0001193A">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330" w:type="dxa"/>
            <w:tcBorders>
              <w:top w:val="nil"/>
              <w:left w:val="nil"/>
              <w:bottom w:val="nil"/>
              <w:right w:val="nil"/>
            </w:tcBorders>
          </w:tcPr>
          <w:p w14:paraId="38A6B579" w14:textId="77777777" w:rsidR="008E36D7" w:rsidRDefault="0001193A">
            <w:pPr>
              <w:spacing w:after="0" w:line="259" w:lineRule="auto"/>
              <w:ind w:left="0" w:right="0" w:firstLine="0"/>
            </w:pPr>
            <w:r>
              <w:t>zawartość związków organicznych zawierających tlen</w:t>
            </w:r>
            <w:r>
              <w:t xml:space="preserve">,  </w:t>
            </w:r>
          </w:p>
        </w:tc>
      </w:tr>
      <w:tr w:rsidR="008E36D7" w14:paraId="02C7E13B" w14:textId="77777777">
        <w:trPr>
          <w:trHeight w:val="453"/>
        </w:trPr>
        <w:tc>
          <w:tcPr>
            <w:tcW w:w="360" w:type="dxa"/>
            <w:tcBorders>
              <w:top w:val="nil"/>
              <w:left w:val="nil"/>
              <w:bottom w:val="nil"/>
              <w:right w:val="nil"/>
            </w:tcBorders>
          </w:tcPr>
          <w:p w14:paraId="296A21D1" w14:textId="77777777" w:rsidR="008E36D7" w:rsidRDefault="0001193A">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330" w:type="dxa"/>
            <w:tcBorders>
              <w:top w:val="nil"/>
              <w:left w:val="nil"/>
              <w:bottom w:val="nil"/>
              <w:right w:val="nil"/>
            </w:tcBorders>
          </w:tcPr>
          <w:p w14:paraId="67A01163" w14:textId="77777777" w:rsidR="008E36D7" w:rsidRDefault="0001193A">
            <w:pPr>
              <w:spacing w:after="0" w:line="259" w:lineRule="auto"/>
              <w:ind w:left="0" w:right="0" w:firstLine="0"/>
              <w:jc w:val="left"/>
            </w:pPr>
            <w:r>
              <w:t>prężność par, VP (metoda DVPE),</w:t>
            </w:r>
            <w:r>
              <w:t xml:space="preserve"> </w:t>
            </w:r>
          </w:p>
        </w:tc>
      </w:tr>
      <w:tr w:rsidR="008E36D7" w14:paraId="70F60E96" w14:textId="77777777">
        <w:trPr>
          <w:trHeight w:val="453"/>
        </w:trPr>
        <w:tc>
          <w:tcPr>
            <w:tcW w:w="360" w:type="dxa"/>
            <w:tcBorders>
              <w:top w:val="nil"/>
              <w:left w:val="nil"/>
              <w:bottom w:val="nil"/>
              <w:right w:val="nil"/>
            </w:tcBorders>
          </w:tcPr>
          <w:p w14:paraId="491834E1" w14:textId="77777777" w:rsidR="008E36D7" w:rsidRDefault="0001193A">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330" w:type="dxa"/>
            <w:tcBorders>
              <w:top w:val="nil"/>
              <w:left w:val="nil"/>
              <w:bottom w:val="nil"/>
              <w:right w:val="nil"/>
            </w:tcBorders>
          </w:tcPr>
          <w:p w14:paraId="40B1682B" w14:textId="77777777" w:rsidR="008E36D7" w:rsidRDefault="0001193A">
            <w:pPr>
              <w:spacing w:after="0" w:line="259" w:lineRule="auto"/>
              <w:ind w:left="0" w:right="0" w:firstLine="0"/>
              <w:jc w:val="left"/>
            </w:pPr>
            <w:r>
              <w:t xml:space="preserve">destylacja, </w:t>
            </w:r>
          </w:p>
        </w:tc>
      </w:tr>
      <w:tr w:rsidR="008E36D7" w14:paraId="06144F99" w14:textId="77777777">
        <w:trPr>
          <w:trHeight w:val="368"/>
        </w:trPr>
        <w:tc>
          <w:tcPr>
            <w:tcW w:w="360" w:type="dxa"/>
            <w:tcBorders>
              <w:top w:val="nil"/>
              <w:left w:val="nil"/>
              <w:bottom w:val="nil"/>
              <w:right w:val="nil"/>
            </w:tcBorders>
            <w:vAlign w:val="bottom"/>
          </w:tcPr>
          <w:p w14:paraId="2A9A8FF2" w14:textId="77777777" w:rsidR="008E36D7" w:rsidRDefault="0001193A">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5330" w:type="dxa"/>
            <w:tcBorders>
              <w:top w:val="nil"/>
              <w:left w:val="nil"/>
              <w:bottom w:val="nil"/>
              <w:right w:val="nil"/>
            </w:tcBorders>
            <w:vAlign w:val="bottom"/>
          </w:tcPr>
          <w:p w14:paraId="06910FB5" w14:textId="77777777" w:rsidR="008E36D7" w:rsidRDefault="0001193A">
            <w:pPr>
              <w:spacing w:after="0" w:line="259" w:lineRule="auto"/>
              <w:ind w:left="0" w:right="0" w:firstLine="0"/>
              <w:jc w:val="left"/>
            </w:pPr>
            <w:r>
              <w:t>indeks lotności, VLI (VLI = 10 DVPE + 7 E70),</w:t>
            </w:r>
            <w:r>
              <w:t xml:space="preserve"> </w:t>
            </w:r>
          </w:p>
        </w:tc>
      </w:tr>
    </w:tbl>
    <w:p w14:paraId="543E66F0" w14:textId="77777777" w:rsidR="008E36D7" w:rsidRDefault="0001193A">
      <w:pPr>
        <w:numPr>
          <w:ilvl w:val="1"/>
          <w:numId w:val="1"/>
        </w:numPr>
        <w:spacing w:line="259" w:lineRule="auto"/>
        <w:ind w:right="38" w:hanging="360"/>
      </w:pPr>
      <w:r>
        <w:t xml:space="preserve">oleju napędowego stosowanego w szczególności w pojazdach, w tym ciągnikach </w:t>
      </w:r>
      <w:r>
        <w:t>rolniczych, m</w:t>
      </w:r>
      <w:r>
        <w:t>aszynach nieporuszających się po drogach, a także rekreacyjnych jednostkach pływających, wyposażonych w</w:t>
      </w:r>
      <w:r>
        <w:t xml:space="preserve"> </w:t>
      </w:r>
      <w:r>
        <w:t>silniki z zapłonem samoczynnym</w:t>
      </w:r>
      <w:r>
        <w:t xml:space="preserve">, </w:t>
      </w:r>
      <w:r>
        <w:t xml:space="preserve">wartości parametrów uzyskanych na podstawie badań laboratoryjnych próbki </w:t>
      </w:r>
      <w:r>
        <w:t xml:space="preserve">reprezentatywnej dla </w:t>
      </w:r>
      <w:r>
        <w:t>partii paliwa ciekłego wpr</w:t>
      </w:r>
      <w:r>
        <w:t xml:space="preserve">owadzonego do obrotu: </w:t>
      </w:r>
    </w:p>
    <w:tbl>
      <w:tblPr>
        <w:tblStyle w:val="TableGrid"/>
        <w:tblW w:w="7781" w:type="dxa"/>
        <w:tblInd w:w="1342" w:type="dxa"/>
        <w:tblCellMar>
          <w:top w:w="34" w:type="dxa"/>
          <w:left w:w="0" w:type="dxa"/>
          <w:bottom w:w="0" w:type="dxa"/>
          <w:right w:w="0" w:type="dxa"/>
        </w:tblCellMar>
        <w:tblLook w:val="04A0" w:firstRow="1" w:lastRow="0" w:firstColumn="1" w:lastColumn="0" w:noHBand="0" w:noVBand="1"/>
      </w:tblPr>
      <w:tblGrid>
        <w:gridCol w:w="360"/>
        <w:gridCol w:w="7421"/>
      </w:tblGrid>
      <w:tr w:rsidR="008E36D7" w14:paraId="688C8B10" w14:textId="77777777">
        <w:trPr>
          <w:trHeight w:val="366"/>
        </w:trPr>
        <w:tc>
          <w:tcPr>
            <w:tcW w:w="360" w:type="dxa"/>
            <w:tcBorders>
              <w:top w:val="nil"/>
              <w:left w:val="nil"/>
              <w:bottom w:val="nil"/>
              <w:right w:val="nil"/>
            </w:tcBorders>
          </w:tcPr>
          <w:p w14:paraId="78FFF487" w14:textId="77777777" w:rsidR="008E36D7" w:rsidRDefault="0001193A">
            <w:pPr>
              <w:spacing w:after="0" w:line="259" w:lineRule="auto"/>
              <w:ind w:left="2" w:right="0" w:firstLine="0"/>
              <w:jc w:val="left"/>
            </w:pPr>
            <w:r>
              <w:rPr>
                <w:rFonts w:ascii="Segoe UI Symbol" w:eastAsia="Segoe UI Symbol" w:hAnsi="Segoe UI Symbol" w:cs="Segoe UI Symbol"/>
              </w:rPr>
              <w:t>−</w:t>
            </w:r>
            <w:r>
              <w:rPr>
                <w:rFonts w:ascii="Arial" w:eastAsia="Arial" w:hAnsi="Arial" w:cs="Arial"/>
              </w:rPr>
              <w:t xml:space="preserve"> </w:t>
            </w:r>
          </w:p>
        </w:tc>
        <w:tc>
          <w:tcPr>
            <w:tcW w:w="7421" w:type="dxa"/>
            <w:tcBorders>
              <w:top w:val="nil"/>
              <w:left w:val="nil"/>
              <w:bottom w:val="nil"/>
              <w:right w:val="nil"/>
            </w:tcBorders>
          </w:tcPr>
          <w:p w14:paraId="0E54DC1A" w14:textId="77777777" w:rsidR="008E36D7" w:rsidRDefault="0001193A">
            <w:pPr>
              <w:spacing w:after="0" w:line="259" w:lineRule="auto"/>
              <w:ind w:left="0" w:right="0" w:firstLine="0"/>
              <w:jc w:val="left"/>
            </w:pPr>
            <w:r>
              <w:t>gęstość (w temperaturze 15ºC)</w:t>
            </w:r>
            <w:r>
              <w:t xml:space="preserve">, </w:t>
            </w:r>
          </w:p>
        </w:tc>
      </w:tr>
      <w:tr w:rsidR="008E36D7" w14:paraId="55B9E4E9" w14:textId="77777777">
        <w:trPr>
          <w:trHeight w:val="453"/>
        </w:trPr>
        <w:tc>
          <w:tcPr>
            <w:tcW w:w="360" w:type="dxa"/>
            <w:tcBorders>
              <w:top w:val="nil"/>
              <w:left w:val="nil"/>
              <w:bottom w:val="nil"/>
              <w:right w:val="nil"/>
            </w:tcBorders>
          </w:tcPr>
          <w:p w14:paraId="72BFD8CC" w14:textId="77777777" w:rsidR="008E36D7" w:rsidRDefault="0001193A">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21" w:type="dxa"/>
            <w:tcBorders>
              <w:top w:val="nil"/>
              <w:left w:val="nil"/>
              <w:bottom w:val="nil"/>
              <w:right w:val="nil"/>
            </w:tcBorders>
          </w:tcPr>
          <w:p w14:paraId="44ED1135" w14:textId="77777777" w:rsidR="008E36D7" w:rsidRDefault="0001193A">
            <w:pPr>
              <w:spacing w:after="0" w:line="259" w:lineRule="auto"/>
              <w:ind w:left="0" w:right="0" w:firstLine="0"/>
              <w:jc w:val="left"/>
            </w:pPr>
            <w:r>
              <w:t>zawartość estrów metylowych kwasów tłuszczowych (FAME)</w:t>
            </w:r>
            <w:r>
              <w:t xml:space="preserve">, </w:t>
            </w:r>
          </w:p>
        </w:tc>
      </w:tr>
      <w:tr w:rsidR="008E36D7" w14:paraId="1C19A02A" w14:textId="77777777">
        <w:trPr>
          <w:trHeight w:val="453"/>
        </w:trPr>
        <w:tc>
          <w:tcPr>
            <w:tcW w:w="360" w:type="dxa"/>
            <w:tcBorders>
              <w:top w:val="nil"/>
              <w:left w:val="nil"/>
              <w:bottom w:val="nil"/>
              <w:right w:val="nil"/>
            </w:tcBorders>
          </w:tcPr>
          <w:p w14:paraId="578FA37F" w14:textId="77777777" w:rsidR="008E36D7" w:rsidRDefault="0001193A">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21" w:type="dxa"/>
            <w:tcBorders>
              <w:top w:val="nil"/>
              <w:left w:val="nil"/>
              <w:bottom w:val="nil"/>
              <w:right w:val="nil"/>
            </w:tcBorders>
          </w:tcPr>
          <w:p w14:paraId="3C802BB5" w14:textId="77777777" w:rsidR="008E36D7" w:rsidRDefault="0001193A">
            <w:pPr>
              <w:spacing w:after="0" w:line="259" w:lineRule="auto"/>
              <w:ind w:left="0" w:right="0" w:firstLine="0"/>
              <w:jc w:val="left"/>
            </w:pPr>
            <w:r>
              <w:t xml:space="preserve">temperatura zablokowania zimnego filtru, CFPP, </w:t>
            </w:r>
          </w:p>
        </w:tc>
      </w:tr>
      <w:tr w:rsidR="008E36D7" w14:paraId="14479B0D" w14:textId="77777777">
        <w:trPr>
          <w:trHeight w:val="451"/>
        </w:trPr>
        <w:tc>
          <w:tcPr>
            <w:tcW w:w="360" w:type="dxa"/>
            <w:tcBorders>
              <w:top w:val="nil"/>
              <w:left w:val="nil"/>
              <w:bottom w:val="nil"/>
              <w:right w:val="nil"/>
            </w:tcBorders>
          </w:tcPr>
          <w:p w14:paraId="1E2223D5" w14:textId="77777777" w:rsidR="008E36D7" w:rsidRDefault="0001193A">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21" w:type="dxa"/>
            <w:tcBorders>
              <w:top w:val="nil"/>
              <w:left w:val="nil"/>
              <w:bottom w:val="nil"/>
              <w:right w:val="nil"/>
            </w:tcBorders>
          </w:tcPr>
          <w:p w14:paraId="1EC55B2D" w14:textId="77777777" w:rsidR="008E36D7" w:rsidRDefault="0001193A">
            <w:pPr>
              <w:spacing w:after="0" w:line="259" w:lineRule="auto"/>
              <w:ind w:left="0" w:right="0" w:firstLine="0"/>
              <w:jc w:val="left"/>
            </w:pPr>
            <w:r>
              <w:t>skład frakcyjny</w:t>
            </w:r>
            <w:r>
              <w:t xml:space="preserve">, </w:t>
            </w:r>
          </w:p>
        </w:tc>
      </w:tr>
      <w:tr w:rsidR="008E36D7" w14:paraId="2C763EB1" w14:textId="77777777">
        <w:trPr>
          <w:trHeight w:val="452"/>
        </w:trPr>
        <w:tc>
          <w:tcPr>
            <w:tcW w:w="360" w:type="dxa"/>
            <w:tcBorders>
              <w:top w:val="nil"/>
              <w:left w:val="nil"/>
              <w:bottom w:val="nil"/>
              <w:right w:val="nil"/>
            </w:tcBorders>
          </w:tcPr>
          <w:p w14:paraId="1A140310" w14:textId="77777777" w:rsidR="008E36D7" w:rsidRDefault="0001193A">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21" w:type="dxa"/>
            <w:tcBorders>
              <w:top w:val="nil"/>
              <w:left w:val="nil"/>
              <w:bottom w:val="nil"/>
              <w:right w:val="nil"/>
            </w:tcBorders>
          </w:tcPr>
          <w:p w14:paraId="0CC63F47" w14:textId="77777777" w:rsidR="008E36D7" w:rsidRDefault="0001193A">
            <w:pPr>
              <w:spacing w:after="0" w:line="259" w:lineRule="auto"/>
              <w:ind w:left="0" w:right="0" w:firstLine="0"/>
              <w:jc w:val="left"/>
            </w:pPr>
            <w:r>
              <w:t>zawartość wody</w:t>
            </w:r>
            <w:r>
              <w:t xml:space="preserve">, </w:t>
            </w:r>
          </w:p>
        </w:tc>
      </w:tr>
      <w:tr w:rsidR="008E36D7" w14:paraId="1777C2EA" w14:textId="77777777">
        <w:trPr>
          <w:trHeight w:val="452"/>
        </w:trPr>
        <w:tc>
          <w:tcPr>
            <w:tcW w:w="360" w:type="dxa"/>
            <w:tcBorders>
              <w:top w:val="nil"/>
              <w:left w:val="nil"/>
              <w:bottom w:val="nil"/>
              <w:right w:val="nil"/>
            </w:tcBorders>
          </w:tcPr>
          <w:p w14:paraId="4F4FD31B" w14:textId="77777777" w:rsidR="008E36D7" w:rsidRDefault="0001193A">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21" w:type="dxa"/>
            <w:tcBorders>
              <w:top w:val="nil"/>
              <w:left w:val="nil"/>
              <w:bottom w:val="nil"/>
              <w:right w:val="nil"/>
            </w:tcBorders>
          </w:tcPr>
          <w:p w14:paraId="4462A599" w14:textId="77777777" w:rsidR="008E36D7" w:rsidRDefault="0001193A">
            <w:pPr>
              <w:spacing w:after="0" w:line="259" w:lineRule="auto"/>
              <w:ind w:left="0" w:right="0" w:firstLine="0"/>
              <w:jc w:val="left"/>
            </w:pPr>
            <w:r>
              <w:t>temperatura zapłonu</w:t>
            </w:r>
            <w:r>
              <w:t xml:space="preserve">, </w:t>
            </w:r>
          </w:p>
        </w:tc>
      </w:tr>
      <w:tr w:rsidR="008E36D7" w14:paraId="32581219" w14:textId="77777777">
        <w:trPr>
          <w:trHeight w:val="452"/>
        </w:trPr>
        <w:tc>
          <w:tcPr>
            <w:tcW w:w="360" w:type="dxa"/>
            <w:tcBorders>
              <w:top w:val="nil"/>
              <w:left w:val="nil"/>
              <w:bottom w:val="nil"/>
              <w:right w:val="nil"/>
            </w:tcBorders>
          </w:tcPr>
          <w:p w14:paraId="687D46CC" w14:textId="77777777" w:rsidR="008E36D7" w:rsidRDefault="0001193A">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7421" w:type="dxa"/>
            <w:tcBorders>
              <w:top w:val="nil"/>
              <w:left w:val="nil"/>
              <w:bottom w:val="nil"/>
              <w:right w:val="nil"/>
            </w:tcBorders>
          </w:tcPr>
          <w:p w14:paraId="2911FE5E" w14:textId="77777777" w:rsidR="008E36D7" w:rsidRDefault="0001193A">
            <w:pPr>
              <w:spacing w:after="0" w:line="259" w:lineRule="auto"/>
              <w:ind w:left="0" w:right="0" w:firstLine="0"/>
              <w:jc w:val="left"/>
            </w:pPr>
            <w:r>
              <w:t>zawartość siarki</w:t>
            </w:r>
            <w:r>
              <w:t xml:space="preserve">, </w:t>
            </w:r>
          </w:p>
        </w:tc>
      </w:tr>
      <w:tr w:rsidR="008E36D7" w14:paraId="6BD0E090" w14:textId="77777777">
        <w:trPr>
          <w:trHeight w:val="368"/>
        </w:trPr>
        <w:tc>
          <w:tcPr>
            <w:tcW w:w="360" w:type="dxa"/>
            <w:tcBorders>
              <w:top w:val="nil"/>
              <w:left w:val="nil"/>
              <w:bottom w:val="nil"/>
              <w:right w:val="nil"/>
            </w:tcBorders>
            <w:vAlign w:val="bottom"/>
          </w:tcPr>
          <w:p w14:paraId="77BB1A87" w14:textId="77777777" w:rsidR="008E36D7" w:rsidRDefault="0001193A">
            <w:pPr>
              <w:spacing w:after="0" w:line="259" w:lineRule="auto"/>
              <w:ind w:left="2" w:right="0" w:firstLine="0"/>
              <w:jc w:val="left"/>
            </w:pPr>
            <w:r>
              <w:rPr>
                <w:rFonts w:ascii="Segoe UI Symbol" w:eastAsia="Segoe UI Symbol" w:hAnsi="Segoe UI Symbol" w:cs="Segoe UI Symbol"/>
              </w:rPr>
              <w:t>−</w:t>
            </w:r>
            <w:r>
              <w:rPr>
                <w:rFonts w:ascii="Arial" w:eastAsia="Arial" w:hAnsi="Arial" w:cs="Arial"/>
              </w:rPr>
              <w:t xml:space="preserve"> </w:t>
            </w:r>
          </w:p>
        </w:tc>
        <w:tc>
          <w:tcPr>
            <w:tcW w:w="7421" w:type="dxa"/>
            <w:tcBorders>
              <w:top w:val="nil"/>
              <w:left w:val="nil"/>
              <w:bottom w:val="nil"/>
              <w:right w:val="nil"/>
            </w:tcBorders>
            <w:vAlign w:val="bottom"/>
          </w:tcPr>
          <w:p w14:paraId="5FF597E4" w14:textId="77777777" w:rsidR="008E36D7" w:rsidRDefault="0001193A">
            <w:pPr>
              <w:spacing w:after="0" w:line="259" w:lineRule="auto"/>
              <w:ind w:left="0" w:right="0" w:firstLine="0"/>
            </w:pPr>
            <w:r>
              <w:t xml:space="preserve">temperatura mętnienia, w przypadku oleju napędowego o polepszonych </w:t>
            </w:r>
          </w:p>
        </w:tc>
      </w:tr>
    </w:tbl>
    <w:p w14:paraId="4743F33E" w14:textId="77777777" w:rsidR="008E36D7" w:rsidRDefault="0001193A">
      <w:pPr>
        <w:spacing w:after="161" w:line="259" w:lineRule="auto"/>
        <w:ind w:left="1712" w:right="38" w:hanging="10"/>
      </w:pPr>
      <w:r>
        <w:t>właściwośc</w:t>
      </w:r>
      <w:r>
        <w:t xml:space="preserve">iach niskotemperaturowych; </w:t>
      </w:r>
    </w:p>
    <w:p w14:paraId="14D75FFA" w14:textId="77777777" w:rsidR="008E36D7" w:rsidRDefault="0001193A">
      <w:pPr>
        <w:numPr>
          <w:ilvl w:val="0"/>
          <w:numId w:val="3"/>
        </w:numPr>
        <w:spacing w:after="38"/>
        <w:ind w:right="38" w:hanging="360"/>
      </w:pPr>
      <w:r>
        <w:t xml:space="preserve">informację o wymaganiach jakościowych dla paliwa ciekłego, dla którego jest wystawiane świadectwo jakości paliwa ciekłego, określonych w przepisach wydanych </w:t>
      </w:r>
      <w:r>
        <w:t xml:space="preserve">na podstawie ust. 2 pkt 1;  </w:t>
      </w:r>
    </w:p>
    <w:p w14:paraId="2589B41E" w14:textId="77777777" w:rsidR="008E36D7" w:rsidRDefault="0001193A">
      <w:pPr>
        <w:numPr>
          <w:ilvl w:val="0"/>
          <w:numId w:val="3"/>
        </w:numPr>
        <w:ind w:right="38" w:hanging="360"/>
      </w:pPr>
      <w:r>
        <w:t xml:space="preserve">oświadczenie przedsiębiorcy wystawiającego świadectwo jakości paliwa ciekłego, że </w:t>
      </w:r>
      <w:r>
        <w:t xml:space="preserve">paliwo </w:t>
      </w:r>
      <w:r>
        <w:t>ciekłe</w:t>
      </w:r>
      <w:r>
        <w:t xml:space="preserve">, dla </w:t>
      </w:r>
      <w:r>
        <w:t>którego jest wystawiane to świadectwo, spełnia wymagania jakościowe określone w</w:t>
      </w:r>
      <w:r>
        <w:t xml:space="preserve"> przepisach wydanych na podstawie ust. 2 pkt 1; </w:t>
      </w:r>
    </w:p>
    <w:p w14:paraId="2ECFA284" w14:textId="77777777" w:rsidR="008E36D7" w:rsidRDefault="0001193A">
      <w:pPr>
        <w:numPr>
          <w:ilvl w:val="0"/>
          <w:numId w:val="3"/>
        </w:numPr>
        <w:spacing w:after="161" w:line="259" w:lineRule="auto"/>
        <w:ind w:right="38" w:hanging="360"/>
      </w:pPr>
      <w:r>
        <w:t xml:space="preserve">inne informacje; </w:t>
      </w:r>
    </w:p>
    <w:p w14:paraId="6E9A5D98" w14:textId="77777777" w:rsidR="008E36D7" w:rsidRDefault="0001193A">
      <w:pPr>
        <w:numPr>
          <w:ilvl w:val="0"/>
          <w:numId w:val="3"/>
        </w:numPr>
        <w:spacing w:after="29"/>
        <w:ind w:right="38" w:hanging="360"/>
      </w:pPr>
      <w:r>
        <w:t>ozn</w:t>
      </w:r>
      <w:r>
        <w:t>aczenie miejsca i datę wystawienia świadectwa jakości paliwa ciekłego</w:t>
      </w:r>
      <w:r>
        <w:t>.</w:t>
      </w:r>
      <w:r>
        <w:t>”</w:t>
      </w:r>
      <w:r>
        <w:t>; 2)</w:t>
      </w:r>
      <w:r>
        <w:rPr>
          <w:rFonts w:ascii="Arial" w:eastAsia="Arial" w:hAnsi="Arial" w:cs="Arial"/>
        </w:rPr>
        <w:t xml:space="preserve"> </w:t>
      </w:r>
      <w:r>
        <w:t xml:space="preserve">w art. 35a po pkt 9 dodaje się pkt 9a </w:t>
      </w:r>
      <w:r>
        <w:t xml:space="preserve">i 9b w brzmieniu: </w:t>
      </w:r>
    </w:p>
    <w:p w14:paraId="3305808A" w14:textId="77777777" w:rsidR="008E36D7" w:rsidRDefault="0001193A">
      <w:pPr>
        <w:spacing w:after="160" w:line="259" w:lineRule="auto"/>
        <w:ind w:left="427" w:right="38" w:firstLine="0"/>
      </w:pPr>
      <w:r>
        <w:t>„9a) przedsiębiorca wprowadzający do obrotu paliwo ciekłe, który wbrew obowiązkowi:</w:t>
      </w:r>
      <w:r>
        <w:t xml:space="preserve"> </w:t>
      </w:r>
    </w:p>
    <w:p w14:paraId="7520EC65" w14:textId="77777777" w:rsidR="008E36D7" w:rsidRDefault="0001193A">
      <w:pPr>
        <w:numPr>
          <w:ilvl w:val="1"/>
          <w:numId w:val="3"/>
        </w:numPr>
        <w:spacing w:after="160" w:line="259" w:lineRule="auto"/>
        <w:ind w:right="38" w:hanging="360"/>
      </w:pPr>
      <w:r>
        <w:lastRenderedPageBreak/>
        <w:t>nie wystawia świadectwa jakości paliwa ciekłego albo</w:t>
      </w:r>
      <w:r>
        <w:t xml:space="preserve"> </w:t>
      </w:r>
    </w:p>
    <w:p w14:paraId="0B19DCB9" w14:textId="77777777" w:rsidR="008E36D7" w:rsidRDefault="0001193A">
      <w:pPr>
        <w:numPr>
          <w:ilvl w:val="1"/>
          <w:numId w:val="3"/>
        </w:numPr>
        <w:spacing w:after="36"/>
        <w:ind w:right="38" w:hanging="360"/>
      </w:pPr>
      <w:r>
        <w:t>wystawia świadectwo jakości paliwa ciekłego, w którym wartości parametrów paliwa ciekłego są niezgodne ze stanem faktycznym, albo</w:t>
      </w:r>
      <w:r>
        <w:t xml:space="preserve"> </w:t>
      </w:r>
    </w:p>
    <w:p w14:paraId="7A356CC3" w14:textId="77777777" w:rsidR="008E36D7" w:rsidRDefault="0001193A">
      <w:pPr>
        <w:numPr>
          <w:ilvl w:val="1"/>
          <w:numId w:val="3"/>
        </w:numPr>
        <w:ind w:right="38" w:hanging="360"/>
      </w:pPr>
      <w:r>
        <w:t>nie przekazuje kopii świadectwa jakości paliwa ciekłego podmiotowi, który nabywa paliwo ciekłe;</w:t>
      </w:r>
      <w:r>
        <w:t xml:space="preserve"> </w:t>
      </w:r>
    </w:p>
    <w:p w14:paraId="6E9A6096" w14:textId="77777777" w:rsidR="008E36D7" w:rsidRDefault="0001193A">
      <w:pPr>
        <w:spacing w:after="38"/>
        <w:ind w:left="993" w:right="38" w:hanging="427"/>
      </w:pPr>
      <w:r>
        <w:t xml:space="preserve">9b) </w:t>
      </w:r>
      <w:r>
        <w:t>przedsiębiorca, który wbrew obowiązkowi nie przechowuje kopii dokument</w:t>
      </w:r>
      <w:r>
        <w:t xml:space="preserve">u,  </w:t>
      </w:r>
      <w:r>
        <w:t>o który</w:t>
      </w:r>
      <w:r>
        <w:t>m mowa w art. 3 ust. 7;</w:t>
      </w:r>
      <w:r>
        <w:t>”</w:t>
      </w:r>
      <w:r>
        <w:t xml:space="preserve">; </w:t>
      </w:r>
    </w:p>
    <w:p w14:paraId="33783C20" w14:textId="77777777" w:rsidR="008E36D7" w:rsidRDefault="0001193A">
      <w:pPr>
        <w:spacing w:after="123" w:line="259" w:lineRule="auto"/>
        <w:ind w:left="-15" w:right="38" w:firstLine="0"/>
      </w:pPr>
      <w:r>
        <w:t>3)</w:t>
      </w:r>
      <w:r>
        <w:rPr>
          <w:rFonts w:ascii="Arial" w:eastAsia="Arial" w:hAnsi="Arial" w:cs="Arial"/>
        </w:rPr>
        <w:t xml:space="preserve"> </w:t>
      </w:r>
      <w:r>
        <w:t xml:space="preserve">w art. 35c </w:t>
      </w:r>
      <w:r>
        <w:t>dodaje się ust. 6 w brzmieniu:</w:t>
      </w:r>
      <w:r>
        <w:t xml:space="preserve"> </w:t>
      </w:r>
    </w:p>
    <w:p w14:paraId="26A7652D" w14:textId="77777777" w:rsidR="008E36D7" w:rsidRDefault="0001193A">
      <w:pPr>
        <w:spacing w:after="36"/>
        <w:ind w:left="427" w:right="38" w:firstLine="0"/>
      </w:pPr>
      <w:r>
        <w:t>„6.</w:t>
      </w:r>
      <w:r>
        <w:t xml:space="preserve"> </w:t>
      </w:r>
      <w:r>
        <w:t xml:space="preserve">Wysokość kary pieniężnej wymierzanej w przypadkach, o których mowa w art. 35a </w:t>
      </w:r>
      <w:r>
        <w:t xml:space="preserve"> pkt 9a i 9b, wynosi: </w:t>
      </w:r>
    </w:p>
    <w:p w14:paraId="7EE1491C" w14:textId="77777777" w:rsidR="008E36D7" w:rsidRDefault="0001193A">
      <w:pPr>
        <w:numPr>
          <w:ilvl w:val="0"/>
          <w:numId w:val="4"/>
        </w:numPr>
        <w:spacing w:after="36"/>
        <w:ind w:right="38" w:hanging="360"/>
      </w:pPr>
      <w:r>
        <w:t xml:space="preserve">od 10 </w:t>
      </w:r>
      <w:r>
        <w:t>000 zł do</w:t>
      </w:r>
      <w:r>
        <w:t xml:space="preserve"> 25 </w:t>
      </w:r>
      <w:r>
        <w:t xml:space="preserve">000 zł </w:t>
      </w:r>
      <w:r>
        <w:t xml:space="preserve">- </w:t>
      </w:r>
      <w:r>
        <w:t>w przypadku gdy wartość wprowadzanego do obrotu paliwa ciekłego nie przekracza kwoty 200</w:t>
      </w:r>
      <w:r>
        <w:t xml:space="preserve"> </w:t>
      </w:r>
      <w:r>
        <w:t>000 zł;</w:t>
      </w:r>
      <w:r>
        <w:t xml:space="preserve"> </w:t>
      </w:r>
    </w:p>
    <w:p w14:paraId="23BEA83E" w14:textId="77777777" w:rsidR="008E36D7" w:rsidRDefault="0001193A">
      <w:pPr>
        <w:numPr>
          <w:ilvl w:val="0"/>
          <w:numId w:val="4"/>
        </w:numPr>
        <w:ind w:right="38" w:hanging="360"/>
      </w:pPr>
      <w:r>
        <w:t xml:space="preserve">od 25 </w:t>
      </w:r>
      <w:r>
        <w:t>001 zł do 100</w:t>
      </w:r>
      <w:r>
        <w:t xml:space="preserve"> </w:t>
      </w:r>
      <w:r>
        <w:t xml:space="preserve">000 zł </w:t>
      </w:r>
      <w:r>
        <w:t xml:space="preserve">- </w:t>
      </w:r>
      <w:r>
        <w:t>w przypadku gdy wartość wprowadzanego do obrotu paliwa ciekłego przekracza kwotę 200</w:t>
      </w:r>
      <w:r>
        <w:t xml:space="preserve"> </w:t>
      </w:r>
      <w:r>
        <w:t>000 zł.”.</w:t>
      </w:r>
      <w:r>
        <w:t xml:space="preserve"> </w:t>
      </w:r>
    </w:p>
    <w:p w14:paraId="644909BE" w14:textId="77777777" w:rsidR="008E36D7" w:rsidRDefault="0001193A">
      <w:pPr>
        <w:spacing w:after="123" w:line="259" w:lineRule="auto"/>
        <w:ind w:left="708" w:right="0" w:firstLine="0"/>
        <w:jc w:val="left"/>
      </w:pPr>
      <w:r>
        <w:rPr>
          <w:b/>
        </w:rPr>
        <w:t xml:space="preserve"> </w:t>
      </w:r>
    </w:p>
    <w:p w14:paraId="6107B934" w14:textId="77777777" w:rsidR="008E36D7" w:rsidRDefault="0001193A">
      <w:pPr>
        <w:ind w:left="-15" w:right="38" w:firstLine="708"/>
      </w:pPr>
      <w:r>
        <w:rPr>
          <w:b/>
        </w:rPr>
        <w:t>Art. 2.</w:t>
      </w:r>
      <w:r>
        <w:t xml:space="preserve"> </w:t>
      </w:r>
      <w:r>
        <w:t>Do spraw wszczętych a niezakończonych przed dniem wejścia w życie ustawy stosuje się przepisy dotychczasowe.</w:t>
      </w:r>
      <w:r>
        <w:t xml:space="preserve"> </w:t>
      </w:r>
    </w:p>
    <w:p w14:paraId="0058F169" w14:textId="77777777" w:rsidR="008E36D7" w:rsidRDefault="0001193A">
      <w:pPr>
        <w:spacing w:after="139" w:line="259" w:lineRule="auto"/>
        <w:ind w:left="708" w:right="38" w:firstLine="0"/>
      </w:pPr>
      <w:r>
        <w:rPr>
          <w:b/>
        </w:rPr>
        <w:t>Art. 3.</w:t>
      </w:r>
      <w:r>
        <w:t xml:space="preserve"> </w:t>
      </w:r>
      <w:r>
        <w:t>Ustawa wchodzi w życie z dniem 1 stycznia 202</w:t>
      </w:r>
      <w:r>
        <w:t xml:space="preserve">5 r. </w:t>
      </w:r>
    </w:p>
    <w:p w14:paraId="6F3203BC" w14:textId="77777777" w:rsidR="008E36D7" w:rsidRDefault="0001193A">
      <w:pPr>
        <w:spacing w:after="0" w:line="259" w:lineRule="auto"/>
        <w:ind w:left="0" w:right="0" w:firstLine="0"/>
        <w:jc w:val="left"/>
      </w:pPr>
      <w:r>
        <w:t xml:space="preserve"> </w:t>
      </w:r>
      <w:r>
        <w:tab/>
        <w:t xml:space="preserve"> </w:t>
      </w:r>
    </w:p>
    <w:p w14:paraId="6CC64526" w14:textId="77777777" w:rsidR="008E36D7" w:rsidRDefault="0001193A">
      <w:pPr>
        <w:spacing w:after="124" w:line="259" w:lineRule="auto"/>
        <w:ind w:left="10" w:right="47" w:hanging="10"/>
        <w:jc w:val="center"/>
      </w:pPr>
      <w:r>
        <w:rPr>
          <w:b/>
        </w:rPr>
        <w:t xml:space="preserve">Uzasadnienie </w:t>
      </w:r>
    </w:p>
    <w:p w14:paraId="0D57A2CB" w14:textId="77777777" w:rsidR="008E36D7" w:rsidRDefault="0001193A">
      <w:pPr>
        <w:ind w:left="-15" w:right="38" w:firstLine="708"/>
      </w:pPr>
      <w:r>
        <w:t xml:space="preserve">Proponowane regulacje mają na celu określenie jednolitych zasad dokumentowania jakości paliw ciekłych poprzez wprowadzenie obowiązku wystawiania świadectwa jakości przez przedsiębiorcę w momencie wprowadzenia paliwa ciekłego do obrotu oraz określenie </w:t>
      </w:r>
      <w:r>
        <w:t>minim</w:t>
      </w:r>
      <w:r>
        <w:t>alnego zakresu parametrów fizykochemicznych zamieszczanych na świadectwie jakości, których wartości uzyskano na podstawie badań laboratoryjnych próbek reprezentatywnych dla paliwa ciekłego wprowadzanego do obrotu. Zaproponowana instytucja świadectwa jakośc</w:t>
      </w:r>
      <w:r>
        <w:t xml:space="preserve">i </w:t>
      </w:r>
      <w:r>
        <w:t xml:space="preserve">paliw ciekłych jest analogiczną regulacją, jak w przypadku świadectwa dla paliw stałych </w:t>
      </w:r>
      <w:r>
        <w:t xml:space="preserve">wprowadzonej </w:t>
      </w:r>
      <w:r>
        <w:rPr>
          <w:i/>
        </w:rPr>
        <w:t>ustawą z dnia 5 lipca 2018 r. o zmianie ustawy o systemie monitorowania  i kontrolowania jakości paliw oraz ustawy o Krajowej Administracji Skarbowej (Dz</w:t>
      </w:r>
      <w:r>
        <w:rPr>
          <w:i/>
        </w:rPr>
        <w:t xml:space="preserve">. U.  poz. 1654, z </w:t>
      </w:r>
      <w:proofErr w:type="spellStart"/>
      <w:r>
        <w:rPr>
          <w:i/>
        </w:rPr>
        <w:t>późn</w:t>
      </w:r>
      <w:proofErr w:type="spellEnd"/>
      <w:r>
        <w:rPr>
          <w:i/>
        </w:rPr>
        <w:t>. zm.)</w:t>
      </w:r>
      <w:r>
        <w:t xml:space="preserve">. </w:t>
      </w:r>
    </w:p>
    <w:p w14:paraId="760CED15" w14:textId="77777777" w:rsidR="008E36D7" w:rsidRDefault="0001193A">
      <w:pPr>
        <w:ind w:left="-15" w:right="38" w:firstLine="708"/>
      </w:pPr>
      <w:r>
        <w:lastRenderedPageBreak/>
        <w:t xml:space="preserve">Krajowa dystrybucyjna paliw ciekłych jest prowadzona przy wykorzystaniu rozproszonej infrastruktury magazynowej operatorów logistycznych (baz paliw i terminali), </w:t>
      </w:r>
      <w:r>
        <w:t xml:space="preserve"> w </w:t>
      </w:r>
      <w:r>
        <w:t>pojemnościach, w których dochodzi do mieszania paliw dostarczanych przez różnych składujących. W związku z powyższym, ze względu na współdzielenie przez różnych składujących pojemości jednego systemu magazynowego, wprowadzane do obrotu paliwo charakteryzuje się parametrami fizykochemicznymi stanowiącymi wypadkową właściwości różnych partii paliw ciekłych przyjętych na zbiornik magazynowy. Brak przepisów regulujących sposób i zakres prowadzenia kontroli jakości paliw ciekłych w łańcuchu logistycznym dosta</w:t>
      </w:r>
      <w:r>
        <w:t>w na rynek krajowy sprawia, że właściciele i zarządcy in</w:t>
      </w:r>
      <w:r>
        <w:t xml:space="preserve">frastruktury celem zapewnienia </w:t>
      </w:r>
      <w:r>
        <w:t>odbiorców o spełnieniu wymagań jakościowych wydawanego paliwa wprowadzają własne rozwiązania systemowe.</w:t>
      </w:r>
      <w:r>
        <w:t xml:space="preserve"> </w:t>
      </w:r>
    </w:p>
    <w:p w14:paraId="68F02654" w14:textId="77777777" w:rsidR="008E36D7" w:rsidRDefault="0001193A">
      <w:pPr>
        <w:spacing w:after="36"/>
        <w:ind w:left="-15" w:right="38" w:firstLine="708"/>
      </w:pPr>
      <w:r>
        <w:t>Branżowym standardem jest, że jakość wprowadzanego do obrotu paliwa potwierdza właściciel albo zarządca infrastruktury magazynowej, na podstawie świadectwa jakości generowanego do każdej partii wydawanego paliwa. Ze względu na brak regulacji zakres informacji oraz sposób ich prezentacji na świadectwie jakości zależy wyłącznie od wystawcy dokumentu, co stwarza pole do nadużyć</w:t>
      </w:r>
      <w:r>
        <w:t xml:space="preserve"> </w:t>
      </w:r>
      <w:r>
        <w:t xml:space="preserve">i może rodzić wątpliwości co do rzetelności </w:t>
      </w:r>
      <w:r>
        <w:t xml:space="preserve">i </w:t>
      </w:r>
      <w:r>
        <w:t xml:space="preserve">miarodajności przedstawianych na dokumencie parametrów fizykochemicznych względem stanu faktycznego. W szczególności niedopuszczalną jest sytuacja, w której prezentowane na </w:t>
      </w:r>
      <w:r>
        <w:t xml:space="preserve">dokumencie parametry fizykochemiczne </w:t>
      </w:r>
      <w:r>
        <w:t>wprowadzanego do obrotu paliwa ciekłego nie mają odwzorowania w rzeczywistych wynikach badań próbek pobranych ze zbiornika przed zwolnieniem paliwa do dystrybucji lub alternatywnie na świadectwie jakości nie zawarto informacji o pochodzeniu wyników spisan</w:t>
      </w:r>
      <w:r>
        <w:t>ych z dokumentu źródłowego dostawcy. Powszechną praktyką branżową jest konsygnowanie do świadectwa jakości paliwa wprowadzanego do obrotu, wyników badań laboratoryjnych spisanych z dokumentów źródłowych stanowiących świadectwa jakości dostawców paliwa do i</w:t>
      </w:r>
      <w:r>
        <w:t xml:space="preserve">nfrastruktury </w:t>
      </w:r>
      <w:r>
        <w:t xml:space="preserve">magazynowej. Takie podejście jest uzasadnione, jednak nie powinno być praktykowane </w:t>
      </w:r>
      <w:r>
        <w:t xml:space="preserve"> </w:t>
      </w:r>
      <w:r>
        <w:t xml:space="preserve">w pełnym zakresie parametrów wymagań jakościowych, szczególnie ze względu na istotne znaczenie części parametrów w aspekcie obszaru ich zastosowania. Dotyczy </w:t>
      </w:r>
      <w:r>
        <w:t xml:space="preserve">to w szczególności parametrów zwartości biokomponentów w paliwie ciekłym, wykorzystywanych przez podmioty zobowiązane do rozliczeń realizacji Narodowego Celu Wskaźnikowego oraz parametrów szczególnie istotnych ze względu na ryzyko utraty jakości paliw w łańcuchu </w:t>
      </w:r>
      <w:r>
        <w:t>transportowo-</w:t>
      </w:r>
      <w:r>
        <w:t>dystrybucyjnym. W związku z</w:t>
      </w:r>
      <w:r>
        <w:t xml:space="preserve"> </w:t>
      </w:r>
      <w:r>
        <w:t xml:space="preserve">powyższym, </w:t>
      </w:r>
      <w:r>
        <w:lastRenderedPageBreak/>
        <w:t>minimalny zakres badań parametrów fizykochemicznych zamieszczanych na świadectwie jakości, jako rzeczywiste wyniki badań próbek pobranych z partii przed wprowadzeniem paliwa ciekłego do obrotu, pow</w:t>
      </w:r>
      <w:r>
        <w:t xml:space="preserve">inien </w:t>
      </w:r>
      <w:r>
        <w:t>obejmować:</w:t>
      </w:r>
      <w:r>
        <w:t xml:space="preserve"> </w:t>
      </w:r>
    </w:p>
    <w:p w14:paraId="5FFB4D57" w14:textId="77777777" w:rsidR="008E36D7" w:rsidRDefault="0001193A">
      <w:pPr>
        <w:numPr>
          <w:ilvl w:val="0"/>
          <w:numId w:val="5"/>
        </w:numPr>
        <w:spacing w:after="36"/>
        <w:ind w:right="38" w:hanging="360"/>
      </w:pPr>
      <w:r>
        <w:t xml:space="preserve">dla benzyn silnikowych stosowanych w szczególności w pojazdach oraz rekreacyjnych jednostkach pływających, wyposażonych w silniki z zapłonem iskrowym: gęstość </w:t>
      </w:r>
      <w:r>
        <w:t xml:space="preserve"> (w </w:t>
      </w:r>
      <w:r>
        <w:t>temperaturze 15ºC); zawartość siarki; wygląd; zawartość tlenu; zawartość związków organicznych zawierających tlen; prężność par, VP (metoda DVPE); destylacja; indeks lotności, VLI (VLI = 10 DVPE + 7 E70);</w:t>
      </w:r>
      <w:r>
        <w:t xml:space="preserve"> </w:t>
      </w:r>
    </w:p>
    <w:p w14:paraId="46D2E0DD" w14:textId="77777777" w:rsidR="008E36D7" w:rsidRDefault="0001193A">
      <w:pPr>
        <w:numPr>
          <w:ilvl w:val="0"/>
          <w:numId w:val="5"/>
        </w:numPr>
        <w:ind w:right="38" w:hanging="360"/>
      </w:pPr>
      <w:r>
        <w:t xml:space="preserve">dla oleju napędowego stosowanego w szczególności w pojazdach, w tym ciągnikach rolniczych, maszynach nieporuszających się po drogach, a także rekreacyjnych jednostkach pływających, wyposażonych w silniki z zapłonem samoczynnym: gęstość </w:t>
      </w:r>
      <w:r>
        <w:t xml:space="preserve"> (w </w:t>
      </w:r>
      <w:r>
        <w:t>temperaturze 15ºC); zawartość estrów metylowych kwasów tłuszczowych (FAME); temperatura zablokowania zimnego filtru, CFPP; skład frakcyjny; zawartość wody; temperatura zapłonu; zawartość siarki; temperatura mętnienia (dotyczy tylko oleju napędowego „o polepszonych właściwościach niskotemperaturowych”).</w:t>
      </w:r>
      <w:r>
        <w:t xml:space="preserve"> </w:t>
      </w:r>
    </w:p>
    <w:p w14:paraId="23096B75" w14:textId="77777777" w:rsidR="008E36D7" w:rsidRDefault="0001193A">
      <w:pPr>
        <w:ind w:left="-15" w:right="38" w:firstLine="708"/>
      </w:pPr>
      <w:r>
        <w:t>Wprowadzenie wymagania posługiwania się w obrocie paliw ciekłych świadectwami jakości paliw umożliwi każdemu podmiotowi, który nabywa paliwo ciekłe, uzyskanie rzetelnej i wyczerpującej informacji na temat produktu. Wprowadzenie świadectwa jakości paliwa ciekłego powinno również usprawnić pracę organów kontrolujących obrót paliwami. Przedsiębiorca w momencie wprowadzania do obrotu paliwa ciekłego wystawia świadectwo jakości dla paliwa i ma obowiązek przekazać egzemplarz przedmiotowego dokumentu, natomiast be</w:t>
      </w:r>
      <w:r>
        <w:t xml:space="preserve">z znaczenia pozostaje później sposób rozdysponowania tego paliwa (czy będzie </w:t>
      </w:r>
      <w:r>
        <w:t>wykorzystane do ce</w:t>
      </w:r>
      <w:r>
        <w:t>lów konsumpcyjnych przez tego nabywcę, czy też będzie przedmiotem dalszego obrotu np. sprzedaży). Jeżeli pośrednik sprzedaje paliwo ciekłe bez dokonywania zmian jego jakości, także wystawia świadectwo jakości, może jednak posiłkować się kopią świadectwa wy</w:t>
      </w:r>
      <w:r>
        <w:t xml:space="preserve">stawionego w mocie wprowadzenia paliwa do obrotu. Proponowany system </w:t>
      </w:r>
      <w:r>
        <w:t>nie przyczyni się do wzrostu kosztów po stronie producentów z tytułu wystawiania świadectw j</w:t>
      </w:r>
      <w:r>
        <w:t>akości paliw ciekłych.</w:t>
      </w:r>
      <w:r>
        <w:t xml:space="preserve"> </w:t>
      </w:r>
    </w:p>
    <w:p w14:paraId="3B6C33EE" w14:textId="77777777" w:rsidR="008E36D7" w:rsidRDefault="0001193A">
      <w:pPr>
        <w:ind w:left="-15" w:right="38" w:firstLine="708"/>
      </w:pPr>
      <w:r>
        <w:t>Analogicznie jak w przypadku paliw stałych przewiduje się sankcje karną</w:t>
      </w:r>
      <w:r>
        <w:t xml:space="preserve"> za nie </w:t>
      </w:r>
      <w:r>
        <w:t xml:space="preserve">wystawienie świadectwa jakości paliwa ciekłego, wystawienie świadectwa jakości paliwa ciekłego, w którym wartości parametrów paliwa ciekłego są niezgodne ze stanem faktycznym, </w:t>
      </w:r>
      <w:r>
        <w:lastRenderedPageBreak/>
        <w:t>za nie przekazanie kopii świadectwa jakości paliwa ciekłego podmiotowi, który nabywa paliwo ciekłe oraz za nie przechowywanie kopii świadectwa jakości paliwa ciekłego.</w:t>
      </w:r>
      <w:r>
        <w:t xml:space="preserve"> </w:t>
      </w:r>
    </w:p>
    <w:p w14:paraId="411115CA" w14:textId="77777777" w:rsidR="008E36D7" w:rsidRDefault="0001193A">
      <w:pPr>
        <w:spacing w:after="123" w:line="259" w:lineRule="auto"/>
        <w:ind w:left="718" w:right="38" w:hanging="10"/>
      </w:pPr>
      <w:r>
        <w:t xml:space="preserve">Projekt ustawy nie jest sprzeczny z prawem Unii Europejskiej. </w:t>
      </w:r>
    </w:p>
    <w:p w14:paraId="477DC88A" w14:textId="77777777" w:rsidR="008E36D7" w:rsidRDefault="0001193A">
      <w:pPr>
        <w:spacing w:after="0" w:line="360" w:lineRule="auto"/>
        <w:ind w:left="-15" w:right="38" w:firstLine="708"/>
      </w:pPr>
      <w:r>
        <w:t xml:space="preserve">Projekt ustawy nie wymaga przedstawienia organom i instytucjom Unii Europejskiej, w tym Europejskiemu Bankowi Centralnemu, w celu uzyskania opinii, dokonania powiadomienia, konsultacji albo uzgodnienia. </w:t>
      </w:r>
    </w:p>
    <w:p w14:paraId="3F832E06" w14:textId="77777777" w:rsidR="008E36D7" w:rsidRDefault="0001193A">
      <w:pPr>
        <w:ind w:left="-15" w:right="38" w:firstLine="708"/>
      </w:pPr>
      <w:r>
        <w:t xml:space="preserve">Projekt ustawy nie będzie miał negatywnego wpływu na działalność </w:t>
      </w:r>
      <w:proofErr w:type="spellStart"/>
      <w:r>
        <w:t>mikroprzedsiębiorców</w:t>
      </w:r>
      <w:proofErr w:type="spellEnd"/>
      <w:r>
        <w:t xml:space="preserve"> oraz małych i średnich przedsiębiorców w zakresie nałożenia na nic</w:t>
      </w:r>
      <w:r>
        <w:t xml:space="preserve">h </w:t>
      </w:r>
      <w:r>
        <w:t>nowych albo wykonywania dotychczasowych obowiązków.</w:t>
      </w:r>
      <w:r>
        <w:t xml:space="preserve"> </w:t>
      </w:r>
    </w:p>
    <w:p w14:paraId="2689787E" w14:textId="77777777" w:rsidR="008E36D7" w:rsidRDefault="0001193A">
      <w:pPr>
        <w:spacing w:after="0" w:line="360" w:lineRule="auto"/>
        <w:ind w:left="-15" w:right="36" w:firstLine="698"/>
      </w:pPr>
      <w:r>
        <w:t xml:space="preserve">Projekt ustawy nie zawiera przepisów technicznych w rozumieniu przepisów </w:t>
      </w:r>
      <w:r>
        <w:rPr>
          <w:i/>
        </w:rPr>
        <w:t xml:space="preserve">rozporządzenia Rady Ministrów z dnia 23 grudnia 2002 r. w sprawie sposobu funkcjonowania krajowego systemu notyfikacji norm i aktów prawnych (Dz. U. poz. 2039, z </w:t>
      </w:r>
      <w:proofErr w:type="spellStart"/>
      <w:r>
        <w:rPr>
          <w:i/>
        </w:rPr>
        <w:t>późn</w:t>
      </w:r>
      <w:proofErr w:type="spellEnd"/>
      <w:r>
        <w:rPr>
          <w:i/>
        </w:rPr>
        <w:t>. zm.)</w:t>
      </w:r>
      <w:r>
        <w:t xml:space="preserve">  i w </w:t>
      </w:r>
      <w:r>
        <w:t>związku z tym nie podlega procedurze notyfikacji.</w:t>
      </w:r>
      <w:r>
        <w:t xml:space="preserve"> </w:t>
      </w:r>
    </w:p>
    <w:p w14:paraId="02E04B39" w14:textId="77777777" w:rsidR="008E36D7" w:rsidRDefault="0001193A">
      <w:pPr>
        <w:ind w:left="-15" w:right="38" w:firstLine="708"/>
      </w:pPr>
      <w:r>
        <w:t>Nie ma możliwości podjęcia alternatywnych, w stosunku do uchwalenia projektu ustawy, środków umożliwiających osiągnięcie zamierzonego celu.</w:t>
      </w:r>
      <w:r>
        <w:t xml:space="preserve"> </w:t>
      </w:r>
    </w:p>
    <w:p w14:paraId="71B28E30" w14:textId="77777777" w:rsidR="008E36D7" w:rsidRDefault="0001193A">
      <w:pPr>
        <w:spacing w:after="176" w:line="360" w:lineRule="auto"/>
        <w:ind w:left="-15" w:right="36" w:firstLine="698"/>
      </w:pPr>
      <w:r>
        <w:t xml:space="preserve">Zgodnie z </w:t>
      </w:r>
      <w:r>
        <w:rPr>
          <w:i/>
        </w:rPr>
        <w:t>ustawą z dnia 7 lipca 2005 r. o działalności lobbingowej w procesie stanowienia prawa (Dz. U. z 2017 r. poz. 248)</w:t>
      </w:r>
      <w:r>
        <w:t xml:space="preserve"> </w:t>
      </w:r>
      <w:r>
        <w:t xml:space="preserve">oraz § 52 </w:t>
      </w:r>
      <w:r>
        <w:rPr>
          <w:i/>
        </w:rPr>
        <w:t>uchwały nr 190 Rady Ministrów z dnia 29 października 2013 r. – Regulamin pracy Rady Ministrów (M.P. z 2022 r. poz. 348)</w:t>
      </w:r>
      <w:r>
        <w:t xml:space="preserve"> projekt ustawy zost</w:t>
      </w:r>
      <w:r>
        <w:t>ał zamieszczony w serwisie Rządowy Proces Legislacyjny na stronie podmiotowej Rządowego Centrum Legislacji.</w:t>
      </w:r>
      <w:r>
        <w:t xml:space="preserve"> </w:t>
      </w:r>
    </w:p>
    <w:p w14:paraId="6A05C864" w14:textId="77777777" w:rsidR="008E36D7" w:rsidRDefault="0001193A">
      <w:pPr>
        <w:spacing w:after="0" w:line="259" w:lineRule="auto"/>
        <w:ind w:left="0" w:right="0" w:firstLine="0"/>
        <w:jc w:val="left"/>
      </w:pPr>
      <w:r>
        <w:t xml:space="preserve"> </w:t>
      </w:r>
      <w:r>
        <w:tab/>
        <w:t xml:space="preserve"> </w:t>
      </w:r>
    </w:p>
    <w:sectPr w:rsidR="008E36D7">
      <w:pgSz w:w="11906" w:h="16838"/>
      <w:pgMar w:top="1463" w:right="1368" w:bottom="150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00102"/>
    <w:multiLevelType w:val="hybridMultilevel"/>
    <w:tmpl w:val="B4B894AE"/>
    <w:lvl w:ilvl="0" w:tplc="791A7780">
      <w:start w:val="6"/>
      <w:numFmt w:val="decimal"/>
      <w:lvlText w:val="%1)"/>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BCA2BE">
      <w:start w:val="1"/>
      <w:numFmt w:val="lowerLetter"/>
      <w:lvlText w:val="%2)"/>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6041AC">
      <w:start w:val="1"/>
      <w:numFmt w:val="lowerRoman"/>
      <w:lvlText w:val="%3"/>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E499B6">
      <w:start w:val="1"/>
      <w:numFmt w:val="decimal"/>
      <w:lvlText w:val="%4"/>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AA006C">
      <w:start w:val="1"/>
      <w:numFmt w:val="lowerLetter"/>
      <w:lvlText w:val="%5"/>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6096B8">
      <w:start w:val="1"/>
      <w:numFmt w:val="lowerRoman"/>
      <w:lvlText w:val="%6"/>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06453A">
      <w:start w:val="1"/>
      <w:numFmt w:val="decimal"/>
      <w:lvlText w:val="%7"/>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9AE048">
      <w:start w:val="1"/>
      <w:numFmt w:val="lowerLetter"/>
      <w:lvlText w:val="%8"/>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0CD08A">
      <w:start w:val="1"/>
      <w:numFmt w:val="lowerRoman"/>
      <w:lvlText w:val="%9"/>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7A2E94"/>
    <w:multiLevelType w:val="hybridMultilevel"/>
    <w:tmpl w:val="3F4E1EF4"/>
    <w:lvl w:ilvl="0" w:tplc="D0FCE40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109E28">
      <w:start w:val="1"/>
      <w:numFmt w:val="lowerLetter"/>
      <w:lvlText w:val="%2"/>
      <w:lvlJc w:val="left"/>
      <w:pPr>
        <w:ind w:left="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121DDA">
      <w:start w:val="6"/>
      <w:numFmt w:val="decimal"/>
      <w:lvlRestart w:val="0"/>
      <w:lvlText w:val="%3."/>
      <w:lvlJc w:val="left"/>
      <w:pPr>
        <w:ind w:left="1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EEC4D0">
      <w:start w:val="1"/>
      <w:numFmt w:val="decimal"/>
      <w:lvlText w:val="%4"/>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7ABAB2">
      <w:start w:val="1"/>
      <w:numFmt w:val="lowerLetter"/>
      <w:lvlText w:val="%5"/>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DED7E2">
      <w:start w:val="1"/>
      <w:numFmt w:val="lowerRoman"/>
      <w:lvlText w:val="%6"/>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F60F0E">
      <w:start w:val="1"/>
      <w:numFmt w:val="decimal"/>
      <w:lvlText w:val="%7"/>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8CAACE">
      <w:start w:val="1"/>
      <w:numFmt w:val="lowerLetter"/>
      <w:lvlText w:val="%8"/>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22BD98">
      <w:start w:val="1"/>
      <w:numFmt w:val="lowerRoman"/>
      <w:lvlText w:val="%9"/>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BE86344"/>
    <w:multiLevelType w:val="hybridMultilevel"/>
    <w:tmpl w:val="FFBC9B2E"/>
    <w:lvl w:ilvl="0" w:tplc="E076A7B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F8264C">
      <w:start w:val="1"/>
      <w:numFmt w:val="lowerLetter"/>
      <w:lvlText w:val="%2"/>
      <w:lvlJc w:val="left"/>
      <w:pPr>
        <w:ind w:left="1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FA0F14">
      <w:start w:val="1"/>
      <w:numFmt w:val="lowerRoman"/>
      <w:lvlText w:val="%3"/>
      <w:lvlJc w:val="left"/>
      <w:pPr>
        <w:ind w:left="1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668ECC">
      <w:start w:val="1"/>
      <w:numFmt w:val="decimal"/>
      <w:lvlText w:val="%4"/>
      <w:lvlJc w:val="left"/>
      <w:pPr>
        <w:ind w:left="2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5C5B8A">
      <w:start w:val="1"/>
      <w:numFmt w:val="lowerLetter"/>
      <w:lvlText w:val="%5"/>
      <w:lvlJc w:val="left"/>
      <w:pPr>
        <w:ind w:left="3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B62980">
      <w:start w:val="1"/>
      <w:numFmt w:val="lowerRoman"/>
      <w:lvlText w:val="%6"/>
      <w:lvlJc w:val="left"/>
      <w:pPr>
        <w:ind w:left="4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D809B0">
      <w:start w:val="1"/>
      <w:numFmt w:val="decimal"/>
      <w:lvlText w:val="%7"/>
      <w:lvlJc w:val="left"/>
      <w:pPr>
        <w:ind w:left="4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2AC6A8">
      <w:start w:val="1"/>
      <w:numFmt w:val="lowerLetter"/>
      <w:lvlText w:val="%8"/>
      <w:lvlJc w:val="left"/>
      <w:pPr>
        <w:ind w:left="5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820EC2">
      <w:start w:val="1"/>
      <w:numFmt w:val="lowerRoman"/>
      <w:lvlText w:val="%9"/>
      <w:lvlJc w:val="left"/>
      <w:pPr>
        <w:ind w:left="6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1B44EC4"/>
    <w:multiLevelType w:val="hybridMultilevel"/>
    <w:tmpl w:val="FFDE9062"/>
    <w:lvl w:ilvl="0" w:tplc="71F2B54C">
      <w:start w:val="1"/>
      <w:numFmt w:val="decimal"/>
      <w:lvlText w:val="%1)"/>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C8C58C">
      <w:start w:val="1"/>
      <w:numFmt w:val="lowerLetter"/>
      <w:lvlText w:val="%2)"/>
      <w:lvlJc w:val="left"/>
      <w:pPr>
        <w:ind w:left="1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8A2990">
      <w:start w:val="1"/>
      <w:numFmt w:val="lowerRoman"/>
      <w:lvlText w:val="%3"/>
      <w:lvlJc w:val="left"/>
      <w:pPr>
        <w:ind w:left="1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B2BDE2">
      <w:start w:val="1"/>
      <w:numFmt w:val="decimal"/>
      <w:lvlText w:val="%4"/>
      <w:lvlJc w:val="left"/>
      <w:pPr>
        <w:ind w:left="2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F42AAE">
      <w:start w:val="1"/>
      <w:numFmt w:val="lowerLetter"/>
      <w:lvlText w:val="%5"/>
      <w:lvlJc w:val="left"/>
      <w:pPr>
        <w:ind w:left="3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443184">
      <w:start w:val="1"/>
      <w:numFmt w:val="lowerRoman"/>
      <w:lvlText w:val="%6"/>
      <w:lvlJc w:val="left"/>
      <w:pPr>
        <w:ind w:left="3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F0F8EA">
      <w:start w:val="1"/>
      <w:numFmt w:val="decimal"/>
      <w:lvlText w:val="%7"/>
      <w:lvlJc w:val="left"/>
      <w:pPr>
        <w:ind w:left="4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A21598">
      <w:start w:val="1"/>
      <w:numFmt w:val="lowerLetter"/>
      <w:lvlText w:val="%8"/>
      <w:lvlJc w:val="left"/>
      <w:pPr>
        <w:ind w:left="5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C0D426">
      <w:start w:val="1"/>
      <w:numFmt w:val="lowerRoman"/>
      <w:lvlText w:val="%9"/>
      <w:lvlJc w:val="left"/>
      <w:pPr>
        <w:ind w:left="6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F357AA"/>
    <w:multiLevelType w:val="hybridMultilevel"/>
    <w:tmpl w:val="C4E04E3C"/>
    <w:lvl w:ilvl="0" w:tplc="E0420638">
      <w:start w:val="1"/>
      <w:numFmt w:val="decimal"/>
      <w:lvlText w:val="%1)"/>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E6151E">
      <w:start w:val="1"/>
      <w:numFmt w:val="lowerLetter"/>
      <w:lvlText w:val="%2"/>
      <w:lvlJc w:val="left"/>
      <w:pPr>
        <w:ind w:left="1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DE7DB2">
      <w:start w:val="1"/>
      <w:numFmt w:val="lowerRoman"/>
      <w:lvlText w:val="%3"/>
      <w:lvlJc w:val="left"/>
      <w:pPr>
        <w:ind w:left="2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9CEB2E">
      <w:start w:val="1"/>
      <w:numFmt w:val="decimal"/>
      <w:lvlText w:val="%4"/>
      <w:lvlJc w:val="left"/>
      <w:pPr>
        <w:ind w:left="3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4EA730">
      <w:start w:val="1"/>
      <w:numFmt w:val="lowerLetter"/>
      <w:lvlText w:val="%5"/>
      <w:lvlJc w:val="left"/>
      <w:pPr>
        <w:ind w:left="3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C6569E">
      <w:start w:val="1"/>
      <w:numFmt w:val="lowerRoman"/>
      <w:lvlText w:val="%6"/>
      <w:lvlJc w:val="left"/>
      <w:pPr>
        <w:ind w:left="4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48CD88">
      <w:start w:val="1"/>
      <w:numFmt w:val="decimal"/>
      <w:lvlText w:val="%7"/>
      <w:lvlJc w:val="left"/>
      <w:pPr>
        <w:ind w:left="5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2692A0">
      <w:start w:val="1"/>
      <w:numFmt w:val="lowerLetter"/>
      <w:lvlText w:val="%8"/>
      <w:lvlJc w:val="left"/>
      <w:pPr>
        <w:ind w:left="5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3CC31A">
      <w:start w:val="1"/>
      <w:numFmt w:val="lowerRoman"/>
      <w:lvlText w:val="%9"/>
      <w:lvlJc w:val="left"/>
      <w:pPr>
        <w:ind w:left="6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66357822">
    <w:abstractNumId w:val="3"/>
  </w:num>
  <w:num w:numId="2" w16cid:durableId="391781548">
    <w:abstractNumId w:val="1"/>
  </w:num>
  <w:num w:numId="3" w16cid:durableId="406729228">
    <w:abstractNumId w:val="0"/>
  </w:num>
  <w:num w:numId="4" w16cid:durableId="1220165310">
    <w:abstractNumId w:val="4"/>
  </w:num>
  <w:num w:numId="5" w16cid:durableId="898441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D7"/>
    <w:rsid w:val="0001193A"/>
    <w:rsid w:val="008E3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9745"/>
  <w15:docId w15:val="{7AB6774A-B926-43F7-90C9-AACDFAB5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361" w:lineRule="auto"/>
      <w:ind w:left="370" w:right="52" w:hanging="370"/>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0"/>
      <w:ind w:left="2651"/>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0"/>
      <w:outlineLvl w:val="1"/>
    </w:pPr>
    <w:rPr>
      <w:rFonts w:ascii="Calibri" w:eastAsia="Calibri" w:hAnsi="Calibri" w:cs="Calibri"/>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20"/>
      <w:u w:val="single" w:color="000000"/>
    </w:rPr>
  </w:style>
  <w:style w:type="character" w:customStyle="1" w:styleId="Nagwek1Znak">
    <w:name w:val="Nagłówek 1 Znak"/>
    <w:link w:val="Nagwek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2104</Words>
  <Characters>12625</Characters>
  <Application>Microsoft Office Word</Application>
  <DocSecurity>0</DocSecurity>
  <Lines>105</Lines>
  <Paragraphs>29</Paragraphs>
  <ScaleCrop>false</ScaleCrop>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Document.pdf</dc:title>
  <dc:subject/>
  <dc:creator>Orlińska Sylwia</dc:creator>
  <cp:keywords/>
  <cp:lastModifiedBy>Orlińska Sylwia</cp:lastModifiedBy>
  <cp:revision>2</cp:revision>
  <dcterms:created xsi:type="dcterms:W3CDTF">2024-04-30T14:09:00Z</dcterms:created>
  <dcterms:modified xsi:type="dcterms:W3CDTF">2024-04-30T14:09:00Z</dcterms:modified>
</cp:coreProperties>
</file>