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8B048" w14:textId="77777777" w:rsidR="00DE0EF3" w:rsidRDefault="00363157">
      <w:pPr>
        <w:spacing w:after="120" w:line="259" w:lineRule="auto"/>
        <w:ind w:firstLine="0"/>
        <w:jc w:val="right"/>
      </w:pPr>
      <w:r>
        <w:t>Siemianowice Śląskie 2024-02-19</w:t>
      </w:r>
    </w:p>
    <w:p w14:paraId="3B5FBA19" w14:textId="1D29F282" w:rsidR="00DE0EF3" w:rsidRDefault="00363157">
      <w:pPr>
        <w:ind w:left="4" w:right="0"/>
      </w:pPr>
      <w:r>
        <w:t>Podmiot wnoszący</w:t>
      </w:r>
      <w:r>
        <w:t xml:space="preserve"> petycję</w:t>
      </w:r>
    </w:p>
    <w:tbl>
      <w:tblPr>
        <w:tblStyle w:val="TableGrid"/>
        <w:tblpPr w:vertAnchor="text" w:tblpX="6709" w:tblpY="21"/>
        <w:tblOverlap w:val="never"/>
        <w:tblW w:w="2710" w:type="dxa"/>
        <w:tblInd w:w="0" w:type="dxa"/>
        <w:tblCellMar>
          <w:top w:w="0" w:type="dxa"/>
          <w:left w:w="26" w:type="dxa"/>
          <w:bottom w:w="0" w:type="dxa"/>
          <w:right w:w="53" w:type="dxa"/>
        </w:tblCellMar>
        <w:tblLook w:val="04A0" w:firstRow="1" w:lastRow="0" w:firstColumn="1" w:lastColumn="0" w:noHBand="0" w:noVBand="1"/>
      </w:tblPr>
      <w:tblGrid>
        <w:gridCol w:w="2710"/>
      </w:tblGrid>
      <w:tr w:rsidR="00DE0EF3" w14:paraId="4513E609" w14:textId="77777777">
        <w:trPr>
          <w:trHeight w:val="1475"/>
        </w:trPr>
        <w:tc>
          <w:tcPr>
            <w:tcW w:w="2710" w:type="dxa"/>
            <w:tcBorders>
              <w:top w:val="single" w:sz="2" w:space="0" w:color="000000"/>
              <w:left w:val="single" w:sz="2" w:space="0" w:color="000000"/>
              <w:bottom w:val="single" w:sz="2" w:space="0" w:color="000000"/>
              <w:right w:val="single" w:sz="2" w:space="0" w:color="000000"/>
            </w:tcBorders>
          </w:tcPr>
          <w:p w14:paraId="62731D95" w14:textId="77777777" w:rsidR="00DE0EF3" w:rsidRDefault="00363157">
            <w:pPr>
              <w:spacing w:after="0" w:line="259" w:lineRule="auto"/>
              <w:ind w:right="0" w:firstLine="0"/>
              <w:jc w:val="left"/>
            </w:pPr>
            <w:r>
              <w:rPr>
                <w:rFonts w:ascii="Times New Roman" w:eastAsia="Times New Roman" w:hAnsi="Times New Roman" w:cs="Times New Roman"/>
                <w:sz w:val="14"/>
              </w:rPr>
              <w:t>MINISTERSTWO</w:t>
            </w:r>
          </w:p>
          <w:p w14:paraId="7542C86C" w14:textId="77777777" w:rsidR="00DE0EF3" w:rsidRDefault="00363157">
            <w:pPr>
              <w:spacing w:after="0" w:line="259" w:lineRule="auto"/>
              <w:ind w:left="19" w:right="0" w:firstLine="0"/>
              <w:jc w:val="center"/>
            </w:pPr>
            <w:r>
              <w:rPr>
                <w:rFonts w:ascii="Times New Roman" w:eastAsia="Times New Roman" w:hAnsi="Times New Roman" w:cs="Times New Roman"/>
                <w:sz w:val="16"/>
              </w:rPr>
              <w:t>KANCELARIA OGÓLNA</w:t>
            </w:r>
          </w:p>
          <w:tbl>
            <w:tblPr>
              <w:tblStyle w:val="TableGrid"/>
              <w:tblW w:w="1862" w:type="dxa"/>
              <w:tblInd w:w="401" w:type="dxa"/>
              <w:tblCellMar>
                <w:top w:w="0" w:type="dxa"/>
                <w:left w:w="218" w:type="dxa"/>
                <w:bottom w:w="0" w:type="dxa"/>
                <w:right w:w="115" w:type="dxa"/>
              </w:tblCellMar>
              <w:tblLook w:val="04A0" w:firstRow="1" w:lastRow="0" w:firstColumn="1" w:lastColumn="0" w:noHBand="0" w:noVBand="1"/>
            </w:tblPr>
            <w:tblGrid>
              <w:gridCol w:w="1862"/>
            </w:tblGrid>
            <w:tr w:rsidR="00DE0EF3" w14:paraId="6169AE31" w14:textId="77777777">
              <w:trPr>
                <w:trHeight w:val="744"/>
              </w:trPr>
              <w:tc>
                <w:tcPr>
                  <w:tcW w:w="1862" w:type="dxa"/>
                  <w:tcBorders>
                    <w:top w:val="nil"/>
                    <w:left w:val="single" w:sz="2" w:space="0" w:color="000000"/>
                    <w:bottom w:val="single" w:sz="2" w:space="0" w:color="000000"/>
                    <w:right w:val="single" w:sz="2" w:space="0" w:color="000000"/>
                  </w:tcBorders>
                  <w:vAlign w:val="center"/>
                </w:tcPr>
                <w:p w14:paraId="1E0FDBA3" w14:textId="77777777" w:rsidR="00DE0EF3" w:rsidRDefault="00363157">
                  <w:pPr>
                    <w:framePr w:wrap="around" w:vAnchor="text" w:hAnchor="text" w:x="6709" w:y="21"/>
                    <w:spacing w:after="0" w:line="259" w:lineRule="auto"/>
                    <w:ind w:right="0" w:firstLine="0"/>
                    <w:suppressOverlap/>
                    <w:jc w:val="left"/>
                  </w:pPr>
                  <w:r>
                    <w:rPr>
                      <w:rFonts w:ascii="Times New Roman" w:eastAsia="Times New Roman" w:hAnsi="Times New Roman" w:cs="Times New Roman"/>
                      <w:sz w:val="20"/>
                    </w:rPr>
                    <w:t>2024 -03- 1 3</w:t>
                  </w:r>
                </w:p>
              </w:tc>
            </w:tr>
          </w:tbl>
          <w:p w14:paraId="2E4C6D8F" w14:textId="77777777" w:rsidR="00DE0EF3" w:rsidRDefault="00363157">
            <w:pPr>
              <w:spacing w:after="0" w:line="259" w:lineRule="auto"/>
              <w:ind w:left="53" w:right="0" w:firstLine="0"/>
              <w:jc w:val="left"/>
            </w:pPr>
            <w:r>
              <w:rPr>
                <w:rFonts w:ascii="Times New Roman" w:eastAsia="Times New Roman" w:hAnsi="Times New Roman" w:cs="Times New Roman"/>
                <w:sz w:val="18"/>
              </w:rPr>
              <w:t>L. dz. ...............</w:t>
            </w:r>
            <w:r>
              <w:rPr>
                <w:noProof/>
              </w:rPr>
              <w:drawing>
                <wp:inline distT="0" distB="0" distL="0" distR="0" wp14:anchorId="04B36082" wp14:editId="708A185E">
                  <wp:extent cx="1127798" cy="195123"/>
                  <wp:effectExtent l="0" t="0" r="0" b="0"/>
                  <wp:docPr id="2504" name="Picture 2504"/>
                  <wp:cNvGraphicFramePr/>
                  <a:graphic xmlns:a="http://schemas.openxmlformats.org/drawingml/2006/main">
                    <a:graphicData uri="http://schemas.openxmlformats.org/drawingml/2006/picture">
                      <pic:pic xmlns:pic="http://schemas.openxmlformats.org/drawingml/2006/picture">
                        <pic:nvPicPr>
                          <pic:cNvPr id="2504" name="Picture 2504"/>
                          <pic:cNvPicPr/>
                        </pic:nvPicPr>
                        <pic:blipFill>
                          <a:blip r:embed="rId4"/>
                          <a:stretch>
                            <a:fillRect/>
                          </a:stretch>
                        </pic:blipFill>
                        <pic:spPr>
                          <a:xfrm>
                            <a:off x="0" y="0"/>
                            <a:ext cx="1127798" cy="195123"/>
                          </a:xfrm>
                          <a:prstGeom prst="rect">
                            <a:avLst/>
                          </a:prstGeom>
                        </pic:spPr>
                      </pic:pic>
                    </a:graphicData>
                  </a:graphic>
                </wp:inline>
              </w:drawing>
            </w:r>
          </w:p>
        </w:tc>
      </w:tr>
    </w:tbl>
    <w:p w14:paraId="276CAE01" w14:textId="291479C1" w:rsidR="00DE0EF3" w:rsidRDefault="00363157">
      <w:pPr>
        <w:spacing w:after="33"/>
        <w:ind w:left="4" w:right="0"/>
      </w:pPr>
      <w:r>
        <w:t>Grupa</w:t>
      </w:r>
      <w:r>
        <w:t xml:space="preserve"> mieszkańców</w:t>
      </w:r>
    </w:p>
    <w:p w14:paraId="0F5C21D3" w14:textId="77777777" w:rsidR="00DE0EF3" w:rsidRDefault="00363157">
      <w:pPr>
        <w:ind w:left="4" w:right="160"/>
      </w:pPr>
      <w:r>
        <w:t>Gminy Miasta Siemianowice Śląskie</w:t>
      </w:r>
    </w:p>
    <w:p w14:paraId="5C8A5DBD" w14:textId="3AC3E873" w:rsidR="00DE0EF3" w:rsidRDefault="00363157">
      <w:pPr>
        <w:spacing w:after="518"/>
        <w:ind w:left="4" w:right="0"/>
      </w:pPr>
      <w:r>
        <w:t>Osoby</w:t>
      </w:r>
      <w:r>
        <w:t xml:space="preserve"> reprezentujące</w:t>
      </w:r>
      <w:r>
        <w:t xml:space="preserve"> podmiot wnoszący</w:t>
      </w:r>
      <w:r>
        <w:t xml:space="preserve"> petycję</w:t>
      </w:r>
    </w:p>
    <w:p w14:paraId="433AFD71" w14:textId="77777777" w:rsidR="00DE0EF3" w:rsidRDefault="00363157">
      <w:pPr>
        <w:spacing w:after="0"/>
        <w:ind w:left="4" w:right="0"/>
      </w:pPr>
      <w:r>
        <w:t>adres zam.</w:t>
      </w:r>
    </w:p>
    <w:p w14:paraId="4919B377" w14:textId="77777777" w:rsidR="00DE0EF3" w:rsidRDefault="00363157">
      <w:pPr>
        <w:tabs>
          <w:tab w:val="center" w:pos="7522"/>
        </w:tabs>
        <w:spacing w:after="0"/>
        <w:ind w:right="0" w:firstLine="0"/>
        <w:jc w:val="left"/>
      </w:pPr>
      <w:r>
        <w:t>adres korespondencji.</w:t>
      </w:r>
      <w:r>
        <w:tab/>
      </w:r>
      <w:r>
        <w:rPr>
          <w:noProof/>
        </w:rPr>
        <w:drawing>
          <wp:inline distT="0" distB="0" distL="0" distR="0" wp14:anchorId="7CD5B060" wp14:editId="2CDC582D">
            <wp:extent cx="701064" cy="359758"/>
            <wp:effectExtent l="0" t="0" r="0" b="0"/>
            <wp:docPr id="2534" name="Picture 2534"/>
            <wp:cNvGraphicFramePr/>
            <a:graphic xmlns:a="http://schemas.openxmlformats.org/drawingml/2006/main">
              <a:graphicData uri="http://schemas.openxmlformats.org/drawingml/2006/picture">
                <pic:pic xmlns:pic="http://schemas.openxmlformats.org/drawingml/2006/picture">
                  <pic:nvPicPr>
                    <pic:cNvPr id="2534" name="Picture 2534"/>
                    <pic:cNvPicPr/>
                  </pic:nvPicPr>
                  <pic:blipFill>
                    <a:blip r:embed="rId5"/>
                    <a:stretch>
                      <a:fillRect/>
                    </a:stretch>
                  </pic:blipFill>
                  <pic:spPr>
                    <a:xfrm>
                      <a:off x="0" y="0"/>
                      <a:ext cx="701064" cy="359758"/>
                    </a:xfrm>
                    <a:prstGeom prst="rect">
                      <a:avLst/>
                    </a:prstGeom>
                  </pic:spPr>
                </pic:pic>
              </a:graphicData>
            </a:graphic>
          </wp:inline>
        </w:drawing>
      </w:r>
    </w:p>
    <w:p w14:paraId="7A06A6C8" w14:textId="77777777" w:rsidR="00DE0EF3" w:rsidRDefault="00363157">
      <w:pPr>
        <w:tabs>
          <w:tab w:val="center" w:pos="7769"/>
        </w:tabs>
        <w:spacing w:after="0" w:line="259" w:lineRule="auto"/>
        <w:ind w:right="0" w:firstLine="0"/>
        <w:jc w:val="left"/>
      </w:pPr>
      <w:r>
        <w:rPr>
          <w:sz w:val="18"/>
        </w:rPr>
        <w:t>tel./mail.</w:t>
      </w:r>
      <w:r>
        <w:rPr>
          <w:sz w:val="18"/>
        </w:rPr>
        <w:tab/>
        <w:t>RPW/21402/2024 P</w:t>
      </w:r>
    </w:p>
    <w:p w14:paraId="6C393C97" w14:textId="77777777" w:rsidR="00DE0EF3" w:rsidRDefault="00363157">
      <w:pPr>
        <w:spacing w:after="0" w:line="259" w:lineRule="auto"/>
        <w:ind w:right="710" w:firstLine="0"/>
        <w:jc w:val="right"/>
      </w:pPr>
      <w:r>
        <w:rPr>
          <w:sz w:val="20"/>
        </w:rPr>
        <w:t>Data : 2024-03-13</w:t>
      </w:r>
    </w:p>
    <w:p w14:paraId="6AD66975" w14:textId="77777777" w:rsidR="00DE0EF3" w:rsidRDefault="00363157">
      <w:pPr>
        <w:spacing w:after="20"/>
        <w:ind w:left="86" w:right="1113" w:firstLine="6941"/>
      </w:pPr>
      <w:proofErr w:type="spellStart"/>
      <w:r>
        <w:t>MKiS</w:t>
      </w:r>
      <w:proofErr w:type="spellEnd"/>
      <w:r>
        <w:t xml:space="preserve"> </w:t>
      </w:r>
      <w:r>
        <w:t>adres zam.</w:t>
      </w:r>
    </w:p>
    <w:p w14:paraId="3E98B067" w14:textId="77777777" w:rsidR="00DE0EF3" w:rsidRDefault="00363157">
      <w:pPr>
        <w:spacing w:after="942"/>
        <w:ind w:left="4" w:right="5645"/>
      </w:pPr>
      <w:r>
        <w:t>adres korespondencji tel./mail.</w:t>
      </w:r>
    </w:p>
    <w:p w14:paraId="02B445D9" w14:textId="77777777" w:rsidR="00DE0EF3" w:rsidRDefault="00363157">
      <w:pPr>
        <w:spacing w:after="37" w:line="259" w:lineRule="auto"/>
        <w:ind w:left="1964" w:right="0" w:firstLine="0"/>
        <w:jc w:val="center"/>
      </w:pPr>
      <w:r>
        <w:rPr>
          <w:sz w:val="28"/>
        </w:rPr>
        <w:t>Prezes Rady Ministrów</w:t>
      </w:r>
    </w:p>
    <w:p w14:paraId="58E854EC" w14:textId="77777777" w:rsidR="00DE0EF3" w:rsidRDefault="00363157">
      <w:pPr>
        <w:spacing w:after="1066" w:line="259" w:lineRule="auto"/>
        <w:ind w:left="821" w:right="0" w:firstLine="0"/>
        <w:jc w:val="center"/>
      </w:pPr>
      <w:r>
        <w:t>Donald Tusk</w:t>
      </w:r>
    </w:p>
    <w:p w14:paraId="640EB953" w14:textId="77777777" w:rsidR="00DE0EF3" w:rsidRDefault="00363157">
      <w:pPr>
        <w:spacing w:after="513" w:line="264" w:lineRule="auto"/>
        <w:ind w:left="29" w:right="33" w:firstLine="4047"/>
        <w:jc w:val="left"/>
      </w:pPr>
      <w:r>
        <w:t>Petycja w sprawie zmiany przepisów ustawowych mających na celu ochronę osób zamieszkujących w budynkach mieszkaniowych wielolokalowych pozostających w zasobie spółdzielni mieszkaniowych, wspólnot mieszkaniowych i innych podmiotów zarządzających wielolokalowymi budynkami mieszkalnymi przed drastycznymi podwyżkami cen energii cieplnej zużywanej na potrzeby gospodarstw domowych dostarczanej przez przedsiębiorstwa, eksploatujące kotłownie gazowe</w:t>
      </w:r>
    </w:p>
    <w:p w14:paraId="23E8A2F5" w14:textId="201C1CB4" w:rsidR="00DE0EF3" w:rsidRDefault="00363157">
      <w:pPr>
        <w:spacing w:after="563"/>
        <w:ind w:left="4" w:right="0"/>
      </w:pPr>
      <w:r>
        <w:t>Na podstawie ustawy z dnia 1</w:t>
      </w:r>
      <w:r>
        <w:t>1 lipca 2014 r. o petycjach zwracamy się z petycja</w:t>
      </w:r>
      <w:r>
        <w:t xml:space="preserve"> o podjęcie działań — uruchomienie inicjatywy ustawodawczej, której przedmiotem będzie wprowadzenie zmian w przepisach ustawowych celem</w:t>
      </w:r>
    </w:p>
    <w:p w14:paraId="2EC069DF" w14:textId="77777777" w:rsidR="00DE0EF3" w:rsidRDefault="00363157">
      <w:pPr>
        <w:spacing w:after="0" w:line="259" w:lineRule="auto"/>
        <w:ind w:right="62" w:firstLine="0"/>
        <w:jc w:val="right"/>
      </w:pPr>
      <w:r>
        <w:rPr>
          <w:rFonts w:ascii="Times New Roman" w:eastAsia="Times New Roman" w:hAnsi="Times New Roman" w:cs="Times New Roman"/>
          <w:sz w:val="26"/>
        </w:rPr>
        <w:lastRenderedPageBreak/>
        <w:t>1</w:t>
      </w:r>
    </w:p>
    <w:p w14:paraId="26AA53D3" w14:textId="77777777" w:rsidR="00DE0EF3" w:rsidRDefault="00363157">
      <w:pPr>
        <w:spacing w:after="450"/>
        <w:ind w:left="4" w:right="0"/>
      </w:pPr>
      <w:r>
        <w:t>budynkami mieszkalnymi a ostatecznie na niższe rachunki dla końcowych odbiorców ciepła jakimi się mieszkańcy budynków wielolokalowych.</w:t>
      </w:r>
    </w:p>
    <w:p w14:paraId="6F5E87E3" w14:textId="34979445" w:rsidR="00DE0EF3" w:rsidRDefault="00363157">
      <w:pPr>
        <w:spacing w:after="490"/>
        <w:ind w:left="4" w:right="0"/>
      </w:pPr>
      <w:r>
        <w:t>Innym sposobem wyjścia z zaistniałej sytuacji wydaje się przyjęcie regulacji prawnych zgodnie z którymi przedsiębiorstwa ciepłownicze nabywają</w:t>
      </w:r>
      <w:r>
        <w:t xml:space="preserve"> gaz do produkcji ciepła dostarczanego do budynków mieszkalnych po cenie regulowanej. W takim przypadku doszłoby do zrównania sytuacji spółdzielni i wspólnot nabywających</w:t>
      </w:r>
      <w:r>
        <w:t xml:space="preserve"> gaz (po cenie regulowanej) mających</w:t>
      </w:r>
      <w:r>
        <w:t xml:space="preserve"> własne kotłownie z tymi, które korzystają</w:t>
      </w:r>
      <w:r>
        <w:t xml:space="preserve"> z zaopatrzenia w ciepło przez przedsiębiorstwa eksploatujące</w:t>
      </w:r>
      <w:r>
        <w:t xml:space="preserve"> kotłownie gazowe, które kupują</w:t>
      </w:r>
      <w:r>
        <w:t xml:space="preserve"> gaz do produkcji ciepła po cenie wolnorynkowej. Takie rozwiązanie</w:t>
      </w:r>
      <w:r>
        <w:t xml:space="preserve"> umożliwiłoby na objęcie ochroną</w:t>
      </w:r>
      <w:r>
        <w:t xml:space="preserve"> taryfowa</w:t>
      </w:r>
      <w:r>
        <w:t xml:space="preserve"> wszystkich odbiorców ciepła w gospodarstwach domowych bez względu jego źródło. Zdać sobie trzeba, że końcowym odbiorcą</w:t>
      </w:r>
      <w:r>
        <w:t xml:space="preserve"> ciepła jest zawsze mieszkaniec, a te jest zużywane dla celów prowadzenia gospodarstwa domowego, stąd</w:t>
      </w:r>
      <w:r>
        <w:t xml:space="preserve"> w pełni zasadnym jest zrównanie sytuacji prawnej wszystkich podmiotów.</w:t>
      </w:r>
    </w:p>
    <w:p w14:paraId="188FFF30" w14:textId="01F2263E" w:rsidR="00DE0EF3" w:rsidRDefault="00363157">
      <w:pPr>
        <w:spacing w:after="444" w:line="265" w:lineRule="auto"/>
        <w:ind w:left="24" w:right="0" w:hanging="10"/>
        <w:jc w:val="left"/>
      </w:pPr>
      <w:r>
        <w:rPr>
          <w:sz w:val="28"/>
        </w:rPr>
        <w:t>Wsparciem dla obniżenia kosztów w ww. zakresie byłoby zmniejszenie stawki podatku VAT na nośniki energii, które są</w:t>
      </w:r>
      <w:r>
        <w:rPr>
          <w:sz w:val="28"/>
        </w:rPr>
        <w:t xml:space="preserve"> wykorzystywane do produkcji ciepła.</w:t>
      </w:r>
    </w:p>
    <w:p w14:paraId="673D8151" w14:textId="5CD5DF11" w:rsidR="00DE0EF3" w:rsidRDefault="00363157">
      <w:pPr>
        <w:spacing w:after="884"/>
        <w:ind w:left="4" w:right="0"/>
      </w:pPr>
      <w:r>
        <w:t>Możliwością</w:t>
      </w:r>
      <w:r>
        <w:t xml:space="preserve"> rozwiązania nakreślonego problemu byłoby też wprowadzenie w drodze ustawy takich przepisów, które określałby maksymalny pułap procentowy wzrostu opłat w skali roku za dostarczone ciepło do gospodarstw domowych i powiązanie</w:t>
      </w:r>
      <w:r>
        <w:t xml:space="preserve"> ich z miarodajnymi, obiektywnie sprawdzalnymi kryteriami. Wydaje się, iż takie rozwiązanie</w:t>
      </w:r>
      <w:r>
        <w:t xml:space="preserve"> powinno wyjaśniać sposób obliczenia indywidualnych opłat dla poszczególnych gospodarstw.</w:t>
      </w:r>
    </w:p>
    <w:p w14:paraId="3D96F910" w14:textId="63726EF6" w:rsidR="00DE0EF3" w:rsidRDefault="00363157">
      <w:pPr>
        <w:spacing w:after="40" w:line="259" w:lineRule="auto"/>
        <w:ind w:left="29" w:right="0" w:firstLine="0"/>
        <w:jc w:val="left"/>
      </w:pPr>
      <w:r>
        <w:rPr>
          <w:sz w:val="26"/>
        </w:rPr>
        <w:t>Załącznik</w:t>
      </w:r>
      <w:r>
        <w:rPr>
          <w:sz w:val="26"/>
        </w:rPr>
        <w:t xml:space="preserve"> do pisma:</w:t>
      </w:r>
    </w:p>
    <w:p w14:paraId="63DD9F38" w14:textId="77777777" w:rsidR="00DE0EF3" w:rsidRDefault="00363157">
      <w:pPr>
        <w:spacing w:after="30" w:line="265" w:lineRule="auto"/>
        <w:ind w:left="24" w:right="0" w:hanging="10"/>
        <w:jc w:val="left"/>
      </w:pPr>
      <w:r>
        <w:rPr>
          <w:noProof/>
        </w:rPr>
        <w:drawing>
          <wp:inline distT="0" distB="0" distL="0" distR="0" wp14:anchorId="1C2F6F39" wp14:editId="62CA8C03">
            <wp:extent cx="45737" cy="15240"/>
            <wp:effectExtent l="0" t="0" r="0" b="0"/>
            <wp:docPr id="3902" name="Picture 3902"/>
            <wp:cNvGraphicFramePr/>
            <a:graphic xmlns:a="http://schemas.openxmlformats.org/drawingml/2006/main">
              <a:graphicData uri="http://schemas.openxmlformats.org/drawingml/2006/picture">
                <pic:pic xmlns:pic="http://schemas.openxmlformats.org/drawingml/2006/picture">
                  <pic:nvPicPr>
                    <pic:cNvPr id="3902" name="Picture 3902"/>
                    <pic:cNvPicPr/>
                  </pic:nvPicPr>
                  <pic:blipFill>
                    <a:blip r:embed="rId6"/>
                    <a:stretch>
                      <a:fillRect/>
                    </a:stretch>
                  </pic:blipFill>
                  <pic:spPr>
                    <a:xfrm>
                      <a:off x="0" y="0"/>
                      <a:ext cx="45737" cy="15240"/>
                    </a:xfrm>
                    <a:prstGeom prst="rect">
                      <a:avLst/>
                    </a:prstGeom>
                  </pic:spPr>
                </pic:pic>
              </a:graphicData>
            </a:graphic>
          </wp:inline>
        </w:drawing>
      </w:r>
      <w:r>
        <w:rPr>
          <w:sz w:val="28"/>
        </w:rPr>
        <w:t xml:space="preserve"> lista poparcia,</w:t>
      </w:r>
    </w:p>
    <w:p w14:paraId="48322154" w14:textId="77777777" w:rsidR="00DE0EF3" w:rsidRDefault="00363157">
      <w:pPr>
        <w:spacing w:after="856" w:line="265" w:lineRule="auto"/>
        <w:ind w:left="24" w:right="0" w:hanging="10"/>
        <w:jc w:val="left"/>
      </w:pPr>
      <w:r>
        <w:rPr>
          <w:sz w:val="28"/>
        </w:rPr>
        <w:t>- oświadczenie odnośnie danych osobowych</w:t>
      </w:r>
    </w:p>
    <w:p w14:paraId="46356244" w14:textId="77777777" w:rsidR="00DE0EF3" w:rsidRDefault="00363157">
      <w:pPr>
        <w:spacing w:after="0" w:line="259" w:lineRule="auto"/>
        <w:ind w:right="29" w:firstLine="0"/>
        <w:jc w:val="right"/>
      </w:pPr>
      <w:r>
        <w:rPr>
          <w:rFonts w:ascii="Times New Roman" w:eastAsia="Times New Roman" w:hAnsi="Times New Roman" w:cs="Times New Roman"/>
          <w:sz w:val="22"/>
        </w:rPr>
        <w:t>3</w:t>
      </w:r>
    </w:p>
    <w:p w14:paraId="0907A0E0" w14:textId="7F7C3A80" w:rsidR="00DE0EF3" w:rsidRDefault="00363157">
      <w:pPr>
        <w:ind w:left="91" w:right="0"/>
      </w:pPr>
      <w:r>
        <w:lastRenderedPageBreak/>
        <w:t>Lista podpisów dot. poparcia petycji w sprawie zmiany przepisów ustawowych mających na celu ochronę osób zamieszkujących</w:t>
      </w:r>
      <w:r>
        <w:t xml:space="preserve"> w budynkach mieszkaniowych wielolokalowych pozostających w zasobie spółdzielni mieszkaniowych, wspólnot mieszkaniowych innych podmiotów zarządzających wielolokalowymi budynkami mieszkalnymi przed drastycznymi podwyżkami cen energii cieplnej zużywanej na potrzeby gospodarstw domowych dostarczanej przez przedsiębiorstwa, eksploatujące kotłownie gazowe oraz dot. oświadczenia odnośnie danych osobowych</w:t>
      </w:r>
    </w:p>
    <w:sectPr w:rsidR="00DE0EF3">
      <w:pgSz w:w="11866" w:h="16934"/>
      <w:pgMar w:top="1326" w:right="1244" w:bottom="787" w:left="146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EF3"/>
    <w:rsid w:val="00363157"/>
    <w:rsid w:val="00DE0EF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A2B86"/>
  <w15:docId w15:val="{93FDD992-DD58-459D-9163-42F9ED473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58" w:line="271" w:lineRule="auto"/>
      <w:ind w:right="105" w:firstLine="9"/>
      <w:jc w:val="both"/>
    </w:pPr>
    <w:rPr>
      <w:rFonts w:ascii="Calibri" w:eastAsia="Calibri" w:hAnsi="Calibri" w:cs="Calibri"/>
      <w:color w:val="000000"/>
      <w:sz w:val="3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462</Words>
  <Characters>2774</Characters>
  <Application>Microsoft Office Word</Application>
  <DocSecurity>0</DocSecurity>
  <Lines>23</Lines>
  <Paragraphs>6</Paragraphs>
  <ScaleCrop>false</ScaleCrop>
  <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Kodak Capture Pro Software</dc:title>
  <dc:subject/>
  <dc:creator>Kodak Capture Pro Software</dc:creator>
  <cp:keywords/>
  <cp:lastModifiedBy>Orlińska Sylwia</cp:lastModifiedBy>
  <cp:revision>2</cp:revision>
  <dcterms:created xsi:type="dcterms:W3CDTF">2024-03-20T11:31:00Z</dcterms:created>
  <dcterms:modified xsi:type="dcterms:W3CDTF">2024-03-20T11:31:00Z</dcterms:modified>
</cp:coreProperties>
</file>