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DCDA" w14:textId="77777777" w:rsidR="00C67DAD" w:rsidRDefault="006B0C62">
      <w:pPr>
        <w:spacing w:after="609" w:line="259" w:lineRule="auto"/>
        <w:ind w:left="-1470" w:right="0" w:firstLine="0"/>
      </w:pPr>
      <w:r>
        <w:rPr>
          <w:noProof/>
        </w:rPr>
        <w:drawing>
          <wp:inline distT="0" distB="0" distL="0" distR="0" wp14:anchorId="5DD5BEBD" wp14:editId="6C03387E">
            <wp:extent cx="3146425" cy="106172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64C19" w14:textId="77777777" w:rsidR="00C67DAD" w:rsidRDefault="006B0C62">
      <w:pPr>
        <w:spacing w:after="10" w:line="252" w:lineRule="auto"/>
        <w:ind w:left="-5" w:right="3261"/>
      </w:pPr>
      <w:r>
        <w:rPr>
          <w:rFonts w:ascii="Lato" w:eastAsia="Lato" w:hAnsi="Lato" w:cs="Lato"/>
          <w:sz w:val="20"/>
        </w:rPr>
        <w:t xml:space="preserve">DLŁ-WNO.053.1.2024.AP </w:t>
      </w:r>
      <w:r>
        <w:rPr>
          <w:rFonts w:ascii="Lato" w:eastAsia="Lato" w:hAnsi="Lato" w:cs="Lato"/>
        </w:rPr>
        <w:t>2981294.11683484.9698198</w:t>
      </w:r>
    </w:p>
    <w:p w14:paraId="040217B4" w14:textId="77777777" w:rsidR="00C67DAD" w:rsidRDefault="006B0C62">
      <w:pPr>
        <w:spacing w:after="857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>Warszawa, 19-03-2024</w:t>
      </w:r>
    </w:p>
    <w:p w14:paraId="5F5405D7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b/>
          <w:sz w:val="20"/>
        </w:rPr>
        <w:t xml:space="preserve">   </w:t>
      </w:r>
    </w:p>
    <w:p w14:paraId="357104D0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b/>
          <w:sz w:val="20"/>
        </w:rPr>
        <w:t xml:space="preserve"> </w:t>
      </w:r>
      <w:r>
        <w:rPr>
          <w:rFonts w:ascii="Lato" w:eastAsia="Lato" w:hAnsi="Lato" w:cs="Lato"/>
          <w:b/>
          <w:sz w:val="20"/>
        </w:rPr>
        <w:tab/>
        <w:t xml:space="preserve">         </w:t>
      </w:r>
      <w:r>
        <w:rPr>
          <w:rFonts w:ascii="Lato" w:eastAsia="Lato" w:hAnsi="Lato" w:cs="Lato"/>
          <w:b/>
          <w:sz w:val="20"/>
        </w:rPr>
        <w:tab/>
        <w:t xml:space="preserve">    </w:t>
      </w:r>
      <w:r>
        <w:rPr>
          <w:rFonts w:ascii="Lato" w:eastAsia="Lato" w:hAnsi="Lato" w:cs="Lato"/>
          <w:b/>
          <w:sz w:val="20"/>
        </w:rPr>
        <w:tab/>
        <w:t xml:space="preserve">   </w:t>
      </w:r>
    </w:p>
    <w:p w14:paraId="4BD27521" w14:textId="77777777" w:rsidR="00C67DAD" w:rsidRDefault="006B0C62">
      <w:pPr>
        <w:spacing w:after="0" w:line="259" w:lineRule="auto"/>
        <w:ind w:left="-5" w:right="0"/>
        <w:jc w:val="both"/>
      </w:pPr>
      <w:r>
        <w:rPr>
          <w:rFonts w:ascii="Lato" w:eastAsia="Lato" w:hAnsi="Lato" w:cs="Lato"/>
          <w:sz w:val="20"/>
        </w:rPr>
        <w:t>Prezes</w:t>
      </w:r>
    </w:p>
    <w:p w14:paraId="63E45D76" w14:textId="77777777" w:rsidR="00C67DAD" w:rsidRDefault="006B0C62">
      <w:pPr>
        <w:spacing w:after="377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>Krajowej Rady Izb Rolniczych</w:t>
      </w:r>
    </w:p>
    <w:p w14:paraId="4AE255FA" w14:textId="77777777" w:rsidR="00C67DAD" w:rsidRDefault="006B0C62">
      <w:pPr>
        <w:spacing w:after="412" w:line="265" w:lineRule="auto"/>
        <w:ind w:left="-5" w:right="0"/>
      </w:pPr>
      <w:r>
        <w:rPr>
          <w:rFonts w:ascii="Lato" w:eastAsia="Lato" w:hAnsi="Lato" w:cs="Lato"/>
          <w:i/>
          <w:sz w:val="20"/>
        </w:rPr>
        <w:t>Szanowny Panie Prezesie,</w:t>
      </w:r>
    </w:p>
    <w:p w14:paraId="6809370D" w14:textId="77777777" w:rsidR="00C67DAD" w:rsidRDefault="006B0C62">
      <w:pPr>
        <w:spacing w:after="120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>w odpowiedzi na pismo z dnia 4 stycznia 2024 roku, znak: KRIR/MR/6/2024, stanowiące petycję w zakresie zmiany przepisów dotyczących zgłaszania, szacowania i wypłaty odszkodowań za szkody łowieckie poprzez wprowadzenie funduszu gwarancyjnego oraz utworzenie ogólnopolskiego portalu internetowego służącego do zgłaszania szkód łowieckich przez rolników, dziękuję za przekazane propozycje i przedstawiam następujące informacje.</w:t>
      </w:r>
    </w:p>
    <w:p w14:paraId="4491E8C1" w14:textId="77777777" w:rsidR="00C67DAD" w:rsidRDefault="006B0C62">
      <w:pPr>
        <w:spacing w:after="120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>Na wstępie zaznaczam, że każdy państwowy fundusz celowy utworzony w związku z realizacją określonych zobowiązań wymaga w pierwszej kolejności zabezpieczenia odpowiednich środków w budżecie państwa. Wprowadzane w przeszłości rozwiązania legislacyjne mające na celu utworzenie funduszu odszkodowawczego na wypłatę odszkodowań łowieckich, w których partycypowałby Skarb Państwa, ostatecznie nie weszły w życie z uwagi na brak możliwości finansowania z budżetu państwa.</w:t>
      </w:r>
    </w:p>
    <w:p w14:paraId="2C9B17B2" w14:textId="77777777" w:rsidR="00C67DAD" w:rsidRDefault="006B0C62">
      <w:pPr>
        <w:spacing w:after="120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>Odnosząc się do postulatu stworzenia systemu mającego na celu prowadzenie centralnej ewidencji szkód łowieckich, wymaga on analizy możliwości realizacji ww. koncepcji w praktyce, oszacowania kosztów takiego rozwiązania oraz określenia źródła jego finansowania, a w dalszej kolejności opracowania, przetestowania i wdrożenia systemu. Niezależnie od użyteczności takiego rozwiązania istnieją wątpliwości odnośnie przyjęcia takiego sposobu zgłaszania szkód łowieckich przez rolników indywidualnych w kontekście dost</w:t>
      </w:r>
      <w:r>
        <w:rPr>
          <w:rFonts w:ascii="Lato" w:eastAsia="Lato" w:hAnsi="Lato" w:cs="Lato"/>
          <w:sz w:val="20"/>
        </w:rPr>
        <w:t xml:space="preserve">ępności aplikacji oraz możliwości i chęci jej stosowania. </w:t>
      </w:r>
    </w:p>
    <w:p w14:paraId="54E8CA80" w14:textId="77777777" w:rsidR="00C67DAD" w:rsidRDefault="006B0C62">
      <w:pPr>
        <w:spacing w:after="70" w:line="360" w:lineRule="auto"/>
        <w:ind w:left="-5" w:right="0"/>
        <w:jc w:val="both"/>
      </w:pPr>
      <w:r>
        <w:rPr>
          <w:rFonts w:ascii="Lato" w:eastAsia="Lato" w:hAnsi="Lato" w:cs="Lato"/>
          <w:sz w:val="20"/>
        </w:rPr>
        <w:t xml:space="preserve">Pragnę poinformować, że zgłoszone propozycje będą </w:t>
      </w:r>
      <w:r>
        <w:rPr>
          <w:rFonts w:ascii="Lato" w:eastAsia="Lato" w:hAnsi="Lato" w:cs="Lato"/>
          <w:sz w:val="20"/>
        </w:rPr>
        <w:t xml:space="preserve">przedmiotem analizy tworzonego Zespołu ds. reformy łowiectwa, w skład którego wchodzić będą przedstawiciele środowisk naukowych, myśliwych i organizacji społecznych. Zadaniem zespołu będzie wypracowanie </w:t>
      </w:r>
    </w:p>
    <w:p w14:paraId="01AD6B3E" w14:textId="77777777" w:rsidR="00C67DAD" w:rsidRDefault="006B0C62">
      <w:pPr>
        <w:spacing w:after="219" w:line="259" w:lineRule="auto"/>
        <w:ind w:left="0" w:right="-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9B1FD3" wp14:editId="2420CAC7">
                <wp:extent cx="5040000" cy="6350"/>
                <wp:effectExtent l="0" t="0" r="0" b="0"/>
                <wp:docPr id="3848" name="Group 3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8" style="width:396.85pt;height:0.5pt;mso-position-horizontal-relative:char;mso-position-vertical-relative:line" coordsize="50400,63">
                <v:shape id="Shape 20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4F7DBB9" w14:textId="77777777" w:rsidR="00C67DAD" w:rsidRDefault="006B0C62">
      <w:pPr>
        <w:spacing w:after="0" w:line="247" w:lineRule="auto"/>
        <w:ind w:left="0" w:right="0" w:firstLine="0"/>
      </w:pPr>
      <w:r>
        <w:rPr>
          <w:rFonts w:ascii="Lato" w:eastAsia="Lato" w:hAnsi="Lato" w:cs="Lato"/>
          <w:sz w:val="16"/>
        </w:rPr>
        <w:t>Telefon: (+48) 22 369 29 00</w:t>
      </w:r>
      <w:r>
        <w:rPr>
          <w:rFonts w:ascii="Lato" w:eastAsia="Lato" w:hAnsi="Lato" w:cs="Lato"/>
          <w:sz w:val="16"/>
        </w:rPr>
        <w:tab/>
        <w:t>ul. Wawelska 52/54, 00-922 Warszawa info@klimat.gov.pl</w:t>
      </w:r>
      <w:r>
        <w:rPr>
          <w:rFonts w:ascii="Lato" w:eastAsia="Lato" w:hAnsi="Lato" w:cs="Lato"/>
          <w:sz w:val="16"/>
        </w:rPr>
        <w:tab/>
        <w:t>Ministerstwo Klimatu i Środowiska www.gov.pl/klimat</w:t>
      </w:r>
    </w:p>
    <w:p w14:paraId="63B53CDF" w14:textId="77777777" w:rsidR="00C67DAD" w:rsidRDefault="006B0C62">
      <w:pPr>
        <w:spacing w:after="0" w:line="259" w:lineRule="auto"/>
        <w:ind w:left="0" w:right="0" w:firstLine="0"/>
        <w:jc w:val="center"/>
      </w:pPr>
      <w:r>
        <w:rPr>
          <w:rFonts w:ascii="Lato" w:eastAsia="Lato" w:hAnsi="Lato" w:cs="Lato"/>
          <w:sz w:val="14"/>
        </w:rPr>
        <w:lastRenderedPageBreak/>
        <w:t>Działamy zgodnie z EMAS - zarządzając instytucją, dbamy o środowisko</w:t>
      </w:r>
    </w:p>
    <w:p w14:paraId="3AED20BC" w14:textId="77777777" w:rsidR="00C67DAD" w:rsidRDefault="006B0C62">
      <w:pPr>
        <w:spacing w:after="1080" w:line="360" w:lineRule="auto"/>
        <w:ind w:left="0" w:right="0" w:firstLine="0"/>
      </w:pPr>
      <w:r>
        <w:rPr>
          <w:rFonts w:ascii="Lato" w:eastAsia="Lato" w:hAnsi="Lato" w:cs="Lato"/>
          <w:sz w:val="20"/>
        </w:rPr>
        <w:t>kierunków zmian legislacyjnych w zakresie obecnie istniejącego modelu łowiectwa w oparciu o dialog wszystkich zainteresowanych stron. Celem jest przygotowanie rozwiązań, które wyjdą naprzeciw oczekiwaniom społecznym.</w:t>
      </w:r>
    </w:p>
    <w:p w14:paraId="360DB173" w14:textId="77777777" w:rsidR="00C67DAD" w:rsidRDefault="006B0C62">
      <w:pPr>
        <w:spacing w:after="176" w:line="265" w:lineRule="auto"/>
        <w:ind w:left="-5" w:right="0"/>
      </w:pPr>
      <w:r>
        <w:rPr>
          <w:rFonts w:ascii="Lato" w:eastAsia="Lato" w:hAnsi="Lato" w:cs="Lato"/>
          <w:i/>
          <w:sz w:val="20"/>
        </w:rPr>
        <w:t>Z wyrazami szacunku</w:t>
      </w:r>
    </w:p>
    <w:p w14:paraId="465D6ADC" w14:textId="77777777" w:rsidR="00C67DAD" w:rsidRDefault="006B0C62">
      <w:pPr>
        <w:spacing w:after="181" w:line="259" w:lineRule="auto"/>
        <w:ind w:left="-5" w:right="0"/>
        <w:jc w:val="both"/>
      </w:pPr>
      <w:r>
        <w:rPr>
          <w:rFonts w:ascii="Lato" w:eastAsia="Lato" w:hAnsi="Lato" w:cs="Lato"/>
          <w:sz w:val="20"/>
        </w:rPr>
        <w:t>Z up. Ministra</w:t>
      </w:r>
    </w:p>
    <w:p w14:paraId="08D94AD9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sz w:val="20"/>
        </w:rPr>
        <w:t xml:space="preserve">             </w:t>
      </w:r>
    </w:p>
    <w:p w14:paraId="131920E8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sz w:val="20"/>
        </w:rPr>
        <w:t xml:space="preserve">                  </w:t>
      </w:r>
    </w:p>
    <w:p w14:paraId="46100EFE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sz w:val="20"/>
        </w:rPr>
        <w:t xml:space="preserve">        </w:t>
      </w:r>
      <w:r>
        <w:rPr>
          <w:rFonts w:ascii="Lato" w:eastAsia="Lato" w:hAnsi="Lato" w:cs="Lato"/>
          <w:sz w:val="20"/>
        </w:rPr>
        <w:tab/>
        <w:t xml:space="preserve">                         </w:t>
      </w:r>
    </w:p>
    <w:p w14:paraId="711BEE47" w14:textId="77777777" w:rsidR="00C67DAD" w:rsidRDefault="006B0C62">
      <w:pPr>
        <w:spacing w:after="0" w:line="259" w:lineRule="auto"/>
        <w:ind w:left="0" w:right="0" w:firstLine="0"/>
      </w:pPr>
      <w:r>
        <w:rPr>
          <w:rFonts w:ascii="Lato" w:eastAsia="Lato" w:hAnsi="Lato" w:cs="Lato"/>
          <w:sz w:val="20"/>
        </w:rPr>
        <w:t xml:space="preserve"> </w:t>
      </w:r>
      <w:r>
        <w:rPr>
          <w:rFonts w:ascii="Lato" w:eastAsia="Lato" w:hAnsi="Lato" w:cs="Lato"/>
          <w:sz w:val="20"/>
        </w:rPr>
        <w:tab/>
        <w:t xml:space="preserve">                </w:t>
      </w:r>
      <w:r>
        <w:rPr>
          <w:rFonts w:ascii="Lato" w:eastAsia="Lato" w:hAnsi="Lato" w:cs="Lato"/>
          <w:sz w:val="20"/>
        </w:rPr>
        <w:tab/>
        <w:t xml:space="preserve">                </w:t>
      </w:r>
    </w:p>
    <w:sectPr w:rsidR="00C67DAD">
      <w:pgSz w:w="11906" w:h="16838"/>
      <w:pgMar w:top="588" w:right="1985" w:bottom="709" w:left="19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36A12"/>
    <w:multiLevelType w:val="hybridMultilevel"/>
    <w:tmpl w:val="FFCE3308"/>
    <w:lvl w:ilvl="0" w:tplc="284C3048">
      <w:start w:val="1"/>
      <w:numFmt w:val="bullet"/>
      <w:lvlText w:val="•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1C04D8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54144C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92554C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42BA84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E9DE0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946344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E69666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A05246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34160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AD"/>
    <w:rsid w:val="006B0C62"/>
    <w:rsid w:val="00C6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3E6D"/>
  <w15:docId w15:val="{085E3958-0C6E-4593-BC90-B93131B9C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49" w:lineRule="auto"/>
      <w:ind w:left="10" w:right="639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382" w:hanging="10"/>
      <w:outlineLvl w:val="0"/>
    </w:pPr>
    <w:rPr>
      <w:rFonts w:ascii="Times New Roman" w:eastAsia="Times New Roman" w:hAnsi="Times New Roman" w:cs="Times New Roman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Orlińska Sylwia</dc:creator>
  <cp:keywords>PL, KOLOR</cp:keywords>
  <cp:lastModifiedBy>Orlińska Sylwia</cp:lastModifiedBy>
  <cp:revision>2</cp:revision>
  <dcterms:created xsi:type="dcterms:W3CDTF">2024-03-27T06:25:00Z</dcterms:created>
  <dcterms:modified xsi:type="dcterms:W3CDTF">2024-03-27T06:25:00Z</dcterms:modified>
</cp:coreProperties>
</file>