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3D6B" w14:textId="77777777" w:rsidR="004B22D2" w:rsidRDefault="00EC394A">
      <w:pPr>
        <w:spacing w:after="579" w:line="259" w:lineRule="auto"/>
        <w:ind w:left="-1455" w:firstLine="0"/>
        <w:jc w:val="left"/>
      </w:pPr>
      <w:r>
        <w:rPr>
          <w:noProof/>
        </w:rPr>
        <w:drawing>
          <wp:inline distT="0" distB="0" distL="0" distR="0" wp14:anchorId="6C7BF847" wp14:editId="6AF0A7EA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9FE99" w14:textId="77777777" w:rsidR="004B22D2" w:rsidRDefault="00EC394A">
      <w:pPr>
        <w:spacing w:after="16" w:line="245" w:lineRule="auto"/>
        <w:ind w:left="-5" w:right="3406"/>
        <w:jc w:val="left"/>
      </w:pPr>
      <w:r>
        <w:t>DOP-WŚ.053.4.2023</w:t>
      </w:r>
      <w:r>
        <w:t xml:space="preserve">.PP </w:t>
      </w:r>
      <w:r>
        <w:rPr>
          <w:sz w:val="18"/>
        </w:rPr>
        <w:t>2809778.11262532.9136724</w:t>
      </w:r>
    </w:p>
    <w:p w14:paraId="51690D6C" w14:textId="77777777" w:rsidR="004B22D2" w:rsidRDefault="00EC394A">
      <w:pPr>
        <w:spacing w:after="694"/>
        <w:ind w:left="-5"/>
      </w:pPr>
      <w:r>
        <w:t>Warszawa, 01-12-2023</w:t>
      </w:r>
    </w:p>
    <w:p w14:paraId="4634B9E8" w14:textId="77777777" w:rsidR="004B22D2" w:rsidRDefault="00EC394A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6FCCD2AB" w14:textId="77777777" w:rsidR="004B22D2" w:rsidRDefault="00EC394A">
      <w:pPr>
        <w:spacing w:after="0" w:line="259" w:lineRule="auto"/>
        <w:ind w:left="0" w:firstLine="0"/>
        <w:jc w:val="left"/>
      </w:pPr>
      <w:r>
        <w:rPr>
          <w:b/>
        </w:rPr>
        <w:t xml:space="preserve">           </w:t>
      </w:r>
      <w:r>
        <w:rPr>
          <w:b/>
        </w:rPr>
        <w:tab/>
        <w:t xml:space="preserve">      </w:t>
      </w:r>
    </w:p>
    <w:p w14:paraId="1FBADEB6" w14:textId="77777777" w:rsidR="004B22D2" w:rsidRDefault="00EC394A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   </w:t>
      </w:r>
      <w:r>
        <w:rPr>
          <w:b/>
        </w:rPr>
        <w:tab/>
        <w:t xml:space="preserve">    </w:t>
      </w:r>
      <w:r>
        <w:rPr>
          <w:b/>
        </w:rPr>
        <w:tab/>
        <w:t xml:space="preserve">                 </w:t>
      </w:r>
    </w:p>
    <w:p w14:paraId="5EFEB7DE" w14:textId="77777777" w:rsidR="004B22D2" w:rsidRDefault="00EC394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</w:t>
      </w:r>
      <w:r>
        <w:rPr>
          <w:b/>
        </w:rPr>
        <w:tab/>
        <w:t xml:space="preserve">     </w:t>
      </w:r>
      <w:r>
        <w:rPr>
          <w:b/>
        </w:rPr>
        <w:tab/>
        <w:t xml:space="preserve">       </w:t>
      </w:r>
      <w:r>
        <w:rPr>
          <w:b/>
        </w:rPr>
        <w:tab/>
        <w:t xml:space="preserve">        </w:t>
      </w:r>
      <w:r>
        <w:rPr>
          <w:b/>
        </w:rPr>
        <w:tab/>
        <w:t xml:space="preserve">        </w:t>
      </w:r>
    </w:p>
    <w:p w14:paraId="6CE0B1FD" w14:textId="77777777" w:rsidR="004B22D2" w:rsidRDefault="00EC394A">
      <w:pPr>
        <w:spacing w:after="590" w:line="259" w:lineRule="auto"/>
        <w:ind w:left="0" w:firstLine="0"/>
        <w:jc w:val="left"/>
      </w:pPr>
      <w:r>
        <w:rPr>
          <w:b/>
        </w:rPr>
        <w:t xml:space="preserve">         </w:t>
      </w:r>
      <w:r>
        <w:rPr>
          <w:b/>
        </w:rPr>
        <w:tab/>
        <w:t xml:space="preserve">               </w:t>
      </w:r>
      <w:r>
        <w:rPr>
          <w:b/>
        </w:rPr>
        <w:tab/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</w:p>
    <w:p w14:paraId="031917CC" w14:textId="77777777" w:rsidR="004B22D2" w:rsidRDefault="00EC394A">
      <w:pPr>
        <w:ind w:left="-5"/>
      </w:pPr>
      <w:r>
        <w:t xml:space="preserve">Szanowni </w:t>
      </w:r>
      <w:r>
        <w:t>Państwo,</w:t>
      </w:r>
      <w:r>
        <w:t xml:space="preserve"> </w:t>
      </w:r>
    </w:p>
    <w:p w14:paraId="74B29B56" w14:textId="77777777" w:rsidR="004B22D2" w:rsidRDefault="00EC394A">
      <w:pPr>
        <w:ind w:left="-5"/>
      </w:pPr>
      <w:r>
        <w:t xml:space="preserve">w odpowiedzi na pismo z dnia 12 </w:t>
      </w:r>
      <w:r>
        <w:t>września</w:t>
      </w:r>
      <w:r>
        <w:t xml:space="preserve"> 2023 r. </w:t>
      </w:r>
      <w:r>
        <w:t>dotyczące</w:t>
      </w:r>
      <w:r>
        <w:t xml:space="preserve"> wprowadzenia </w:t>
      </w:r>
      <w:r>
        <w:t>rozwiązań</w:t>
      </w:r>
      <w:r>
        <w:t xml:space="preserve"> </w:t>
      </w:r>
      <w:r>
        <w:t>zapewniających</w:t>
      </w:r>
      <w:r>
        <w:t xml:space="preserve"> rekompensaty za szkody powodowane przez </w:t>
      </w:r>
      <w:r>
        <w:t>żurawie,</w:t>
      </w:r>
      <w:r>
        <w:t xml:space="preserve"> </w:t>
      </w:r>
      <w:r>
        <w:t>proszę</w:t>
      </w:r>
      <w:r>
        <w:t xml:space="preserve"> </w:t>
      </w:r>
      <w:r>
        <w:t>przyjąć</w:t>
      </w:r>
      <w:r>
        <w:t xml:space="preserve"> </w:t>
      </w:r>
      <w:r>
        <w:t>poniższe</w:t>
      </w:r>
      <w:r>
        <w:t xml:space="preserve"> </w:t>
      </w:r>
      <w:r>
        <w:t>wyjaśnienia.</w:t>
      </w:r>
    </w:p>
    <w:p w14:paraId="02FE3539" w14:textId="77777777" w:rsidR="004B22D2" w:rsidRDefault="00EC394A">
      <w:pPr>
        <w:ind w:left="-5"/>
      </w:pPr>
      <w:r>
        <w:t xml:space="preserve">W resorcie ds. rolnictwa oraz resorcie ds. </w:t>
      </w:r>
      <w:r>
        <w:t>środowiska</w:t>
      </w:r>
      <w:r>
        <w:t xml:space="preserve"> </w:t>
      </w:r>
      <w:r>
        <w:t>zostały</w:t>
      </w:r>
      <w:r>
        <w:t xml:space="preserve"> </w:t>
      </w:r>
      <w:r>
        <w:t>podjęte</w:t>
      </w:r>
      <w:r>
        <w:t xml:space="preserve"> </w:t>
      </w:r>
      <w:r>
        <w:rPr>
          <w:u w:val="single" w:color="000000"/>
        </w:rPr>
        <w:t xml:space="preserve">prace </w:t>
      </w:r>
      <w:r>
        <w:rPr>
          <w:u w:val="single" w:color="000000"/>
        </w:rPr>
        <w:t>mające</w:t>
      </w:r>
      <w:r>
        <w:rPr>
          <w:u w:val="single" w:color="000000"/>
        </w:rPr>
        <w:t xml:space="preserve"> na celu</w:t>
      </w:r>
      <w:r>
        <w:t xml:space="preserve"> </w:t>
      </w:r>
      <w:r>
        <w:rPr>
          <w:u w:val="single" w:color="000000"/>
        </w:rPr>
        <w:t xml:space="preserve">wypracowanie nowych </w:t>
      </w:r>
      <w:r>
        <w:rPr>
          <w:u w:val="single" w:color="000000"/>
        </w:rPr>
        <w:t>rozwiązań</w:t>
      </w:r>
      <w:r>
        <w:rPr>
          <w:u w:val="single" w:color="000000"/>
        </w:rPr>
        <w:t xml:space="preserve"> - systemu rekompensat za szkody </w:t>
      </w:r>
      <w:r>
        <w:rPr>
          <w:u w:val="single" w:color="000000"/>
        </w:rPr>
        <w:t>wyrządzane</w:t>
      </w:r>
      <w:r>
        <w:rPr>
          <w:u w:val="single" w:color="000000"/>
        </w:rPr>
        <w:t xml:space="preserve"> przez ptaki</w:t>
      </w:r>
      <w:r>
        <w:t xml:space="preserve"> </w:t>
      </w:r>
      <w:r>
        <w:rPr>
          <w:u w:val="single" w:color="000000"/>
        </w:rPr>
        <w:t>objęte</w:t>
      </w:r>
      <w:r>
        <w:rPr>
          <w:u w:val="single" w:color="000000"/>
        </w:rPr>
        <w:t xml:space="preserve"> </w:t>
      </w:r>
      <w:r>
        <w:rPr>
          <w:u w:val="single" w:color="000000"/>
        </w:rPr>
        <w:t>ochroną</w:t>
      </w:r>
      <w:r>
        <w:rPr>
          <w:u w:val="single" w:color="000000"/>
        </w:rPr>
        <w:t xml:space="preserve"> </w:t>
      </w:r>
      <w:r>
        <w:rPr>
          <w:u w:val="single" w:color="000000"/>
        </w:rPr>
        <w:t>gatunkową</w:t>
      </w:r>
      <w:r>
        <w:rPr>
          <w:u w:val="single" w:color="000000"/>
        </w:rPr>
        <w:t xml:space="preserve"> w uprawach i </w:t>
      </w:r>
      <w:r>
        <w:rPr>
          <w:u w:val="single" w:color="000000"/>
        </w:rPr>
        <w:t>płodach</w:t>
      </w:r>
      <w:r>
        <w:rPr>
          <w:u w:val="single" w:color="000000"/>
        </w:rPr>
        <w:t xml:space="preserve"> rolnych przez </w:t>
      </w:r>
      <w:r>
        <w:rPr>
          <w:u w:val="single" w:color="000000"/>
        </w:rPr>
        <w:t>łabędzie,</w:t>
      </w:r>
      <w:r>
        <w:rPr>
          <w:u w:val="single" w:color="000000"/>
        </w:rPr>
        <w:t xml:space="preserve"> </w:t>
      </w:r>
      <w:r>
        <w:rPr>
          <w:u w:val="single" w:color="000000"/>
        </w:rPr>
        <w:t>gęsi</w:t>
      </w:r>
      <w:r>
        <w:rPr>
          <w:u w:val="single" w:color="000000"/>
        </w:rPr>
        <w:t xml:space="preserve"> i </w:t>
      </w:r>
      <w:r>
        <w:rPr>
          <w:u w:val="single" w:color="000000"/>
        </w:rPr>
        <w:t>żurawie</w:t>
      </w:r>
      <w:r>
        <w:rPr>
          <w:u w:val="single" w:color="000000"/>
        </w:rPr>
        <w:t xml:space="preserve"> oraz</w:t>
      </w:r>
      <w:r>
        <w:t xml:space="preserve"> </w:t>
      </w:r>
      <w:r>
        <w:rPr>
          <w:u w:val="single" w:color="000000"/>
        </w:rPr>
        <w:t xml:space="preserve">w rybostanie w stawach hodowlanych przez kormorany. </w:t>
      </w:r>
      <w:r>
        <w:t xml:space="preserve">Ministerstwo Rolnictwa i Rozwoju Wsi aktualnie </w:t>
      </w:r>
      <w:r>
        <w:t>przesłało</w:t>
      </w:r>
      <w:r>
        <w:t xml:space="preserve"> projekt do rozpatrzenia przez </w:t>
      </w:r>
      <w:r>
        <w:t>Radę</w:t>
      </w:r>
      <w:r>
        <w:t xml:space="preserve"> Ministrów. </w:t>
      </w:r>
      <w:r>
        <w:t>Jednocześnie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iż</w:t>
      </w:r>
      <w:r>
        <w:t xml:space="preserve"> resort </w:t>
      </w:r>
      <w:r>
        <w:t>środowiska</w:t>
      </w:r>
      <w:r>
        <w:t xml:space="preserve"> dotychczas stale </w:t>
      </w:r>
      <w:r>
        <w:t>występował</w:t>
      </w:r>
      <w:r>
        <w:t xml:space="preserve"> </w:t>
      </w:r>
      <w:r>
        <w:t xml:space="preserve">do resortu rolnictwa o </w:t>
      </w:r>
      <w:r>
        <w:t>zwiększenie</w:t>
      </w:r>
      <w:r>
        <w:t xml:space="preserve"> kwot na rekompensaty </w:t>
      </w:r>
      <w:r>
        <w:t>wodnośrodowiskowe</w:t>
      </w:r>
      <w:r>
        <w:t xml:space="preserve"> w programie Fundusze Europejskie dla rybactwa na lata 2021-2027.</w:t>
      </w:r>
    </w:p>
    <w:p w14:paraId="6D4C8360" w14:textId="77777777" w:rsidR="004B22D2" w:rsidRDefault="00EC394A">
      <w:pPr>
        <w:spacing w:after="1185"/>
        <w:ind w:left="-5"/>
      </w:pPr>
      <w:r>
        <w:t xml:space="preserve">Zgodnie z orzeczeniem </w:t>
      </w:r>
      <w:r>
        <w:t>Trybunału</w:t>
      </w:r>
      <w:r>
        <w:t xml:space="preserve"> Konstytucyjnego z dnia 28 </w:t>
      </w:r>
      <w:r>
        <w:t>września</w:t>
      </w:r>
      <w:r>
        <w:t xml:space="preserve"> 2015 r. sygn. akt K 20/14, </w:t>
      </w:r>
      <w:r>
        <w:t>obowiązująca</w:t>
      </w:r>
      <w:r>
        <w:t xml:space="preserve"> regulacja w zakresie zasad </w:t>
      </w:r>
      <w:r>
        <w:t>odpowiedzialności</w:t>
      </w:r>
      <w:r>
        <w:t xml:space="preserve"> Skarbu </w:t>
      </w:r>
      <w:r>
        <w:t>Państwa</w:t>
      </w:r>
      <w:r>
        <w:t xml:space="preserve"> za szkody powodowane przez 5 gatunków </w:t>
      </w:r>
      <w:r>
        <w:t>zwierząt</w:t>
      </w:r>
      <w:r>
        <w:t xml:space="preserve"> </w:t>
      </w:r>
      <w:r>
        <w:t>(żubry,</w:t>
      </w:r>
      <w:r>
        <w:t xml:space="preserve"> wilki, </w:t>
      </w:r>
      <w:r>
        <w:t>niedźwiedzie,</w:t>
      </w:r>
      <w:r>
        <w:t xml:space="preserve"> rysie i bobry) jest zgodna z art. 32 ust. 1 i art. 64 ust. 2 Konstytucji RP. Ponadto, w orzeczeniu z 21 lipca 2014 r. sygn. akt K 36/13 </w:t>
      </w:r>
      <w:r>
        <w:t>Trybunał</w:t>
      </w:r>
      <w:r>
        <w:t xml:space="preserve"> Konstytucyjny </w:t>
      </w:r>
      <w:r>
        <w:t>opowiedział</w:t>
      </w:r>
      <w:r>
        <w:t xml:space="preserve"> </w:t>
      </w:r>
      <w:r>
        <w:t>się</w:t>
      </w:r>
      <w:r>
        <w:t xml:space="preserve"> przeciwko </w:t>
      </w:r>
      <w:r>
        <w:t>całkowitej</w:t>
      </w:r>
      <w:r>
        <w:t xml:space="preserve"> automatyzacji refundacji szkód, </w:t>
      </w:r>
      <w:r>
        <w:t>zwracając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</w:t>
      </w:r>
      <w:r>
        <w:t>działania</w:t>
      </w:r>
      <w:r>
        <w:t xml:space="preserve"> odszkodowawcze Skarbu </w:t>
      </w:r>
      <w:r>
        <w:t>Państwa</w:t>
      </w:r>
      <w:r>
        <w:t xml:space="preserve"> win</w:t>
      </w:r>
      <w:r>
        <w:t xml:space="preserve">ny </w:t>
      </w:r>
      <w:r>
        <w:t>być</w:t>
      </w:r>
      <w:r>
        <w:t xml:space="preserve"> </w:t>
      </w:r>
      <w:r>
        <w:t>powiązane</w:t>
      </w:r>
      <w:r>
        <w:t xml:space="preserve"> z </w:t>
      </w:r>
      <w:r>
        <w:t>oceną</w:t>
      </w:r>
      <w:r>
        <w:t xml:space="preserve"> </w:t>
      </w:r>
      <w:r>
        <w:t>działań</w:t>
      </w:r>
      <w:r>
        <w:t xml:space="preserve"> prewencyjnych podejmowanych przez </w:t>
      </w:r>
      <w:r>
        <w:t>właścicieli</w:t>
      </w:r>
      <w:r>
        <w:t xml:space="preserve"> i posiadaczy mienia, w którym </w:t>
      </w:r>
      <w:r>
        <w:t>zaistniała</w:t>
      </w:r>
      <w:r>
        <w:t xml:space="preserve"> szkoda. </w:t>
      </w:r>
      <w:r>
        <w:t>Trybunał</w:t>
      </w:r>
      <w:r>
        <w:t xml:space="preserve"> Konstytucyjny </w:t>
      </w:r>
      <w:r>
        <w:t>wskazał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</w:t>
      </w:r>
      <w:r>
        <w:t>działania</w:t>
      </w:r>
      <w:r>
        <w:t xml:space="preserve"> zapobiegawcze </w:t>
      </w:r>
      <w:r>
        <w:t>„pozwalają</w:t>
      </w:r>
      <w:r>
        <w:t xml:space="preserve"> z jednej strony na </w:t>
      </w:r>
      <w:r>
        <w:t>ochronę</w:t>
      </w:r>
      <w:r>
        <w:t xml:space="preserve"> </w:t>
      </w:r>
      <w:r>
        <w:t>zagrożonych</w:t>
      </w:r>
      <w:r>
        <w:t xml:space="preserve"> gatunków, które </w:t>
      </w:r>
      <w:r>
        <w:t>mogą</w:t>
      </w:r>
      <w:r>
        <w:t xml:space="preserve"> swobodnie </w:t>
      </w:r>
      <w:r>
        <w:t>występować</w:t>
      </w:r>
      <w:r>
        <w:t xml:space="preserve"> w formie dziko </w:t>
      </w:r>
      <w:r>
        <w:t>żyjącej,</w:t>
      </w:r>
      <w:r>
        <w:t xml:space="preserve"> z drugiej </w:t>
      </w:r>
      <w:r>
        <w:t>zaś</w:t>
      </w:r>
      <w:r>
        <w:t xml:space="preserve"> </w:t>
      </w:r>
      <w:r>
        <w:t>zapobiegają</w:t>
      </w:r>
      <w:r>
        <w:t xml:space="preserve"> powstawaniu szkód w gospodarce </w:t>
      </w:r>
      <w:r>
        <w:t>człowieka</w:t>
      </w:r>
      <w:r>
        <w:t xml:space="preserve"> lub je </w:t>
      </w:r>
      <w:r>
        <w:t>minimalizują.</w:t>
      </w:r>
      <w:r>
        <w:t xml:space="preserve"> W </w:t>
      </w:r>
      <w:r>
        <w:t>połączeniu</w:t>
      </w:r>
      <w:r>
        <w:t xml:space="preserve"> z </w:t>
      </w:r>
      <w:r>
        <w:t>istniejącymi</w:t>
      </w:r>
      <w:r>
        <w:t xml:space="preserve"> zasadami </w:t>
      </w:r>
      <w:r>
        <w:t>odpowiedzialności</w:t>
      </w:r>
      <w:r>
        <w:t xml:space="preserve"> Skarbu </w:t>
      </w:r>
      <w:r>
        <w:t>Państwa</w:t>
      </w:r>
      <w:r>
        <w:t xml:space="preserve"> za szkody </w:t>
      </w:r>
      <w:r>
        <w:t>wyrządzone</w:t>
      </w:r>
      <w:r>
        <w:t xml:space="preserve"> przez </w:t>
      </w:r>
      <w:r>
        <w:t>określone</w:t>
      </w:r>
      <w:r>
        <w:t xml:space="preserve"> gatunk</w:t>
      </w:r>
      <w:r>
        <w:t xml:space="preserve">i </w:t>
      </w:r>
      <w:r>
        <w:t>zwierząt</w:t>
      </w:r>
      <w:r>
        <w:t xml:space="preserve"> chronionych jest to </w:t>
      </w:r>
      <w:r>
        <w:t>rozwiązanie</w:t>
      </w:r>
      <w:r>
        <w:t xml:space="preserve"> </w:t>
      </w:r>
      <w:r>
        <w:t>realizujące</w:t>
      </w:r>
      <w:r>
        <w:t xml:space="preserve"> </w:t>
      </w:r>
      <w:r>
        <w:t>standardy konstytucyjne”.</w:t>
      </w:r>
    </w:p>
    <w:p w14:paraId="2B58F882" w14:textId="77777777" w:rsidR="004B22D2" w:rsidRDefault="00EC394A">
      <w:pPr>
        <w:spacing w:after="219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669A0B" wp14:editId="54307056">
                <wp:extent cx="5040000" cy="6350"/>
                <wp:effectExtent l="0" t="0" r="0" b="0"/>
                <wp:docPr id="3311" name="Group 3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1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425CBC" w14:textId="77777777" w:rsidR="004B22D2" w:rsidRDefault="00EC394A">
      <w:pPr>
        <w:spacing w:after="0" w:line="247" w:lineRule="auto"/>
        <w:ind w:lef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7FEC5309" w14:textId="77777777" w:rsidR="004B22D2" w:rsidRDefault="00EC394A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283A900F" w14:textId="77777777" w:rsidR="004B22D2" w:rsidRDefault="00EC394A">
      <w:pPr>
        <w:ind w:left="-5"/>
      </w:pPr>
      <w:r>
        <w:lastRenderedPageBreak/>
        <w:t xml:space="preserve">W ramach </w:t>
      </w:r>
      <w:r>
        <w:t>działań</w:t>
      </w:r>
      <w:r>
        <w:t xml:space="preserve"> prewencyjnych, na podstawie art. 56 ust. 2 pkt 2 ustawy o ochronie przyrody</w:t>
      </w:r>
      <w:r>
        <w:rPr>
          <w:vertAlign w:val="superscript"/>
        </w:rPr>
        <w:footnoteReference w:id="1"/>
      </w:r>
      <w:r>
        <w:t xml:space="preserve"> regionalni dyrektorzy ochrony </w:t>
      </w:r>
      <w:r>
        <w:t>środowiska,</w:t>
      </w:r>
      <w:r>
        <w:t xml:space="preserve"> na wniosek podmiotów, w których interesie jest zminimalizowanie szkód, </w:t>
      </w:r>
      <w:r>
        <w:t>wydają</w:t>
      </w:r>
      <w:r>
        <w:t xml:space="preserve"> zezwolenia m.in. na </w:t>
      </w:r>
      <w:r>
        <w:t>płoszenie</w:t>
      </w:r>
      <w:r>
        <w:t xml:space="preserve"> i niepokojenie osobników gatunków </w:t>
      </w:r>
      <w:r>
        <w:t>objętych</w:t>
      </w:r>
      <w:r>
        <w:t xml:space="preserve"> </w:t>
      </w:r>
      <w:r>
        <w:t>ochroną</w:t>
      </w:r>
      <w:r>
        <w:t xml:space="preserve"> oraz na </w:t>
      </w:r>
      <w:r>
        <w:t>eliminację</w:t>
      </w:r>
      <w:r>
        <w:t xml:space="preserve"> osobników gatunków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częściową.</w:t>
      </w:r>
      <w:r>
        <w:t xml:space="preserve"> Ponadto Generalny Dyrektor Ochrony </w:t>
      </w:r>
      <w:r>
        <w:t>Środowiska</w:t>
      </w:r>
      <w:r>
        <w:t xml:space="preserve"> lub minister </w:t>
      </w:r>
      <w:r>
        <w:t>właściwy</w:t>
      </w:r>
      <w:r>
        <w:t xml:space="preserve"> do spraw </w:t>
      </w:r>
      <w:r>
        <w:t>środowiska</w:t>
      </w:r>
      <w:r>
        <w:t xml:space="preserve"> (na obszarze parku narodowego) </w:t>
      </w:r>
      <w:r>
        <w:t>może</w:t>
      </w:r>
      <w:r>
        <w:t xml:space="preserve"> </w:t>
      </w:r>
      <w:r>
        <w:t>wydać</w:t>
      </w:r>
      <w:r>
        <w:t xml:space="preserve"> zezwolenie na </w:t>
      </w:r>
      <w:r>
        <w:t>eliminację</w:t>
      </w:r>
      <w:r>
        <w:t xml:space="preserve"> osobników gatunków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ścisłą.</w:t>
      </w:r>
      <w:r>
        <w:t xml:space="preserve"> </w:t>
      </w:r>
      <w:r>
        <w:t>Należy</w:t>
      </w:r>
      <w:r>
        <w:t xml:space="preserve"> </w:t>
      </w:r>
      <w:r>
        <w:t>podkreślić</w:t>
      </w:r>
      <w:r>
        <w:t xml:space="preserve"> fakt, </w:t>
      </w:r>
      <w:r>
        <w:t>iż</w:t>
      </w:r>
      <w:r>
        <w:t xml:space="preserve"> zezwolenia na </w:t>
      </w:r>
      <w:r>
        <w:t>odst</w:t>
      </w:r>
      <w:r>
        <w:t>ępstwa</w:t>
      </w:r>
      <w:r>
        <w:t xml:space="preserve"> od zakazów wydawane </w:t>
      </w:r>
      <w:r>
        <w:t>są</w:t>
      </w:r>
      <w:r>
        <w:t xml:space="preserve"> na wniosek podmiotu, w którego interesie </w:t>
      </w:r>
      <w:r>
        <w:t>leży</w:t>
      </w:r>
      <w:r>
        <w:t xml:space="preserve"> dana </w:t>
      </w:r>
      <w:r>
        <w:t>czynność.</w:t>
      </w:r>
      <w:r>
        <w:t xml:space="preserve"> Warto przy tym </w:t>
      </w:r>
      <w:r>
        <w:t>wskazać,</w:t>
      </w:r>
      <w:r>
        <w:t xml:space="preserve"> </w:t>
      </w:r>
      <w:r>
        <w:t>iż</w:t>
      </w:r>
      <w:r>
        <w:t xml:space="preserve"> wydane decyzje </w:t>
      </w:r>
      <w:r>
        <w:t>przyznają</w:t>
      </w:r>
      <w:r>
        <w:t xml:space="preserve"> stronom prawo do </w:t>
      </w:r>
      <w:r>
        <w:t>odstępstwa</w:t>
      </w:r>
      <w:r>
        <w:t xml:space="preserve"> od </w:t>
      </w:r>
      <w:r>
        <w:t>obowiązujących</w:t>
      </w:r>
      <w:r>
        <w:t xml:space="preserve"> zakazów, nie </w:t>
      </w:r>
      <w:r>
        <w:t>mają</w:t>
      </w:r>
      <w:r>
        <w:t xml:space="preserve"> </w:t>
      </w:r>
      <w:r>
        <w:t>zaś</w:t>
      </w:r>
      <w:r>
        <w:t xml:space="preserve"> charakteru nakazowego. Wnioskodawca </w:t>
      </w:r>
      <w:r>
        <w:t>może</w:t>
      </w:r>
      <w:r>
        <w:t xml:space="preserve"> </w:t>
      </w:r>
      <w:r>
        <w:t>więc</w:t>
      </w:r>
      <w:r>
        <w:t xml:space="preserve"> </w:t>
      </w:r>
      <w:r>
        <w:t>wykorzystać</w:t>
      </w:r>
      <w:r>
        <w:t xml:space="preserve"> </w:t>
      </w:r>
      <w:r>
        <w:t>udzieloną</w:t>
      </w:r>
      <w:r>
        <w:t xml:space="preserve"> </w:t>
      </w:r>
      <w:r>
        <w:t>derogację</w:t>
      </w:r>
      <w:r>
        <w:t xml:space="preserve"> w </w:t>
      </w:r>
      <w:r>
        <w:t>całości</w:t>
      </w:r>
      <w:r>
        <w:t xml:space="preserve"> lub w </w:t>
      </w:r>
      <w:r>
        <w:t>części,</w:t>
      </w:r>
      <w:r>
        <w:t xml:space="preserve"> jednak nie ma takiego </w:t>
      </w:r>
      <w:r>
        <w:t>obowiązku.</w:t>
      </w:r>
      <w:r>
        <w:t xml:space="preserve">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 ostatnich latach resortowi </w:t>
      </w:r>
      <w:r>
        <w:t>środowiska</w:t>
      </w:r>
      <w:r>
        <w:t xml:space="preserve"> nie sygnalizowano problemów w stosunku do </w:t>
      </w:r>
      <w:r>
        <w:t>trudności</w:t>
      </w:r>
      <w:r>
        <w:t xml:space="preserve"> w realizacji procedury uzyskiwania zezwolenia na </w:t>
      </w:r>
      <w:r>
        <w:t>płoszenie</w:t>
      </w:r>
      <w:r>
        <w:t xml:space="preserve"> </w:t>
      </w:r>
      <w:r>
        <w:t>zwierząt</w:t>
      </w:r>
      <w:r>
        <w:t xml:space="preserve"> chronionych. </w:t>
      </w:r>
    </w:p>
    <w:p w14:paraId="69B558CD" w14:textId="77777777" w:rsidR="004B22D2" w:rsidRDefault="00EC394A">
      <w:pPr>
        <w:spacing w:after="963"/>
        <w:ind w:left="-5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z raportów o wydanych zezwoleniach na </w:t>
      </w:r>
      <w:r>
        <w:t>odstępstwo</w:t>
      </w:r>
      <w:r>
        <w:t xml:space="preserve"> od zakazów </w:t>
      </w:r>
      <w:r>
        <w:t>obowiązujących</w:t>
      </w:r>
      <w:r>
        <w:t xml:space="preserve"> w stosunku do ptaków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t xml:space="preserve"> wynika, </w:t>
      </w:r>
      <w:r>
        <w:t>że</w:t>
      </w:r>
      <w:r>
        <w:t xml:space="preserve"> nie </w:t>
      </w:r>
      <w:r>
        <w:t>było</w:t>
      </w:r>
      <w:r>
        <w:t xml:space="preserve"> zbytniego zainteresowania </w:t>
      </w:r>
      <w:r>
        <w:t>wśród</w:t>
      </w:r>
      <w:r>
        <w:t xml:space="preserve"> rolników na otrzymanie takich </w:t>
      </w:r>
      <w:r>
        <w:t>odstępstw.</w:t>
      </w:r>
      <w:r>
        <w:t xml:space="preserve"> </w:t>
      </w:r>
      <w:r>
        <w:t>Przykładowo,</w:t>
      </w:r>
      <w:r>
        <w:t xml:space="preserve"> w </w:t>
      </w:r>
      <w:r>
        <w:t>całej</w:t>
      </w:r>
      <w:r>
        <w:t xml:space="preserve"> Polsce w 2022 r. wydano jedynie 8 decyzji derogacyjnych </w:t>
      </w:r>
      <w:r>
        <w:t>dotyczących</w:t>
      </w:r>
      <w:r>
        <w:t xml:space="preserve"> </w:t>
      </w:r>
      <w:r>
        <w:t>żurawi</w:t>
      </w:r>
      <w:r>
        <w:t xml:space="preserve"> w </w:t>
      </w:r>
      <w:r>
        <w:t>związku</w:t>
      </w:r>
      <w:r>
        <w:t xml:space="preserve"> z </w:t>
      </w:r>
      <w:r>
        <w:t>potrzebą</w:t>
      </w:r>
      <w:r>
        <w:t xml:space="preserve"> zminimalizowania szkód w odniesieniu do upraw rolnych. </w:t>
      </w:r>
    </w:p>
    <w:p w14:paraId="6D1CAA01" w14:textId="77777777" w:rsidR="004B22D2" w:rsidRDefault="00EC394A">
      <w:pPr>
        <w:spacing w:after="176"/>
        <w:ind w:left="-5"/>
      </w:pPr>
      <w:r>
        <w:t xml:space="preserve">Z wyrazami szacunku </w:t>
      </w:r>
    </w:p>
    <w:p w14:paraId="7FB2DA07" w14:textId="77777777" w:rsidR="004B22D2" w:rsidRDefault="00EC394A">
      <w:pPr>
        <w:spacing w:after="553" w:line="259" w:lineRule="auto"/>
        <w:ind w:left="0" w:firstLine="0"/>
        <w:jc w:val="left"/>
      </w:pPr>
      <w:r>
        <w:t xml:space="preserve">       </w:t>
      </w:r>
      <w:r>
        <w:tab/>
        <w:t xml:space="preserve">       </w:t>
      </w:r>
    </w:p>
    <w:p w14:paraId="0B632D84" w14:textId="77777777" w:rsidR="004B22D2" w:rsidRDefault="00EC394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   </w:t>
      </w:r>
    </w:p>
    <w:p w14:paraId="76D5D4E0" w14:textId="77777777" w:rsidR="004B22D2" w:rsidRDefault="00EC394A">
      <w:pPr>
        <w:spacing w:after="0" w:line="259" w:lineRule="auto"/>
        <w:ind w:left="0" w:firstLine="0"/>
        <w:jc w:val="left"/>
      </w:pPr>
      <w:r>
        <w:t xml:space="preserve">               </w:t>
      </w:r>
    </w:p>
    <w:p w14:paraId="045490DC" w14:textId="77777777" w:rsidR="004B22D2" w:rsidRDefault="00EC394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</w:t>
      </w:r>
    </w:p>
    <w:p w14:paraId="3B460896" w14:textId="77777777" w:rsidR="004B22D2" w:rsidRDefault="00EC394A">
      <w:pPr>
        <w:spacing w:after="2817" w:line="259" w:lineRule="auto"/>
        <w:ind w:left="0" w:firstLine="0"/>
        <w:jc w:val="left"/>
      </w:pPr>
      <w:r>
        <w:t xml:space="preserve">                      </w:t>
      </w:r>
    </w:p>
    <w:p w14:paraId="08C432F8" w14:textId="77777777" w:rsidR="004B22D2" w:rsidRDefault="00EC394A">
      <w:pPr>
        <w:spacing w:after="105" w:line="259" w:lineRule="auto"/>
        <w:ind w:left="0" w:firstLine="0"/>
        <w:jc w:val="left"/>
      </w:pPr>
      <w:r>
        <w:rPr>
          <w:sz w:val="18"/>
          <w:u w:val="single" w:color="000000"/>
        </w:rPr>
        <w:t xml:space="preserve">Do </w:t>
      </w:r>
      <w:r>
        <w:rPr>
          <w:sz w:val="18"/>
          <w:u w:val="single" w:color="000000"/>
        </w:rPr>
        <w:t>wiadomości:</w:t>
      </w:r>
    </w:p>
    <w:p w14:paraId="69E40AB7" w14:textId="77777777" w:rsidR="004B22D2" w:rsidRDefault="00EC394A">
      <w:pPr>
        <w:tabs>
          <w:tab w:val="center" w:pos="431"/>
          <w:tab w:val="center" w:pos="3147"/>
        </w:tabs>
        <w:spacing w:after="16" w:line="24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1.</w:t>
      </w:r>
      <w:r>
        <w:rPr>
          <w:sz w:val="18"/>
        </w:rPr>
        <w:tab/>
      </w:r>
      <w:r>
        <w:rPr>
          <w:sz w:val="18"/>
        </w:rPr>
        <w:t>Krajowa Rada Izb Rolniczych, adres e-mail: sekretariat@krir.pl</w:t>
      </w:r>
    </w:p>
    <w:sectPr w:rsidR="004B22D2">
      <w:footnotePr>
        <w:numRestart w:val="eachPage"/>
      </w:footnotePr>
      <w:pgSz w:w="11906" w:h="16838"/>
      <w:pgMar w:top="618" w:right="1985" w:bottom="901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E2ED" w14:textId="77777777" w:rsidR="00EC394A" w:rsidRDefault="00EC394A">
      <w:pPr>
        <w:spacing w:after="0" w:line="240" w:lineRule="auto"/>
      </w:pPr>
      <w:r>
        <w:separator/>
      </w:r>
    </w:p>
  </w:endnote>
  <w:endnote w:type="continuationSeparator" w:id="0">
    <w:p w14:paraId="5A0507FF" w14:textId="77777777" w:rsidR="00EC394A" w:rsidRDefault="00EC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616" w14:textId="77777777" w:rsidR="004B22D2" w:rsidRDefault="00EC394A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0ADD8508" w14:textId="77777777" w:rsidR="004B22D2" w:rsidRDefault="00EC394A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4A30B19C" w14:textId="77777777" w:rsidR="004B22D2" w:rsidRDefault="00EC394A">
      <w:pPr>
        <w:pStyle w:val="footnotedescription"/>
      </w:pPr>
      <w:r>
        <w:rPr>
          <w:rStyle w:val="footnotemark"/>
        </w:rPr>
        <w:footnoteRef/>
      </w:r>
      <w:r>
        <w:t xml:space="preserve"> Dz.U. z 2023 r. poz. 1336 ze zm.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D2"/>
    <w:rsid w:val="004B22D2"/>
    <w:rsid w:val="00E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FC5D"/>
  <w15:docId w15:val="{771D5CA2-4B75-4A7A-A484-7A87BEE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68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Lato" w:eastAsia="Lato" w:hAnsi="Lato" w:cs="Lato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8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sekretarz podsekretarz kolor</dc:title>
  <dc:subject/>
  <dc:creator>Orlińska Sylwia</dc:creator>
  <cp:keywords>PL, kolor</cp:keywords>
  <cp:lastModifiedBy>Orlińska Sylwia</cp:lastModifiedBy>
  <cp:revision>2</cp:revision>
  <dcterms:created xsi:type="dcterms:W3CDTF">2024-01-26T13:30:00Z</dcterms:created>
  <dcterms:modified xsi:type="dcterms:W3CDTF">2024-01-26T13:30:00Z</dcterms:modified>
</cp:coreProperties>
</file>