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A309" w14:textId="2FB9AECC" w:rsidR="004F5AC7" w:rsidRDefault="00E26CE8">
      <w:pPr>
        <w:pStyle w:val="Nagwek10"/>
        <w:keepNext/>
        <w:keepLines/>
        <w:shd w:val="clear" w:color="auto" w:fill="auto"/>
        <w:spacing w:after="534"/>
        <w:ind w:right="5160"/>
      </w:pPr>
      <w:r>
        <w:rPr>
          <w:noProof/>
        </w:rPr>
        <w:drawing>
          <wp:anchor distT="0" distB="0" distL="63500" distR="63500" simplePos="0" relativeHeight="377487104" behindDoc="1" locked="0" layoutInCell="1" allowOverlap="1" wp14:anchorId="268062A4" wp14:editId="381F9C3D">
            <wp:simplePos x="0" y="0"/>
            <wp:positionH relativeFrom="margin">
              <wp:posOffset>-722630</wp:posOffset>
            </wp:positionH>
            <wp:positionV relativeFrom="paragraph">
              <wp:posOffset>-88265</wp:posOffset>
            </wp:positionV>
            <wp:extent cx="685800" cy="740410"/>
            <wp:effectExtent l="0" t="0" r="0" b="0"/>
            <wp:wrapSquare wrapText="r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0DB58084" w14:textId="77777777" w:rsidR="004F5AC7" w:rsidRDefault="00000000">
      <w:pPr>
        <w:pStyle w:val="Teksttreci20"/>
        <w:shd w:val="clear" w:color="auto" w:fill="auto"/>
        <w:spacing w:before="0" w:after="224"/>
      </w:pPr>
      <w:r>
        <w:t>Departament Ciepłownictwa</w:t>
      </w:r>
    </w:p>
    <w:p w14:paraId="070FFF54" w14:textId="77777777" w:rsidR="004F5AC7" w:rsidRDefault="00000000">
      <w:pPr>
        <w:pStyle w:val="Teksttreci20"/>
        <w:shd w:val="clear" w:color="auto" w:fill="auto"/>
        <w:spacing w:before="0" w:after="936" w:line="226" w:lineRule="exact"/>
        <w:ind w:right="6040"/>
      </w:pPr>
      <w:r>
        <w:t xml:space="preserve">DC-WKiC.053.11.2023.PB </w:t>
      </w:r>
      <w:r>
        <w:rPr>
          <w:rStyle w:val="Teksttreci210pt"/>
        </w:rPr>
        <w:t>2812438</w:t>
      </w:r>
      <w:r>
        <w:rPr>
          <w:rStyle w:val="Teksttreci275pt"/>
        </w:rPr>
        <w:t>.</w:t>
      </w:r>
      <w:r>
        <w:rPr>
          <w:rStyle w:val="Teksttreci210pt"/>
        </w:rPr>
        <w:t xml:space="preserve">10985214.8819465 </w:t>
      </w:r>
      <w:r>
        <w:t>Warszawa, 04-10-2023</w:t>
      </w:r>
    </w:p>
    <w:p w14:paraId="0BC2F5E9" w14:textId="77777777" w:rsidR="004F5AC7" w:rsidRDefault="00000000">
      <w:pPr>
        <w:pStyle w:val="Teksttreci20"/>
        <w:shd w:val="clear" w:color="auto" w:fill="auto"/>
        <w:spacing w:before="0" w:after="213"/>
      </w:pPr>
      <w:r>
        <w:t>Szanowni Państwo,</w:t>
      </w:r>
    </w:p>
    <w:p w14:paraId="5160AE8E" w14:textId="77777777" w:rsidR="004F5AC7" w:rsidRDefault="00000000">
      <w:pPr>
        <w:pStyle w:val="Teksttreci20"/>
        <w:shd w:val="clear" w:color="auto" w:fill="auto"/>
        <w:spacing w:before="0" w:line="240" w:lineRule="exact"/>
      </w:pPr>
      <w:r>
        <w:t>W związku ze złożoną petycją pismem z dnia 29 sierpnia 2023 r. Ldz/1794/23/W, w sprawie zmiany art. Art. 16 ustawy z dnia 20 kwietnia 2021 r. o zmianie ustawy o efektywności energetycznej oraz niektórych innych ustaw (Dz. U. z 2021 r. poz. 868), informuję, co następuje.</w:t>
      </w:r>
    </w:p>
    <w:p w14:paraId="05155F4C" w14:textId="77777777" w:rsidR="004F5AC7" w:rsidRDefault="00000000">
      <w:pPr>
        <w:pStyle w:val="Teksttreci30"/>
        <w:shd w:val="clear" w:color="auto" w:fill="auto"/>
        <w:spacing w:before="0"/>
      </w:pPr>
      <w:r>
        <w:rPr>
          <w:rStyle w:val="Teksttreci3Bezkursywy"/>
        </w:rPr>
        <w:t xml:space="preserve">Aktualne brzmienie przedmiotowego przepisu stanowi, iż </w:t>
      </w:r>
      <w:r>
        <w:t>„Do dnia 1 stycznia 2027 r. właściciel lub zarządca budynku wielolokalowego zastąpi ciepłomierze, podzielniki kosztów ogrzewania lub wodomierze do pomiaru ciepłej wody użytkowej zamontowane przed dniem wejścia w życie ustawy zmienianej w art. 3, w brzmieniu nadanym niniejszą ustawą, urządzeniami posiadającymi funkcję zdalnego odczytu.".</w:t>
      </w:r>
    </w:p>
    <w:p w14:paraId="1FF594B1" w14:textId="77777777" w:rsidR="004F5AC7" w:rsidRDefault="00000000">
      <w:pPr>
        <w:pStyle w:val="Teksttreci20"/>
        <w:shd w:val="clear" w:color="auto" w:fill="auto"/>
        <w:spacing w:before="0" w:line="240" w:lineRule="exact"/>
      </w:pPr>
      <w:r>
        <w:t>Przedmiotowy przepis wszedł w życie 22 maja 2021 r., co powoduje, iż horyzont czasu na przygotowanie przez właścicieli lub zarządców budynków wielolokalowych do zastąpienia lub doposażenia urządzeń pomiarowych lub podzielników kosztów jest ponad pięcioletni. W tym czasie dla urządzeń podlegających przepisom zawartym w ustawie z dnia 11 maja 2001 r. - Prawo o miarach (Dz. U. z 2022 r. poz. 2063 z późn. zm.) w większości przypadków będzie konieczne przeprowadzenie legalizacji, co powinno wiązać się ze spełnieniem wymogu doposażenia tych urządzeń. Co istotne, ustanowiony ponad pięcioletni okres jest niezbędny, aby było możliwe przygotowanie się przez właścicieli i administrujących obiektami do spełnienia wymogu wchodzącego w 2027 r. przepisu.</w:t>
      </w:r>
    </w:p>
    <w:p w14:paraId="2B5618FA" w14:textId="77777777" w:rsidR="004F5AC7" w:rsidRDefault="00000000">
      <w:pPr>
        <w:pStyle w:val="Teksttreci30"/>
        <w:shd w:val="clear" w:color="auto" w:fill="auto"/>
        <w:spacing w:before="0"/>
      </w:pPr>
      <w:r>
        <w:rPr>
          <w:rStyle w:val="Teksttreci3Bezkursywy"/>
        </w:rPr>
        <w:t xml:space="preserve">Wprowadzenie tego przepisu było niezbędne i wynikało z obowiązku wdrożenia dyrektywy Parlamentu Europejskiego i Rady (UE) 2018/2002 z dnia 11 grudnia 2018 r. zmieniającej dyrektywę 2012/27/UE w sprawie efektywności energetycznej (Dz.U. UE L 328 21.12.2018, s. 210) w zakresie transpozycji art. 9c, który stanowi, że </w:t>
      </w:r>
      <w:r>
        <w:t>„(</w:t>
      </w:r>
      <w:r>
        <w:rPr>
          <w:rStyle w:val="Teksttreci31"/>
          <w:i/>
          <w:iCs/>
        </w:rPr>
        <w:t>...</w:t>
      </w:r>
      <w:r>
        <w:t>) liczniki i podzielniki kosztów ogrzewania zamontowane po dniu 25 października 2020 r. muszą być urządzeniami umożliwiającymi zdalny odczyt. (</w:t>
      </w:r>
      <w:r>
        <w:rPr>
          <w:rStyle w:val="Teksttreci31"/>
          <w:i/>
          <w:iCs/>
        </w:rPr>
        <w:t>...</w:t>
      </w:r>
      <w:r>
        <w:t>) Liczniki i podzielniki kosztów ciepła, które nie posiadają funkcji zdalnego odczytu, ale zostały już zamontowane, zostają wyposażone w taką funkcję lub zostają zastąpione urządzeniami posiadającymi taką funkcję do dnia 1 stycznia 2027 r., chyba że dane państwo członkowskie wykaże, że nie jest to opłacalne.".</w:t>
      </w:r>
    </w:p>
    <w:p w14:paraId="2108FE06" w14:textId="77777777" w:rsidR="004F5AC7" w:rsidRDefault="00000000">
      <w:pPr>
        <w:pStyle w:val="Teksttreci20"/>
        <w:shd w:val="clear" w:color="auto" w:fill="auto"/>
        <w:spacing w:before="0" w:after="187" w:line="240" w:lineRule="exact"/>
      </w:pPr>
      <w:r>
        <w:t>Obiektywna ocena implementacji przepisu wskazała, że opłacalność stosowania zdalnego odczytu wynika z braku kosztów pracy osób zobowiązanych do wejścia do każdego mieszkania w celu dokonania odczytu. Dodatkowym elementem opłacalności jest komfort osób w lokalach mieszkalnych i użytkowych, które dzięki możliwości zdalnego odczytu nie mają obowiązku udostępniać cyklicznie swojego mieszkania w celu dokonania odczytu.</w:t>
      </w:r>
    </w:p>
    <w:p w14:paraId="7105DF6E" w14:textId="77777777" w:rsidR="004F5AC7" w:rsidRDefault="00000000" w:rsidP="00E26CE8">
      <w:pPr>
        <w:pStyle w:val="Teksttreci20"/>
        <w:shd w:val="clear" w:color="auto" w:fill="auto"/>
        <w:spacing w:before="0" w:after="1320"/>
      </w:pPr>
      <w:r>
        <w:t>Z wyrazami szacunku</w:t>
      </w:r>
    </w:p>
    <w:p w14:paraId="09596218" w14:textId="77777777" w:rsidR="004F5AC7" w:rsidRDefault="00000000">
      <w:pPr>
        <w:pStyle w:val="Teksttreci40"/>
        <w:shd w:val="clear" w:color="auto" w:fill="auto"/>
        <w:tabs>
          <w:tab w:val="left" w:pos="5107"/>
        </w:tabs>
        <w:spacing w:before="0"/>
      </w:pPr>
      <w:r>
        <w:t>Telefon: (+48) 223-691-088</w:t>
      </w:r>
      <w:r>
        <w:tab/>
        <w:t>ul. Wawelska 52/54, 00-922 Warszawa</w:t>
      </w:r>
    </w:p>
    <w:p w14:paraId="4514F22F" w14:textId="77777777" w:rsidR="004F5AC7" w:rsidRDefault="00000000">
      <w:pPr>
        <w:pStyle w:val="Teksttreci40"/>
        <w:shd w:val="clear" w:color="auto" w:fill="auto"/>
        <w:tabs>
          <w:tab w:val="left" w:pos="5390"/>
        </w:tabs>
        <w:spacing w:before="0"/>
      </w:pPr>
      <w:hyperlink r:id="rId7" w:history="1">
        <w:r>
          <w:rPr>
            <w:lang w:val="en-US" w:eastAsia="en-US" w:bidi="en-US"/>
          </w:rPr>
          <w:t>departament.cieplownictwa@klimat.gov.pl</w:t>
        </w:r>
      </w:hyperlink>
      <w:r>
        <w:rPr>
          <w:lang w:val="en-US" w:eastAsia="en-US" w:bidi="en-US"/>
        </w:rPr>
        <w:tab/>
      </w:r>
      <w:r>
        <w:t>Ministerstwo Klimatu i Środowiska</w:t>
      </w:r>
    </w:p>
    <w:p w14:paraId="4F9BC925" w14:textId="76930627" w:rsidR="004F5AC7" w:rsidRDefault="00E26CE8">
      <w:pPr>
        <w:pStyle w:val="Teksttreci40"/>
        <w:shd w:val="clear" w:color="auto" w:fill="auto"/>
        <w:spacing w:before="0"/>
      </w:pPr>
      <w:r>
        <w:rPr>
          <w:noProof/>
        </w:rPr>
        <mc:AlternateContent>
          <mc:Choice Requires="wps">
            <w:drawing>
              <wp:anchor distT="0" distB="245745" distL="1289050" distR="1286510" simplePos="0" relativeHeight="377487105" behindDoc="1" locked="0" layoutInCell="1" allowOverlap="1" wp14:anchorId="2654EB05" wp14:editId="7364A175">
                <wp:simplePos x="0" y="0"/>
                <wp:positionH relativeFrom="margin">
                  <wp:posOffset>1289050</wp:posOffset>
                </wp:positionH>
                <wp:positionV relativeFrom="paragraph">
                  <wp:posOffset>71120</wp:posOffset>
                </wp:positionV>
                <wp:extent cx="2776855" cy="116840"/>
                <wp:effectExtent l="4445" t="0" r="0" b="0"/>
                <wp:wrapTopAndBottom/>
                <wp:docPr id="950889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4D8A3" w14:textId="77777777" w:rsidR="004F5AC7" w:rsidRDefault="00000000">
                            <w:pPr>
                              <w:pStyle w:val="Teksttreci5"/>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54EB05" id="_x0000_t202" coordsize="21600,21600" o:spt="202" path="m,l,21600r21600,l21600,xe">
                <v:stroke joinstyle="miter"/>
                <v:path gradientshapeok="t" o:connecttype="rect"/>
              </v:shapetype>
              <v:shape id="Text Box 3" o:spid="_x0000_s1026" type="#_x0000_t202" style="position:absolute;left:0;text-align:left;margin-left:101.5pt;margin-top:5.6pt;width:218.65pt;height:9.2pt;z-index:-125829375;visibility:visible;mso-wrap-style:square;mso-width-percent:0;mso-height-percent:0;mso-wrap-distance-left:101.5pt;mso-wrap-distance-top:0;mso-wrap-distance-right:101.3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" filled="f" stroked="f">
                <v:textbox style="mso-fit-shape-to-text:t" inset="0,0,0,0">
                  <w:txbxContent>
                    <w:p w14:paraId="2DB4D8A3" w14:textId="77777777" w:rsidR="004F5AC7" w:rsidRDefault="00000000">
                      <w:pPr>
                        <w:pStyle w:val="Teksttreci5"/>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p>
    <w:sectPr w:rsidR="004F5AC7">
      <w:pgSz w:w="11900" w:h="16840"/>
      <w:pgMar w:top="682" w:right="1519" w:bottom="682" w:left="1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12E4" w14:textId="77777777" w:rsidR="005E2E59" w:rsidRDefault="005E2E59">
      <w:r>
        <w:separator/>
      </w:r>
    </w:p>
  </w:endnote>
  <w:endnote w:type="continuationSeparator" w:id="0">
    <w:p w14:paraId="35954705" w14:textId="77777777" w:rsidR="005E2E59" w:rsidRDefault="005E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4982" w14:textId="77777777" w:rsidR="005E2E59" w:rsidRDefault="005E2E59"/>
  </w:footnote>
  <w:footnote w:type="continuationSeparator" w:id="0">
    <w:p w14:paraId="42C771CA" w14:textId="77777777" w:rsidR="005E2E59" w:rsidRDefault="005E2E5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C7"/>
    <w:rsid w:val="004F5AC7"/>
    <w:rsid w:val="005E2E59"/>
    <w:rsid w:val="00E2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7F22"/>
  <w15:docId w15:val="{2DB6E788-2519-4AD9-AA96-569512A0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1"/>
      <w:szCs w:val="21"/>
      <w:u w:val="none"/>
    </w:rPr>
  </w:style>
  <w:style w:type="character" w:customStyle="1" w:styleId="Teksttreci3Bezkursywy">
    <w:name w:val="Tekst treści (3) + Bez kursywy"/>
    <w:basedOn w:val="Teksttreci3"/>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31">
    <w:name w:val="Tekst treści (3)"/>
    <w:basedOn w:val="Teksttreci3"/>
    <w:rPr>
      <w:rFonts w:ascii="Calibri" w:eastAsia="Calibri" w:hAnsi="Calibri" w:cs="Calibri"/>
      <w:b w:val="0"/>
      <w:bCs w:val="0"/>
      <w:i/>
      <w:iCs/>
      <w:smallCaps w:val="0"/>
      <w:strike w:val="0"/>
      <w:color w:val="9E9E9E"/>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200" w:line="25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00" w:after="200" w:line="240" w:lineRule="exact"/>
      <w:jc w:val="both"/>
    </w:pPr>
    <w:rPr>
      <w:rFonts w:ascii="Calibri" w:eastAsia="Calibri" w:hAnsi="Calibri" w:cs="Calibri"/>
      <w:i/>
      <w:iCs/>
      <w:sz w:val="21"/>
      <w:szCs w:val="21"/>
    </w:rPr>
  </w:style>
  <w:style w:type="paragraph" w:customStyle="1" w:styleId="Teksttreci40">
    <w:name w:val="Tekst treści (4)"/>
    <w:basedOn w:val="Normalny"/>
    <w:link w:val="Teksttreci4"/>
    <w:pPr>
      <w:shd w:val="clear" w:color="auto" w:fill="FFFFFF"/>
      <w:spacing w:before="168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cieplownictwa@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2604</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2023-10-04T14:22:00Z</dcterms:created>
  <dcterms:modified xsi:type="dcterms:W3CDTF">2023-10-04T14:23:00Z</dcterms:modified>
</cp:coreProperties>
</file>