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ED7E" w14:textId="0F69EBC8" w:rsidR="00E53FDE" w:rsidRDefault="00F150FA">
      <w:pPr>
        <w:pStyle w:val="Nagwek10"/>
        <w:keepNext/>
        <w:keepLines/>
        <w:shd w:val="clear" w:color="auto" w:fill="auto"/>
        <w:spacing w:after="534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2FFA2D73" wp14:editId="2625B3A8">
            <wp:simplePos x="0" y="0"/>
            <wp:positionH relativeFrom="margin">
              <wp:posOffset>-723900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24B8D763" w14:textId="77777777" w:rsidR="00E53FDE" w:rsidRDefault="00000000">
      <w:pPr>
        <w:pStyle w:val="Teksttreci20"/>
        <w:shd w:val="clear" w:color="auto" w:fill="auto"/>
        <w:spacing w:before="0" w:after="721"/>
      </w:pPr>
      <w:r>
        <w:t>Departament Elektroenergetyki i Gazu</w:t>
      </w:r>
    </w:p>
    <w:p w14:paraId="622BB7EC" w14:textId="77777777" w:rsidR="00E53FDE" w:rsidRDefault="00000000">
      <w:pPr>
        <w:pStyle w:val="Teksttreci20"/>
        <w:shd w:val="clear" w:color="auto" w:fill="auto"/>
        <w:spacing w:before="0" w:after="0" w:line="230" w:lineRule="exact"/>
        <w:ind w:right="4580"/>
        <w:jc w:val="left"/>
      </w:pPr>
      <w:r>
        <w:t>DELG-WRD.053.3.2023.JW IK: 2638317</w:t>
      </w:r>
    </w:p>
    <w:p w14:paraId="423BB319" w14:textId="77777777" w:rsidR="00E53FDE" w:rsidRDefault="00000000" w:rsidP="00F150FA">
      <w:pPr>
        <w:pStyle w:val="Teksttreci30"/>
        <w:shd w:val="clear" w:color="auto" w:fill="auto"/>
        <w:spacing w:after="1200"/>
        <w:ind w:right="4580"/>
      </w:pPr>
      <w:r>
        <w:t>2638317</w:t>
      </w:r>
      <w:r>
        <w:rPr>
          <w:rStyle w:val="Teksttreci375pt"/>
        </w:rPr>
        <w:t>.</w:t>
      </w:r>
      <w:r>
        <w:t xml:space="preserve">10157545.8185587 </w:t>
      </w:r>
      <w:r>
        <w:rPr>
          <w:rStyle w:val="Teksttreci3105pt"/>
        </w:rPr>
        <w:t>Warszawa, 02-06-2023</w:t>
      </w:r>
    </w:p>
    <w:p w14:paraId="0752A22C" w14:textId="77777777" w:rsidR="00E53FDE" w:rsidRDefault="00000000">
      <w:pPr>
        <w:pStyle w:val="Teksttreci20"/>
        <w:shd w:val="clear" w:color="auto" w:fill="auto"/>
        <w:spacing w:before="0" w:after="213"/>
      </w:pPr>
      <w:r>
        <w:t>Szanowni Państwo,</w:t>
      </w:r>
    </w:p>
    <w:p w14:paraId="08242E88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>w odpowiedzi na petycję z dnia 8 maja 2023 r. skierowaną do Ministra Klimatu i Środowiska w sprawie wprowadzenia zmian przepisów pozwalających na objęcie gwarantowanymi cenami energii wspólnot mieszkaniowych, przedstawiam wyjaśnienia.</w:t>
      </w:r>
    </w:p>
    <w:p w14:paraId="6F19C1E3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>Wspólnoty i spółdzielnie mieszkaniowe, dzięki działaniom Rządu RP, objęte zostały kompleksowymi działaniami osłonowymi łagodzącymi koszty energii elektrycznej, wprowadzonymi w dwóch ustawach.</w:t>
      </w:r>
    </w:p>
    <w:p w14:paraId="4A30214B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Przepisy ustawy z dnia 7 października 2022 r. </w:t>
      </w:r>
      <w:r>
        <w:rPr>
          <w:rStyle w:val="Teksttreci2Kursywa"/>
        </w:rPr>
        <w:t>o szczególnych rozwiązaniach służących ochronie odbiorców energii elektrycznej w 2023 r. w związku z sytuacją na rynku energii</w:t>
      </w:r>
      <w:r>
        <w:t xml:space="preserve"> elektrycznej, pozwalają na zastosowanie mechanizmu „mrożenia" cen i stawek do limitu zużycia 2 MWh na każdy punkt poboru energii, również wobec energii elektrycznej zużywanej </w:t>
      </w:r>
      <w:r>
        <w:rPr>
          <w:rStyle w:val="Teksttreci2Pogrubienie"/>
        </w:rPr>
        <w:t>w częściach wspólnych w budynkach wielolokalowych</w:t>
      </w:r>
      <w:r>
        <w:t>.</w:t>
      </w:r>
    </w:p>
    <w:p w14:paraId="337A0F97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Po przekroczeniu limitu, zgodnie z art. 2 pkt 2 lit. a ustawy z dnia 27 października 2022 r. </w:t>
      </w:r>
      <w:r>
        <w:rPr>
          <w:rStyle w:val="Teksttreci2Kursywa"/>
        </w:rPr>
        <w:t>o środkach nadzwyczajnych mających na celu ograniczenie wysokości cen energii elektrycznej oraz wsparciu niektórych odbiorców w2023 roku,</w:t>
      </w:r>
      <w:r>
        <w:t xml:space="preserve"> wspólnoty i spółdzielnie mieszkaniowe w zakresie energii zużywanej w częściach wspólnych powinny być rozliczane po cenie maksymalnej wynoszącej</w:t>
      </w:r>
      <w:r>
        <w:rPr>
          <w:rStyle w:val="Teksttreci2Pogrubienie"/>
        </w:rPr>
        <w:t>693 zł/MWh</w:t>
      </w:r>
      <w:r>
        <w:t>, zamiast cen, które wynikałaby z pełnego wzrostu taryfy sprzedawców dla energii elektrycznej w 2023 r.</w:t>
      </w:r>
    </w:p>
    <w:p w14:paraId="6CB4E96C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Ponadto, w pozostałym zakresie, w jakim spółdzielnia lub wspólnota mieszkaniowa zużywają energię elektryczną na potrzeby podstawowejdziałalności (np. zużycie energii w pomieszczeniu administracji takiej wspólnoty lub spółdzielni), korzystają ze statusu odbiorcy uprawnionego, o którym mowa w art. 2 pkt 2 lit. e ustawy z dnia 27 października 2022 r. Za tą część poboru energii elektrycznejpodmioty te powinny być rozliczane po cenie maksymalnej wynoszącej </w:t>
      </w:r>
      <w:r>
        <w:rPr>
          <w:rStyle w:val="Teksttreci2Pogrubienie"/>
        </w:rPr>
        <w:t>785 zł/MWh</w:t>
      </w:r>
      <w:r>
        <w:t>.</w:t>
      </w:r>
    </w:p>
    <w:p w14:paraId="736BBEB4" w14:textId="77777777" w:rsidR="00E53FDE" w:rsidRDefault="00000000">
      <w:pPr>
        <w:pStyle w:val="Teksttreci20"/>
        <w:shd w:val="clear" w:color="auto" w:fill="auto"/>
        <w:spacing w:before="0" w:after="238" w:line="240" w:lineRule="exact"/>
      </w:pPr>
      <w:r>
        <w:t xml:space="preserve">Jeśli chodzi o zastosowanie ochrony w </w:t>
      </w:r>
      <w:r>
        <w:rPr>
          <w:rStyle w:val="Teksttreci2Pogrubienie"/>
        </w:rPr>
        <w:t xml:space="preserve">zakresie zaopatrzenia w energię w częściach wspólnych budynków wielolokalowych </w:t>
      </w:r>
      <w:r>
        <w:t>to sytuacja może być zróżnicowana i zależy od rodzaju umów, jakie wspólnoty i spółdzielnie mieszkaniowe zawierały ze sprzedawcami energii elektrycznej. Spółdzielnie i wspólnoty mieszkaniowe w Polsce w zakresie</w:t>
      </w:r>
    </w:p>
    <w:p w14:paraId="078003F1" w14:textId="77777777" w:rsidR="00E53FDE" w:rsidRDefault="00000000">
      <w:pPr>
        <w:pStyle w:val="Teksttreci40"/>
        <w:shd w:val="clear" w:color="auto" w:fill="auto"/>
        <w:tabs>
          <w:tab w:val="left" w:pos="5107"/>
        </w:tabs>
        <w:spacing w:before="0"/>
      </w:pPr>
      <w:r>
        <w:t>Telefon: (+48) 223-691-055</w:t>
      </w:r>
      <w:r>
        <w:tab/>
        <w:t>ul. Wawelska 52/54, 00-922 Warszawa</w:t>
      </w:r>
    </w:p>
    <w:p w14:paraId="5523F477" w14:textId="77777777" w:rsidR="00E53FDE" w:rsidRDefault="00000000">
      <w:pPr>
        <w:pStyle w:val="Teksttreci40"/>
        <w:shd w:val="clear" w:color="auto" w:fill="auto"/>
        <w:tabs>
          <w:tab w:val="left" w:pos="5390"/>
        </w:tabs>
        <w:spacing w:before="0"/>
      </w:pPr>
      <w:hyperlink r:id="rId7" w:history="1">
        <w:r>
          <w:rPr>
            <w:lang w:val="en-US" w:eastAsia="en-US" w:bidi="en-US"/>
          </w:rPr>
          <w:t>departament.elektroenergetyki.i.gazu@klimat.gov.pl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5F6650BF" w14:textId="146DF732" w:rsidR="00E53FDE" w:rsidRDefault="00F150FA">
      <w:pPr>
        <w:pStyle w:val="Teksttreci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2BAE5824" wp14:editId="691CE444">
                <wp:simplePos x="0" y="0"/>
                <wp:positionH relativeFrom="margin">
                  <wp:posOffset>1150620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127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255CD" w14:textId="77777777" w:rsidR="00E53FDE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58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6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" filled="f" stroked="f">
                <v:textbox style="mso-fit-shape-to-text:t" inset="0,0,0,0">
                  <w:txbxContent>
                    <w:p w14:paraId="09D255CD" w14:textId="77777777" w:rsidR="00E53FDE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8" w:history="1">
        <w:r w:rsidR="00000000">
          <w:rPr>
            <w:lang w:val="en-US" w:eastAsia="en-US" w:bidi="en-US"/>
          </w:rPr>
          <w:t>www.gov.pl/klimat</w:t>
        </w:r>
      </w:hyperlink>
      <w:r w:rsidR="00000000">
        <w:br w:type="page"/>
      </w:r>
    </w:p>
    <w:p w14:paraId="73348F38" w14:textId="77777777" w:rsidR="00E53FDE" w:rsidRDefault="00000000">
      <w:pPr>
        <w:pStyle w:val="Teksttreci20"/>
        <w:shd w:val="clear" w:color="auto" w:fill="auto"/>
        <w:spacing w:before="0" w:after="0" w:line="240" w:lineRule="exact"/>
      </w:pPr>
      <w:r>
        <w:lastRenderedPageBreak/>
        <w:t>zabezpieczenia energii na części wspólne miały możliwość pozostania na taryfach sprzedawców z urzędu regulowanych przez Prezesa URE, co dało im ochronę tarczy w postaci "mrożenia cen i stawek opłat" a powyżej limitu zastosowania ceny maksymalnej</w:t>
      </w:r>
      <w:r>
        <w:rPr>
          <w:rStyle w:val="Teksttreci2Pogrubienie"/>
        </w:rPr>
        <w:t>.</w:t>
      </w:r>
    </w:p>
    <w:p w14:paraId="42673D65" w14:textId="77777777" w:rsidR="00E53FDE" w:rsidRDefault="00000000">
      <w:pPr>
        <w:pStyle w:val="Teksttreci60"/>
        <w:shd w:val="clear" w:color="auto" w:fill="auto"/>
      </w:pPr>
      <w:r>
        <w:t>Ochrona wspólnot i spółdzielni w zakresie korzystania z oferty sprzedawcy z urzędu jest więc całkowicie zapewniona.</w:t>
      </w:r>
    </w:p>
    <w:p w14:paraId="0DAB34D2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Jednocześnie ustawa wskazuje, że spółdzielnie i wspólnoty, które korzystają z ochrony zapewnionej ww. ustawami, które wybrały oferty wolnorynkowe </w:t>
      </w:r>
      <w:r>
        <w:rPr>
          <w:rStyle w:val="Teksttreci2Pogrubienie"/>
        </w:rPr>
        <w:t>z gwarancją ceny</w:t>
      </w:r>
      <w:r>
        <w:t>, są objęte ceną wynikającą z tej umowy, nie zaś ochrony ustawowej. W związku ze swobodą zawierania umów oraz dobrowolności działań odbiorców w zakresie podpisywania takich umów, ingerencja ustawowa w nie była nieuzasadniona.</w:t>
      </w:r>
    </w:p>
    <w:p w14:paraId="7C1609B1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Ponadto, z sygnałów dobiegających z rynku od wspólnot i spółdzielni warszawskich wynika, iż niektóre wspólnoty i spółdzielnie mieszkaniowe </w:t>
      </w:r>
      <w:r>
        <w:rPr>
          <w:rStyle w:val="Teksttreci2Pogrubienie"/>
        </w:rPr>
        <w:t xml:space="preserve">nie miały możliwości dokonania wyboru </w:t>
      </w:r>
      <w:r>
        <w:t>pomiędzy umową terminową z gwarancją niezmienności ceny przez dany okres, a umową stosowaną wobec odbiorców w gospodarstwach domowych tj. nie odbiegającą znacząco w zakresie ceny od cen zatwierdzanych przez Prezesa URE w taryfach pozostałych sprzedawców z urzędu. E.ON Polska S.A. - wypowiadał w takich wypadkach w III kwartale 2022 r. umowy terminowe. Wypowiadana była klauzula umowna, która wcześniej pozwalała spółdzielniom i wspólnotom po wygaśnięciu umowy terminowejwrócić na tzw. ofertę taryfową sprzedawcy z urzędu.</w:t>
      </w:r>
    </w:p>
    <w:p w14:paraId="747ECE59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E. ON Polska S.A., pomimo posiadania statusu sprzedawcy z urzędu na rynku warszawskim, czyli statusu przedsiębiorstwa, nad którym ciążą określone obowiązki publiczno-prawne, w tym obowiązek świadczenia dostaw energii elektrycznejna potrzeby gospodarstw domowych, </w:t>
      </w:r>
      <w:r>
        <w:rPr>
          <w:rStyle w:val="Teksttreci2Pogrubienie"/>
        </w:rPr>
        <w:t>na zasadach równego traktowania</w:t>
      </w:r>
      <w:r>
        <w:t>, nie wywiązywał się z tych obowiązków wobec niektórych wspólnot i spółdzielni mieszkaniowych, których zużycie energii elektrycznej w tzw. częściach wspólnych, de facto było zużyciem na potrzeby gospodarstw domowych. Prowadziło to w dalszej kolejności do zawierania przez wspólnoty i spółdzielnie umów lojalnościowych z gwarancją stałejceny z innymi sprzedawcami co wyłączało działanie mechanizmów ochronnych ustaw wchodzących w skład RządowejTarczy Solidarnościowej.</w:t>
      </w:r>
    </w:p>
    <w:p w14:paraId="3FBF20B2" w14:textId="77777777" w:rsidR="00E53FDE" w:rsidRDefault="00000000">
      <w:pPr>
        <w:pStyle w:val="Teksttreci60"/>
        <w:shd w:val="clear" w:color="auto" w:fill="auto"/>
      </w:pPr>
      <w:r>
        <w:t>Takie działania wzbudzają wątpliwości, czy nie doszło ze strony sprzedawcy z urzędu na rynku warszawskim do nadużywania pozycji dominującej, co powinno być przeanalizowane przez organ ochrony konkurencji.</w:t>
      </w:r>
    </w:p>
    <w:p w14:paraId="225629F4" w14:textId="77777777" w:rsidR="00E53FDE" w:rsidRDefault="00000000">
      <w:pPr>
        <w:pStyle w:val="Teksttreci20"/>
        <w:shd w:val="clear" w:color="auto" w:fill="auto"/>
        <w:spacing w:before="0" w:after="200" w:line="240" w:lineRule="exact"/>
      </w:pPr>
      <w:r>
        <w:t xml:space="preserve">Celem rozwiania wątpliwości odnośnie należytejochrony m.in. wspólnot i spółdzielni mieszkaniowych w zakresie zużycia energii elektrycznej w częściach wspólnych budynków mieszkalnych, nowelizacją ustawy z 27 października 2022 r. dodano art. 8a, zgodnie z którym sprzedawca z urzędu jest obowiązany do zawarcia umowy sprzedaży energii elektrycznej albo umowy kompleksowej z odbiorcą uprawnionym (w tym m.in. w zakresie zużycia energii w częściach wspólnych budynków mieszkalnych wielolokalowych). Zatem </w:t>
      </w:r>
      <w:r>
        <w:rPr>
          <w:rStyle w:val="Teksttreci2Pogrubienie"/>
        </w:rPr>
        <w:t>powrót w każdej chwili do sprzedawcy z urzędu i objęcia rozliczeń ochroną Tarczy jest zapewniony przepisami prawa</w:t>
      </w:r>
      <w:r>
        <w:t>. Należy jednak mieć na względzie, że zerwanie umów lojalnościowych przez wspólnoty i spółdzielnie, może wiązać się z karami umownymi wynikającymi już z indywidualnych warunków umownych zawieranych przez poszczególne spółdzielnie.</w:t>
      </w:r>
    </w:p>
    <w:p w14:paraId="5E942E96" w14:textId="77777777" w:rsidR="00E53FDE" w:rsidRDefault="00000000">
      <w:pPr>
        <w:pStyle w:val="Teksttreci20"/>
        <w:shd w:val="clear" w:color="auto" w:fill="auto"/>
        <w:spacing w:before="0" w:after="0" w:line="240" w:lineRule="exact"/>
      </w:pPr>
      <w:r>
        <w:t>Minister Klimatu i Środowiska nie jest organem uprawnionym do dokonywania wiążącej wykładni prawa powszechnie obowiązującego. W indywidualnych sprawach może to uczynić jedynie sąd powszechny.</w:t>
      </w:r>
    </w:p>
    <w:p w14:paraId="75CC0C20" w14:textId="77777777" w:rsidR="00E53FDE" w:rsidRDefault="00000000">
      <w:pPr>
        <w:pStyle w:val="Teksttreci20"/>
        <w:shd w:val="clear" w:color="auto" w:fill="auto"/>
        <w:spacing w:before="0" w:after="0" w:line="240" w:lineRule="exact"/>
      </w:pPr>
      <w:r>
        <w:t>Ponadto, przedsiębiorca stosuje przepisy prawa na własną odpowiedzialność, mając świadomość wpływu podejmowanych decyzji na ryzyko prowadzonejprzez siebie działalności gospodarczej.</w:t>
      </w:r>
    </w:p>
    <w:sectPr w:rsidR="00E53FDE">
      <w:pgSz w:w="11900" w:h="16840"/>
      <w:pgMar w:top="792" w:right="1949" w:bottom="1114" w:left="1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A2BE" w14:textId="77777777" w:rsidR="001A744B" w:rsidRDefault="001A744B">
      <w:r>
        <w:separator/>
      </w:r>
    </w:p>
  </w:endnote>
  <w:endnote w:type="continuationSeparator" w:id="0">
    <w:p w14:paraId="3AEDE19D" w14:textId="77777777" w:rsidR="001A744B" w:rsidRDefault="001A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C8A1" w14:textId="77777777" w:rsidR="001A744B" w:rsidRDefault="001A744B"/>
  </w:footnote>
  <w:footnote w:type="continuationSeparator" w:id="0">
    <w:p w14:paraId="56DFD977" w14:textId="77777777" w:rsidR="001A744B" w:rsidRDefault="001A74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DE"/>
    <w:rsid w:val="001A744B"/>
    <w:rsid w:val="00E53FDE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656B"/>
  <w15:docId w15:val="{F68B0D0B-7B6C-434A-8565-926F8E57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75pt">
    <w:name w:val="Tekst treści (3) + 7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105pt">
    <w:name w:val="Tekst treści (3) + 10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80" w:line="230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0"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00" w:line="240" w:lineRule="exact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partament.elektroenergetyki.i.gazu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2023-06-07T08:53:00Z</dcterms:created>
  <dcterms:modified xsi:type="dcterms:W3CDTF">2023-06-07T08:53:00Z</dcterms:modified>
</cp:coreProperties>
</file>