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14850" w14:textId="3E29480A" w:rsidR="00DE73AD" w:rsidRDefault="00746A4F">
      <w:pPr>
        <w:pStyle w:val="Nagwek10"/>
        <w:keepNext/>
        <w:keepLines/>
        <w:shd w:val="clear" w:color="auto" w:fill="auto"/>
      </w:pPr>
      <w:r>
        <w:rPr>
          <w:noProof/>
        </w:rPr>
        <w:drawing>
          <wp:anchor distT="0" distB="0" distL="63500" distR="63500" simplePos="0" relativeHeight="377487104" behindDoc="1" locked="0" layoutInCell="1" allowOverlap="1" wp14:anchorId="4B3FEBE0" wp14:editId="675B8C7B">
            <wp:simplePos x="0" y="0"/>
            <wp:positionH relativeFrom="margin">
              <wp:posOffset>-728345</wp:posOffset>
            </wp:positionH>
            <wp:positionV relativeFrom="paragraph">
              <wp:posOffset>-91440</wp:posOffset>
            </wp:positionV>
            <wp:extent cx="685800" cy="740410"/>
            <wp:effectExtent l="0" t="0" r="0" b="0"/>
            <wp:wrapSquare wrapText="right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bookmark0"/>
      <w:r w:rsidR="00000000">
        <w:t>Minister</w:t>
      </w:r>
      <w:bookmarkEnd w:id="0"/>
    </w:p>
    <w:p w14:paraId="0D600C3E" w14:textId="77777777" w:rsidR="00DE73AD" w:rsidRDefault="00000000" w:rsidP="00746A4F">
      <w:pPr>
        <w:pStyle w:val="Nagwek10"/>
        <w:keepNext/>
        <w:keepLines/>
        <w:shd w:val="clear" w:color="auto" w:fill="auto"/>
        <w:spacing w:after="720"/>
      </w:pPr>
      <w:bookmarkStart w:id="1" w:name="bookmark1"/>
      <w:r>
        <w:t>Klimatu i Środowiska</w:t>
      </w:r>
      <w:bookmarkEnd w:id="1"/>
    </w:p>
    <w:p w14:paraId="38C25EA5" w14:textId="77777777" w:rsidR="00DE73AD" w:rsidRDefault="00000000" w:rsidP="00746A4F">
      <w:pPr>
        <w:pStyle w:val="Teksttreci20"/>
        <w:shd w:val="clear" w:color="auto" w:fill="auto"/>
        <w:spacing w:before="0" w:after="120"/>
        <w:ind w:right="5720" w:firstLine="0"/>
      </w:pPr>
      <w:r>
        <w:t xml:space="preserve">DC-WKiC.053.4.2023.EZ </w:t>
      </w:r>
      <w:r>
        <w:rPr>
          <w:rStyle w:val="Teksttreci210pt"/>
        </w:rPr>
        <w:t>2532066</w:t>
      </w:r>
      <w:r>
        <w:rPr>
          <w:rStyle w:val="Teksttreci275pt"/>
        </w:rPr>
        <w:t>.</w:t>
      </w:r>
      <w:r>
        <w:rPr>
          <w:rStyle w:val="Teksttreci210pt"/>
        </w:rPr>
        <w:t xml:space="preserve">9647011.8250910 </w:t>
      </w:r>
      <w:r>
        <w:t>Warszawa, 15-06-2023</w:t>
      </w:r>
    </w:p>
    <w:p w14:paraId="13B5BBA8" w14:textId="77777777" w:rsidR="00DE73AD" w:rsidRDefault="00000000">
      <w:pPr>
        <w:pStyle w:val="Teksttreci20"/>
        <w:shd w:val="clear" w:color="auto" w:fill="auto"/>
        <w:spacing w:before="0" w:after="460" w:line="256" w:lineRule="exact"/>
        <w:ind w:left="400"/>
      </w:pPr>
      <w:r>
        <w:t>Wg rozdzielnika</w:t>
      </w:r>
    </w:p>
    <w:p w14:paraId="3DECDC18" w14:textId="77777777" w:rsidR="00DE73AD" w:rsidRDefault="00000000">
      <w:pPr>
        <w:pStyle w:val="Teksttreci20"/>
        <w:shd w:val="clear" w:color="auto" w:fill="auto"/>
        <w:spacing w:before="0" w:after="473" w:line="256" w:lineRule="exact"/>
        <w:ind w:left="400"/>
      </w:pPr>
      <w:r>
        <w:t>Szanowni Państwo,</w:t>
      </w:r>
    </w:p>
    <w:p w14:paraId="42C46A2C" w14:textId="77777777" w:rsidR="00DE73AD" w:rsidRDefault="00000000">
      <w:pPr>
        <w:pStyle w:val="Teksttreci20"/>
        <w:shd w:val="clear" w:color="auto" w:fill="auto"/>
        <w:spacing w:before="0" w:after="229" w:line="240" w:lineRule="exact"/>
        <w:ind w:firstLine="0"/>
      </w:pPr>
      <w:r>
        <w:t>odpowiadając na petycje skierowane do Ministra Klimatu i Środowiska w tej samej sprawie, tj. w sprawie wprowadzenia przepisów prawnych w zakresie pułapu rekompensowanych cen ciepła sieciowego dla odbiorców mieszkaniowych, które zgodnie z art. 11 ust. 1 ustawy z dnia 11 lipca 2014 r. o petycjach (Dz. U. z 2018 r., poz. 870), zostały zakwalifikowane jako petycja wielokrotna, zawiadamiam, że petycja wielokrotna została rozpatrzona negatywnie. Poniżej przedstawiam stanowisko w przedmiotowej sprawie.</w:t>
      </w:r>
    </w:p>
    <w:p w14:paraId="0429F194" w14:textId="77777777" w:rsidR="00DE73AD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336"/>
        </w:tabs>
        <w:spacing w:before="0" w:after="0" w:line="254" w:lineRule="exact"/>
        <w:ind w:left="400"/>
      </w:pPr>
      <w:r>
        <w:t>Wobec postulatu, aby wypłacać rokrocznie i dwukrotnie w ciągu roku (30 kwietnia i 30 września) kwotę 1 tysiąca złotych na lokal mieszkalny dla mieszkańców budynków wielolokalowych, waloryzowaną rokrocznie inflacją lub poprzez ustalenie stawki na podstawie stawki kwalifikowanej powierzchni mieszkaniowej - należy stwierdzić, że byłaby to forma pomocy stawiająca wybrane grono obywateli w sytuacji uprzywilejowanej.</w:t>
      </w:r>
    </w:p>
    <w:p w14:paraId="58257B34" w14:textId="77777777" w:rsidR="00DE73AD" w:rsidRDefault="00000000">
      <w:pPr>
        <w:pStyle w:val="Teksttreci20"/>
        <w:shd w:val="clear" w:color="auto" w:fill="auto"/>
        <w:spacing w:before="0" w:after="0" w:line="254" w:lineRule="exact"/>
        <w:ind w:left="400" w:firstLine="0"/>
      </w:pPr>
      <w:r>
        <w:t>Realizowanie zasady państwa prawnego zakłada wdrażanie idei sprawiedliwości, która polega na dążeniu do zachowania równowagi w stosunkach społecznych i powstrzymywanie się od kreowania nieusprawiedliwionych, niepopartych obiektywnymi wymogami i kryteriami przywilejów dla wybranych grup obywateli. Poszanowanie tejzasady polega przede wszystkim na słusznym i sprawiedliwym wyważeniu interesu ogółu (dobra wspólnego) i interesów jednostki.</w:t>
      </w:r>
    </w:p>
    <w:p w14:paraId="30F45BD3" w14:textId="77777777" w:rsidR="00DE73AD" w:rsidRDefault="00000000">
      <w:pPr>
        <w:pStyle w:val="Teksttreci20"/>
        <w:shd w:val="clear" w:color="auto" w:fill="auto"/>
        <w:spacing w:before="0" w:after="0" w:line="254" w:lineRule="exact"/>
        <w:ind w:left="400" w:firstLine="0"/>
      </w:pPr>
      <w:r>
        <w:t>Zaproponowana przez autorów petycji zmiana przepisów jest niezgodna z założeniami osiągnięcia określonego poziomu udzielenia wsparcia dla gospodarstw domowych i instytucji użyteczności publicznej, jako odbiorców szczególnie wrażliwych i nie może stanowić podstawy uzasadnienia do zmiany prawa w tym zakresie. W takcie analizy różnych modeli wsparcia dla tych odbiorców, przyjęto rozwiązania, które mają na celu ograniczyć negatywne skutki społeczne, w tym oddalić ryzyko znaczącego wzrostu ubóstwa energetycznego. Priorytetem stało się zapewnienie podstawowej potrzeby, jaką jest ogrzanie gospodarstw domowych i obiektów, w których swą działalność prowadzą podmioty wrażliwe, poprzez przyznanie wsparcia finansowego.</w:t>
      </w:r>
    </w:p>
    <w:p w14:paraId="297370A4" w14:textId="77777777" w:rsidR="00DE73AD" w:rsidRDefault="00000000">
      <w:pPr>
        <w:pStyle w:val="Teksttreci20"/>
        <w:shd w:val="clear" w:color="auto" w:fill="auto"/>
        <w:spacing w:before="0" w:after="1050" w:line="254" w:lineRule="exact"/>
        <w:ind w:left="400" w:firstLine="0"/>
      </w:pPr>
      <w:r>
        <w:t>Należy zwrócić uwagę, że odbiorcy ciepła systemowego, co do zasady, są permanentnie chronieni modelem taryfowym. Zgodnie z mechanizmem wolnego rynku, przedsiębiorstwa ciepłownicze dokonują zakupu paliw wykorzystywanych do wytwarzania ciepła, stosując zróżnicowane stawki i wynika to z bezpośrednich relacji gospodarczych, przy czym mają one ścisłe przełożenie na ceny ciepła dla odbiorców.</w:t>
      </w:r>
    </w:p>
    <w:p w14:paraId="4CB505E4" w14:textId="77777777" w:rsidR="00DE73AD" w:rsidRDefault="00000000">
      <w:pPr>
        <w:pStyle w:val="Teksttreci30"/>
        <w:shd w:val="clear" w:color="auto" w:fill="auto"/>
        <w:tabs>
          <w:tab w:val="left" w:pos="5074"/>
        </w:tabs>
        <w:spacing w:before="0"/>
        <w:ind w:left="400"/>
      </w:pPr>
      <w:r>
        <w:t>Telefon: (+48) 22 369 29 00</w:t>
      </w:r>
      <w:r>
        <w:tab/>
        <w:t>ul. Wawelska 52/54, 00-922 Warszawa</w:t>
      </w:r>
    </w:p>
    <w:p w14:paraId="57AFCC26" w14:textId="77777777" w:rsidR="00DE73AD" w:rsidRDefault="00000000">
      <w:pPr>
        <w:pStyle w:val="Teksttreci30"/>
        <w:shd w:val="clear" w:color="auto" w:fill="auto"/>
        <w:tabs>
          <w:tab w:val="left" w:pos="5386"/>
        </w:tabs>
        <w:spacing w:before="0"/>
        <w:ind w:left="400"/>
      </w:pPr>
      <w:hyperlink r:id="rId8" w:history="1">
        <w:r>
          <w:rPr>
            <w:lang w:val="en-US" w:eastAsia="en-US" w:bidi="en-US"/>
          </w:rPr>
          <w:t>info@klimat.gov.pl</w:t>
        </w:r>
      </w:hyperlink>
      <w:r>
        <w:rPr>
          <w:lang w:val="en-US" w:eastAsia="en-US" w:bidi="en-US"/>
        </w:rPr>
        <w:tab/>
      </w:r>
      <w:r>
        <w:t>Ministerstwo Klimatu i Środowiska</w:t>
      </w:r>
    </w:p>
    <w:p w14:paraId="0E37C338" w14:textId="3314E049" w:rsidR="00DE73AD" w:rsidRDefault="00746A4F">
      <w:pPr>
        <w:pStyle w:val="Teksttreci30"/>
        <w:shd w:val="clear" w:color="auto" w:fill="auto"/>
        <w:spacing w:before="0"/>
        <w:ind w:left="400"/>
      </w:pPr>
      <w:r>
        <w:rPr>
          <w:noProof/>
        </w:rPr>
        <mc:AlternateContent>
          <mc:Choice Requires="wps">
            <w:drawing>
              <wp:anchor distT="0" distB="245745" distL="1151890" distR="1146175" simplePos="0" relativeHeight="377487105" behindDoc="1" locked="0" layoutInCell="1" allowOverlap="1" wp14:anchorId="6E48CAE0" wp14:editId="323B96CC">
                <wp:simplePos x="0" y="0"/>
                <wp:positionH relativeFrom="margin">
                  <wp:posOffset>1151890</wp:posOffset>
                </wp:positionH>
                <wp:positionV relativeFrom="paragraph">
                  <wp:posOffset>71120</wp:posOffset>
                </wp:positionV>
                <wp:extent cx="2780030" cy="116840"/>
                <wp:effectExtent l="1905" t="0" r="0" b="0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0030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0F0C85" w14:textId="77777777" w:rsidR="00DE73AD" w:rsidRDefault="00000000">
                            <w:pPr>
                              <w:pStyle w:val="Teksttreci4"/>
                              <w:shd w:val="clear" w:color="auto" w:fill="auto"/>
                            </w:pPr>
                            <w:r>
                              <w:t>Działamy zgodnie z EMAS - zarządzając instytucją, dbamy o środowisko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48CAE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0.7pt;margin-top:5.6pt;width:218.9pt;height:9.2pt;z-index:-125829375;visibility:visible;mso-wrap-style:square;mso-width-percent:0;mso-height-percent:0;mso-wrap-distance-left:90.7pt;mso-wrap-distance-top:0;mso-wrap-distance-right:90.25pt;mso-wrap-distance-bottom:19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" filled="f" stroked="f">
                <v:textbox style="mso-fit-shape-to-text:t" inset="0,0,0,0">
                  <w:txbxContent>
                    <w:p w14:paraId="4F0F0C85" w14:textId="77777777" w:rsidR="00DE73AD" w:rsidRDefault="00000000">
                      <w:pPr>
                        <w:pStyle w:val="Teksttreci4"/>
                        <w:shd w:val="clear" w:color="auto" w:fill="auto"/>
                      </w:pPr>
                      <w:r>
                        <w:t>Działamy zgodnie z EMAS - zarządzając instytucją, dbamy o środowisko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hyperlink r:id="rId9" w:history="1">
        <w:r w:rsidR="00000000">
          <w:rPr>
            <w:lang w:val="en-US" w:eastAsia="en-US" w:bidi="en-US"/>
          </w:rPr>
          <w:t>www.gov.pl/klimat</w:t>
        </w:r>
      </w:hyperlink>
      <w:r w:rsidR="00000000">
        <w:br w:type="page"/>
      </w:r>
    </w:p>
    <w:p w14:paraId="0C490706" w14:textId="77777777" w:rsidR="00DE73AD" w:rsidRDefault="00000000">
      <w:pPr>
        <w:pStyle w:val="Teksttreci20"/>
        <w:shd w:val="clear" w:color="auto" w:fill="auto"/>
        <w:spacing w:before="0" w:after="0" w:line="259" w:lineRule="exact"/>
        <w:ind w:left="400" w:firstLine="0"/>
      </w:pPr>
      <w:r>
        <w:lastRenderedPageBreak/>
        <w:t>Różnorodność systemów ciepłowniczych, stosowanych paliw i technologii wyklucza ponadto zastosowanie dopłaty bezpośredniej, gdyż w wielu przypadkach byłaby to pomoc nieadekwatna, gdyż nieuwzględniająca rzeczywistych wzrostów cen i stawek opłat za dostarczone ciepło na cele ogrzewania.</w:t>
      </w:r>
    </w:p>
    <w:p w14:paraId="689F3630" w14:textId="77777777" w:rsidR="00DE73AD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350"/>
        </w:tabs>
        <w:spacing w:before="0" w:after="0" w:line="240" w:lineRule="exact"/>
        <w:ind w:left="400"/>
      </w:pPr>
      <w:r>
        <w:t>Wobec postulatu, aby środki z rekompensat były przekazane na rachunek zarządcy nieruchomości, który uwzględni to w rozliczeniu rocznym, należy stwierdzić, że na tym etapie nie byłoby to rozwiązanie właściwe.</w:t>
      </w:r>
    </w:p>
    <w:p w14:paraId="3EEEB471" w14:textId="77777777" w:rsidR="00DE73AD" w:rsidRDefault="00000000">
      <w:pPr>
        <w:pStyle w:val="Teksttreci20"/>
        <w:shd w:val="clear" w:color="auto" w:fill="auto"/>
        <w:spacing w:before="0" w:after="0" w:line="240" w:lineRule="exact"/>
        <w:ind w:left="400" w:firstLine="0"/>
      </w:pPr>
      <w:r>
        <w:t>W ostatnim czasie, do Ministerstwa wpłynęło wiele skarg pod adresem podmiotów zarządzających budynkami wielolokalowymi, w których to skargach mieszkańcy podnosili krytyczne uwagi pod kątem sposób rozliczania opłat z tytułu ciepła. Podwyżki opłat często oparte są na prognozach i dopiero w perspektywie kolejnych miesięcy mogą oczekiwać ewentualnych zwrotów lub uwzględnienia nadpłaty w rozliczeniu.</w:t>
      </w:r>
    </w:p>
    <w:p w14:paraId="668D2731" w14:textId="77777777" w:rsidR="00DE73AD" w:rsidRDefault="00000000">
      <w:pPr>
        <w:pStyle w:val="Teksttreci20"/>
        <w:shd w:val="clear" w:color="auto" w:fill="auto"/>
        <w:spacing w:before="0" w:after="0" w:line="240" w:lineRule="exact"/>
        <w:ind w:left="400" w:firstLine="0"/>
      </w:pPr>
      <w:r>
        <w:t>Wraz z nowym mechanizmem maksymalnejceny dostawy ciepła, wprowadzonym nowelizacją ustawy z dnia 15 września 2022 r. o szczególnych rozwiązaniach w zakresie niektórych źródeł ciepła w związku z sytuacją na rynku paliw (Dz. U. z 2022 r. poz. 1967 z późn. zm.), ograniczone zostały powyższe przypadki. Nowelizacja nałożyła obowiązek reagowania na zmiany cen ciepła na bieżąco, aby redukować nadmierne obciążenia i środki nie gromadziły się do czasu rozliczenia ich po kilku miesiącach.</w:t>
      </w:r>
    </w:p>
    <w:p w14:paraId="50258254" w14:textId="77777777" w:rsidR="00DE73AD" w:rsidRDefault="00000000">
      <w:pPr>
        <w:pStyle w:val="Teksttreci20"/>
        <w:shd w:val="clear" w:color="auto" w:fill="auto"/>
        <w:spacing w:before="0" w:after="0" w:line="240" w:lineRule="exact"/>
        <w:ind w:left="400" w:firstLine="0"/>
      </w:pPr>
      <w:r>
        <w:t>Uwzględnienie postulatu składających petycję spowodowałoby naruszenie wprowadzonych rozwiązań.</w:t>
      </w:r>
    </w:p>
    <w:p w14:paraId="4A05B033" w14:textId="77777777" w:rsidR="00DE73AD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350"/>
        </w:tabs>
        <w:spacing w:before="0" w:after="200" w:line="240" w:lineRule="exact"/>
        <w:ind w:left="400"/>
      </w:pPr>
      <w:r>
        <w:t>Wobec postulatu, aby zarządca nieruchomości wskazywał liczbę lokali uprawnionych, należy przypomnieć, że postawą do stosowania wsparcia przewidzianego ustawą o szczególnych rozwiązaniach w zakresie niektórych źródeł ciepła w związku z sytuacją na rynku paliw jest oświadczenie złożone sprzedawcy ciepła przez uprawnionych odbiorców. Oświadczenie składają osoby działające w imieniu i na rzecz odbiorcy tj. sprawujące zarząd nad spółdzielnia lub wspólnotą mieszkaniową. Rozpatrywanie zgłoszonego postulatu jest zatem bezprzedmiotowe.</w:t>
      </w:r>
    </w:p>
    <w:p w14:paraId="57456CA4" w14:textId="77777777" w:rsidR="00DE73AD" w:rsidRDefault="00000000">
      <w:pPr>
        <w:pStyle w:val="Teksttreci20"/>
        <w:shd w:val="clear" w:color="auto" w:fill="auto"/>
        <w:spacing w:before="0" w:after="0" w:line="240" w:lineRule="exact"/>
        <w:ind w:firstLine="0"/>
      </w:pPr>
      <w:r>
        <w:t>Należy ponadto wskazać, że kumulacja niekorzystnych czynników geopolitycznych wpływających na rynki surowców energetycznych spowodowała, że ceny ciepła dla mieszkańców korzystających z ciepła systemowego wzrosły do poziomów wyższych niż założono projektując pierwotnie obowiązujący mechanizm wsparcia. Należy przy tym rozróżnić odbiorcę rozliczającego się ze sprzedawcą ciepła - przedsiębiorstwo energetyczne, a odbiorcę końcowego, który w przypadku budynków wielolokalowych rozlicza się za pośrednictwem spółdzielni lub wspólnoty mieszkaniowej poprzez przyjęty regulaminem sposób.</w:t>
      </w:r>
    </w:p>
    <w:p w14:paraId="1D65C0CC" w14:textId="77777777" w:rsidR="00DE73AD" w:rsidRDefault="00000000">
      <w:pPr>
        <w:pStyle w:val="Teksttreci20"/>
        <w:shd w:val="clear" w:color="auto" w:fill="auto"/>
        <w:spacing w:before="0" w:after="0" w:line="240" w:lineRule="exact"/>
        <w:ind w:firstLine="0"/>
      </w:pPr>
      <w:r>
        <w:t>W związku powyższym dokonano modyfikacji zakresu wsparcia i w trybie pilnym zidentyfikowano możliwe obszary dalszej interwencji, które zapewniły dodatkowe wsparcie dla gospodarstw domowych i instytucji użyteczności publicznej. W efekcie nastąpiło w wielu przypadkach zmniejszenie opłat dotyczących dostaw ciepła w tych miastach, gdzie pierwotne regulacje okazały się niewystarczające.</w:t>
      </w:r>
    </w:p>
    <w:p w14:paraId="63A21731" w14:textId="77777777" w:rsidR="00DE73AD" w:rsidRDefault="00000000">
      <w:pPr>
        <w:pStyle w:val="Teksttreci20"/>
        <w:shd w:val="clear" w:color="auto" w:fill="auto"/>
        <w:spacing w:before="0" w:after="0" w:line="240" w:lineRule="exact"/>
        <w:ind w:firstLine="0"/>
      </w:pPr>
      <w:r>
        <w:t>Celem państwa jest sprawiedliwe rekompensowanie kosztów ogrzewania wszystkim obywatelom, stąd nie jest możliwe zastosowanie jednego rozwiązania prawnego, które mogłoby objąć wszystkich obywateli równocześnie i w równym stopniu. Specyfika rynku ciepła oraz różne ceny i dynamika zmian cen różnych nośników wymuszają odpowiednie dostosowanie wysokości przyznanejpomocy do lokalnych uwarunkowań. Wynika to z znaczącego zróżnicowania systemów ciepłowniczych oraz w szerszym kontekście z różnych sposobów ogrzewania lokali, ze względu na sposoby zaopatrzenia w ciepło (systemowe lub indywidualne) oraz ze względu na wykorzystanie różnych nośników w tym: energia elektryczna, gaz ziemny, węgiel, pelet, gaz LPG, olej opałowy. Koniecznej pomocy nie można sprowadzić do jednego programu wsparcia, który nie uwzględniałby występujących różnic.</w:t>
      </w:r>
    </w:p>
    <w:p w14:paraId="5C609EC5" w14:textId="77777777" w:rsidR="00DE73AD" w:rsidRDefault="00000000">
      <w:pPr>
        <w:pStyle w:val="Teksttreci20"/>
        <w:shd w:val="clear" w:color="auto" w:fill="auto"/>
        <w:spacing w:before="0" w:after="0" w:line="240" w:lineRule="exact"/>
        <w:ind w:firstLine="0"/>
      </w:pPr>
      <w:r>
        <w:t>Każde z wprowadzonych przez Ministra Klimatu i Środowiska rozwiązań ma, w jak największym stopniu, złagodzić skutki wywołanego czynnikami zewnętrznymi kryzysu energetycznego i inflacji oraz wspierać wrażliwych odbiorców energii.</w:t>
      </w:r>
    </w:p>
    <w:p w14:paraId="01B7E1F5" w14:textId="77777777" w:rsidR="00DE73AD" w:rsidRDefault="00000000">
      <w:pPr>
        <w:pStyle w:val="Teksttreci20"/>
        <w:shd w:val="clear" w:color="auto" w:fill="auto"/>
        <w:spacing w:before="0" w:after="2607" w:line="240" w:lineRule="exact"/>
        <w:ind w:firstLine="0"/>
      </w:pPr>
      <w:r>
        <w:t>Przygotowano i zaadresowano różne modele wsparcia do określonego kręgu odbiorców wykorzystujących różne rodzaje paliw i nośników energii do ogrzewania mieszkań, budynków i lokali. Uwzględniając jednocześnie dbałość o efektywną dystrybucję środków pomocy wysokość dopłat została zróżnicowana ze względu na wartość kaloryczną paliwa, aby wszystkie narzędzia wsparcia zostały ograniczone do relatywnie podobnego poziomu. Nie znajduje zatem uzasadnienia twierdzenie o niesprawiedliwym, bo bardziej lub mniej korzystnym traktowaniu określonych odbiorców paliw i energii w tym ciepła.</w:t>
      </w:r>
    </w:p>
    <w:p w14:paraId="0664272F" w14:textId="77777777" w:rsidR="00DE73AD" w:rsidRDefault="00000000">
      <w:pPr>
        <w:pStyle w:val="Teksttreci20"/>
        <w:shd w:val="clear" w:color="auto" w:fill="auto"/>
        <w:spacing w:before="0" w:after="0" w:line="256" w:lineRule="exact"/>
        <w:ind w:firstLine="0"/>
      </w:pPr>
      <w:r>
        <w:lastRenderedPageBreak/>
        <w:t>Do wiadomości: Departament Kontroli i Audytu</w:t>
      </w:r>
      <w:r>
        <w:br w:type="page"/>
      </w:r>
    </w:p>
    <w:sectPr w:rsidR="00DE73AD">
      <w:pgSz w:w="11900" w:h="16840"/>
      <w:pgMar w:top="960" w:right="1949" w:bottom="845" w:left="195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07053" w14:textId="77777777" w:rsidR="009B4552" w:rsidRDefault="009B4552">
      <w:r>
        <w:separator/>
      </w:r>
    </w:p>
  </w:endnote>
  <w:endnote w:type="continuationSeparator" w:id="0">
    <w:p w14:paraId="55B5F594" w14:textId="77777777" w:rsidR="009B4552" w:rsidRDefault="009B4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F5374" w14:textId="77777777" w:rsidR="009B4552" w:rsidRDefault="009B4552"/>
  </w:footnote>
  <w:footnote w:type="continuationSeparator" w:id="0">
    <w:p w14:paraId="3245BD1B" w14:textId="77777777" w:rsidR="009B4552" w:rsidRDefault="009B45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D640E"/>
    <w:multiLevelType w:val="multilevel"/>
    <w:tmpl w:val="803E3D9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12956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3AD"/>
    <w:rsid w:val="00746A4F"/>
    <w:rsid w:val="009B4552"/>
    <w:rsid w:val="00DE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BBB22"/>
  <w15:docId w15:val="{AE4670CE-56E9-4546-80C2-E4101E963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Exact">
    <w:name w:val="Tekst treści (4) Exact"/>
    <w:basedOn w:val="Domylnaczcionkaakapitu"/>
    <w:link w:val="Teksttreci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10pt">
    <w:name w:val="Tekst treści (2) + 10 pt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75pt">
    <w:name w:val="Tekst treści (2) + 7;5 pt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Teksttreci4">
    <w:name w:val="Tekst treści (4)"/>
    <w:basedOn w:val="Normalny"/>
    <w:link w:val="Teksttreci4Exact"/>
    <w:pPr>
      <w:shd w:val="clear" w:color="auto" w:fill="FFFFFF"/>
      <w:spacing w:line="184" w:lineRule="exact"/>
    </w:pPr>
    <w:rPr>
      <w:rFonts w:ascii="Calibri" w:eastAsia="Calibri" w:hAnsi="Calibri" w:cs="Calibri"/>
      <w:sz w:val="15"/>
      <w:szCs w:val="15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464" w:lineRule="exact"/>
      <w:outlineLvl w:val="0"/>
    </w:pPr>
    <w:rPr>
      <w:rFonts w:ascii="Calibri" w:eastAsia="Calibri" w:hAnsi="Calibri" w:cs="Calibri"/>
      <w:sz w:val="38"/>
      <w:szCs w:val="3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140" w:after="720" w:line="226" w:lineRule="exact"/>
      <w:ind w:hanging="400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1000" w:line="192" w:lineRule="exact"/>
      <w:ind w:hanging="400"/>
      <w:jc w:val="both"/>
    </w:pPr>
    <w:rPr>
      <w:rFonts w:ascii="Calibri" w:eastAsia="Calibri" w:hAnsi="Calibri" w:cs="Calibri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limat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v.pl/klima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1067</Words>
  <Characters>6404</Characters>
  <Application>Microsoft Office Word</Application>
  <DocSecurity>0</DocSecurity>
  <Lines>53</Lines>
  <Paragraphs>14</Paragraphs>
  <ScaleCrop>false</ScaleCrop>
  <Company/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2023-06-15T11:41:00Z</dcterms:created>
  <dcterms:modified xsi:type="dcterms:W3CDTF">2023-06-15T11:42:00Z</dcterms:modified>
</cp:coreProperties>
</file>