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FE5CE" w14:textId="08C5A274" w:rsidR="001B3A8C" w:rsidRDefault="006B2253">
      <w:pPr>
        <w:pStyle w:val="Nagwek10"/>
        <w:keepNext/>
        <w:keepLines/>
        <w:shd w:val="clear" w:color="auto" w:fill="auto"/>
        <w:spacing w:after="554"/>
        <w:ind w:right="4720"/>
      </w:pPr>
      <w:r>
        <w:rPr>
          <w:noProof/>
        </w:rPr>
        <w:drawing>
          <wp:anchor distT="0" distB="0" distL="63500" distR="63500" simplePos="0" relativeHeight="377487104" behindDoc="1" locked="0" layoutInCell="1" allowOverlap="1" wp14:anchorId="0E22B872" wp14:editId="03FFD61C">
            <wp:simplePos x="0" y="0"/>
            <wp:positionH relativeFrom="margin">
              <wp:posOffset>-722630</wp:posOffset>
            </wp:positionH>
            <wp:positionV relativeFrom="paragraph">
              <wp:posOffset>-88265</wp:posOffset>
            </wp:positionV>
            <wp:extent cx="685800" cy="74041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Ministerstwo Klimatu i Środowiska</w:t>
      </w:r>
      <w:bookmarkEnd w:id="0"/>
    </w:p>
    <w:p w14:paraId="411FE362" w14:textId="77777777" w:rsidR="001B3A8C" w:rsidRDefault="00000000">
      <w:pPr>
        <w:pStyle w:val="Teksttreci20"/>
        <w:shd w:val="clear" w:color="auto" w:fill="auto"/>
        <w:spacing w:before="0" w:after="464"/>
      </w:pPr>
      <w:r>
        <w:t>Departament Ciepłownictwa</w:t>
      </w:r>
    </w:p>
    <w:p w14:paraId="7F62EE61" w14:textId="77777777" w:rsidR="001B3A8C" w:rsidRDefault="00000000" w:rsidP="006B2253">
      <w:pPr>
        <w:pStyle w:val="Teksttreci20"/>
        <w:shd w:val="clear" w:color="auto" w:fill="auto"/>
        <w:spacing w:before="0" w:after="480" w:line="226" w:lineRule="exact"/>
        <w:ind w:right="5160"/>
      </w:pPr>
      <w:r>
        <w:t xml:space="preserve">DC-WKiC.055.113.2023.AS </w:t>
      </w:r>
      <w:r>
        <w:rPr>
          <w:rStyle w:val="Teksttreci210pt"/>
        </w:rPr>
        <w:t>2493520</w:t>
      </w:r>
      <w:r>
        <w:rPr>
          <w:rStyle w:val="Teksttreci275pt"/>
        </w:rPr>
        <w:t>.</w:t>
      </w:r>
      <w:r>
        <w:rPr>
          <w:rStyle w:val="Teksttreci210pt"/>
        </w:rPr>
        <w:t xml:space="preserve">9534142.7657021 </w:t>
      </w:r>
      <w:r>
        <w:t>Warszawa, 21-02-2023</w:t>
      </w:r>
    </w:p>
    <w:p w14:paraId="115FFFE5" w14:textId="77777777" w:rsidR="001B3A8C" w:rsidRDefault="00000000">
      <w:pPr>
        <w:pStyle w:val="Teksttreci20"/>
        <w:shd w:val="clear" w:color="auto" w:fill="auto"/>
        <w:spacing w:before="0" w:after="213"/>
      </w:pPr>
      <w:r>
        <w:t>Szanowna Pani Przewodnicząca,</w:t>
      </w:r>
    </w:p>
    <w:p w14:paraId="2AE8A306" w14:textId="77777777" w:rsidR="001B3A8C" w:rsidRDefault="00000000">
      <w:pPr>
        <w:pStyle w:val="Teksttreci20"/>
        <w:shd w:val="clear" w:color="auto" w:fill="auto"/>
        <w:spacing w:before="0" w:after="200" w:line="240" w:lineRule="exact"/>
        <w:jc w:val="both"/>
      </w:pPr>
      <w:r>
        <w:t>odnosząc się do pisma z dnia 1 lutego 2023 r. w sprawie stanowiska Zakładu Energetyki Cieplnej w Iłży, Zakładu Nieruchomościami Sp. z o.o. w Iłży, oraz Spółdzielni Mieszkaniowej w Iłży, w sprawie objęcia ochroną taryfową odbiorców gazu, będących przedsiębiorstwem energetycznym, informuję, co następuje.</w:t>
      </w:r>
    </w:p>
    <w:p w14:paraId="39C2E4D0" w14:textId="77777777" w:rsidR="001B3A8C" w:rsidRDefault="00000000">
      <w:pPr>
        <w:pStyle w:val="Teksttreci20"/>
        <w:shd w:val="clear" w:color="auto" w:fill="auto"/>
        <w:spacing w:before="0" w:after="200" w:line="240" w:lineRule="exact"/>
        <w:jc w:val="both"/>
      </w:pPr>
      <w:r>
        <w:t>Z informacji posiadanych przez Ministerstwo Klimatu i Środowiska Zakład Energetyki Cieplnej w Iłży jest samorządowym zakładem budżetowym, nieposiadającym osobowości prawnej, utworzonym dla zaspokajania potrzeb mieszkańców Iłży w zakresie zaopatrywania w energię cieplną dla potrzeb centralnego ogrzewania i ciepłej wody.</w:t>
      </w:r>
    </w:p>
    <w:p w14:paraId="04D0CBEB" w14:textId="77777777" w:rsidR="001B3A8C" w:rsidRDefault="00000000">
      <w:pPr>
        <w:pStyle w:val="Teksttreci20"/>
        <w:shd w:val="clear" w:color="auto" w:fill="auto"/>
        <w:spacing w:before="0" w:after="200" w:line="240" w:lineRule="exact"/>
        <w:jc w:val="both"/>
      </w:pPr>
      <w:r>
        <w:t>Zakład ten nie został uznany przez sprzedawcę gazu za podmiot mieszczący się w katalogu podmiotów uprawnionych do skorzystania ze wsparcia taryfowego, o którym mowa w art. 62b ust. 2 ustawy z dnia 10 kwietnia 1997 r. - Prawo energetyczne (Dz. U. z 2022 r. poz. 1385 ze zm.; dalej: „Prawo Energetyczne"). Jednocześnie z informacji przekazywanych do resortu wynika, że podmiot ten mógł zostać beneficjentem mechanizmu średniej ceny wytwarzania ciepła z rekompensatą, o którym mowa w ustawie z dnia 15 września 2022 r. o szczególnych rozwiązaniach w zakresie niektórych źródeł ciepła w związku z sytuacja na rynku paliw (Dz. U. z 2022 r. poz. 1967 ze zm.; dalej: : „specustawa ciepłownicza").</w:t>
      </w:r>
    </w:p>
    <w:p w14:paraId="592BAD5E" w14:textId="77777777" w:rsidR="001B3A8C" w:rsidRDefault="00000000">
      <w:pPr>
        <w:pStyle w:val="Teksttreci20"/>
        <w:shd w:val="clear" w:color="auto" w:fill="auto"/>
        <w:spacing w:before="0" w:after="200" w:line="240" w:lineRule="exact"/>
        <w:jc w:val="both"/>
      </w:pPr>
      <w:r>
        <w:t>W tym kontekście istotne jest brzmienie art. 3 ust. 1 i 2 specustawy ciepłowniczej, gdzie wskazano dwa rodzaje podmiotów, które zobowiązane są do stosowania mechanizmu wsparcia odbiorców ciepła, przy czym wspólnym ich mianownikiem jest posiadanie statusu przedsiębiorstwa energetycznego, który definiowany jest jako podmiot prowadzący działalność gospodarczą w zakresie wytwarzania ciepła.</w:t>
      </w:r>
    </w:p>
    <w:p w14:paraId="7BA6D56C" w14:textId="77777777" w:rsidR="001B3A8C" w:rsidRDefault="00000000">
      <w:pPr>
        <w:pStyle w:val="Teksttreci20"/>
        <w:shd w:val="clear" w:color="auto" w:fill="auto"/>
        <w:spacing w:before="0" w:after="200" w:line="240" w:lineRule="exact"/>
        <w:jc w:val="both"/>
      </w:pPr>
      <w:r>
        <w:t>Powyższe prowadzi do wniosku, iż Zakład Energetyki Cieplnej w Iłży jest przedsiębiorstwem energetycznym, w rozumieniu ustawy - Prawo energetyczne.</w:t>
      </w:r>
    </w:p>
    <w:p w14:paraId="4A568E1D" w14:textId="77777777" w:rsidR="001B3A8C" w:rsidRDefault="00000000">
      <w:pPr>
        <w:pStyle w:val="Teksttreci20"/>
        <w:shd w:val="clear" w:color="auto" w:fill="auto"/>
        <w:spacing w:before="0" w:after="200" w:line="240" w:lineRule="exact"/>
        <w:jc w:val="both"/>
      </w:pPr>
      <w:r>
        <w:t>Informuję, że w związku z drastycznym wzrostem cen nośników energii, zwłaszcza paliw gazowych, w Ministerstwie Klimatu i Środowiska przygotowany został mechanizm wsparcia, który ma za zadanie wspierać finansowo uprawnionych odbiorców ciepła systemowego.</w:t>
      </w:r>
    </w:p>
    <w:p w14:paraId="7596CE5E" w14:textId="77777777" w:rsidR="001B3A8C" w:rsidRDefault="00000000">
      <w:pPr>
        <w:pStyle w:val="Teksttreci20"/>
        <w:shd w:val="clear" w:color="auto" w:fill="auto"/>
        <w:spacing w:before="0" w:after="200" w:line="240" w:lineRule="exact"/>
        <w:jc w:val="both"/>
      </w:pPr>
      <w:r>
        <w:t>Specustawa ciepłownicza wprowadziła obowiązek, zgodnie z którym w okresie od dnia 1 października 2022 r. przedsiębiorstwo energetyczne wytwarzające ciepło, wprowadzało do stosowania średnie ceny wytwarzania ciepła z rekompensatą.</w:t>
      </w:r>
    </w:p>
    <w:p w14:paraId="3577D234" w14:textId="77777777" w:rsidR="001B3A8C" w:rsidRDefault="00000000">
      <w:pPr>
        <w:pStyle w:val="Teksttreci20"/>
        <w:shd w:val="clear" w:color="auto" w:fill="auto"/>
        <w:spacing w:before="0" w:after="378" w:line="240" w:lineRule="exact"/>
        <w:jc w:val="both"/>
      </w:pPr>
      <w:r>
        <w:t xml:space="preserve">Biorąc pod uwagę informacje zamieszczone na portalu </w:t>
      </w:r>
      <w:r>
        <w:rPr>
          <w:lang w:val="en-US" w:eastAsia="en-US" w:bidi="en-US"/>
        </w:rPr>
        <w:t xml:space="preserve">cieplo.gov.pl, </w:t>
      </w:r>
      <w:r>
        <w:t>można wnioskować, że odbiorcy ciepła produkowanego przez Zakład Energetyki Cieplnej Iłża korzystali</w:t>
      </w:r>
    </w:p>
    <w:p w14:paraId="50C7D7A7" w14:textId="77777777" w:rsidR="001B3A8C" w:rsidRDefault="00000000">
      <w:pPr>
        <w:pStyle w:val="Teksttreci30"/>
        <w:shd w:val="clear" w:color="auto" w:fill="auto"/>
        <w:tabs>
          <w:tab w:val="left" w:pos="5107"/>
        </w:tabs>
        <w:spacing w:before="0"/>
      </w:pPr>
      <w:r>
        <w:t>Telefon: (+48) 223-691-088</w:t>
      </w:r>
      <w:r>
        <w:tab/>
        <w:t>ul. Wawelska 52/54, 00-922 Warszawa</w:t>
      </w:r>
    </w:p>
    <w:p w14:paraId="1DA8F571" w14:textId="77777777" w:rsidR="001B3A8C" w:rsidRDefault="00000000">
      <w:pPr>
        <w:pStyle w:val="Teksttreci30"/>
        <w:shd w:val="clear" w:color="auto" w:fill="auto"/>
        <w:tabs>
          <w:tab w:val="left" w:pos="5390"/>
        </w:tabs>
        <w:spacing w:before="0"/>
      </w:pPr>
      <w:hyperlink r:id="rId7" w:history="1">
        <w:r>
          <w:rPr>
            <w:lang w:val="en-US" w:eastAsia="en-US" w:bidi="en-US"/>
          </w:rPr>
          <w:t>departament.cieplownictwa@klimat.gov.pl</w:t>
        </w:r>
      </w:hyperlink>
      <w:r>
        <w:rPr>
          <w:lang w:val="en-US" w:eastAsia="en-US" w:bidi="en-US"/>
        </w:rPr>
        <w:tab/>
      </w:r>
      <w:r>
        <w:t>Ministerstwo Klimatu i Środowiska</w:t>
      </w:r>
    </w:p>
    <w:p w14:paraId="75DCA65F" w14:textId="1FB967E4" w:rsidR="001B3A8C" w:rsidRDefault="006B2253">
      <w:pPr>
        <w:pStyle w:val="Teksttreci30"/>
        <w:shd w:val="clear" w:color="auto" w:fill="auto"/>
        <w:spacing w:before="0"/>
      </w:pPr>
      <w:r>
        <w:rPr>
          <w:noProof/>
        </w:rPr>
        <mc:AlternateContent>
          <mc:Choice Requires="wps">
            <w:drawing>
              <wp:anchor distT="0" distB="245745" distL="1151890" distR="1146175" simplePos="0" relativeHeight="377487105" behindDoc="1" locked="0" layoutInCell="1" allowOverlap="1" wp14:anchorId="650A9CEB" wp14:editId="19C7C410">
                <wp:simplePos x="0" y="0"/>
                <wp:positionH relativeFrom="margin">
                  <wp:posOffset>1151890</wp:posOffset>
                </wp:positionH>
                <wp:positionV relativeFrom="paragraph">
                  <wp:posOffset>71120</wp:posOffset>
                </wp:positionV>
                <wp:extent cx="2780030" cy="116840"/>
                <wp:effectExtent l="1905"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9D87D" w14:textId="77777777" w:rsidR="001B3A8C" w:rsidRDefault="00000000">
                            <w:pPr>
                              <w:pStyle w:val="Teksttreci4"/>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0A9CEB" id="_x0000_t202" coordsize="21600,21600" o:spt="202" path="m,l,21600r21600,l21600,xe">
                <v:stroke joinstyle="miter"/>
                <v:path gradientshapeok="t" o:connecttype="rect"/>
              </v:shapetype>
              <v:shape id="Text Box 3" o:spid="_x0000_s1026" type="#_x0000_t202" style="position:absolute;left:0;text-align:left;margin-left:90.7pt;margin-top:5.6pt;width:218.9pt;height:9.2pt;z-index:-125829375;visibility:visible;mso-wrap-style:square;mso-width-percent:0;mso-height-percent:0;mso-wrap-distance-left:90.7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" filled="f" stroked="f">
                <v:textbox style="mso-fit-shape-to-text:t" inset="0,0,0,0">
                  <w:txbxContent>
                    <w:p w14:paraId="42A9D87D" w14:textId="77777777" w:rsidR="001B3A8C" w:rsidRDefault="00000000">
                      <w:pPr>
                        <w:pStyle w:val="Teksttreci4"/>
                        <w:shd w:val="clear" w:color="auto" w:fill="auto"/>
                      </w:pPr>
                      <w:r>
                        <w:t>Działamy zgodnie z EMAS - zarządzając instytucją, dbamy o środowisko</w:t>
                      </w:r>
                    </w:p>
                  </w:txbxContent>
                </v:textbox>
                <w10:wrap type="topAndBottom" anchorx="margin"/>
              </v:shape>
            </w:pict>
          </mc:Fallback>
        </mc:AlternateContent>
      </w:r>
      <w:hyperlink r:id="rId8" w:history="1">
        <w:r w:rsidR="00000000">
          <w:rPr>
            <w:lang w:val="en-US" w:eastAsia="en-US" w:bidi="en-US"/>
          </w:rPr>
          <w:t>www.gov.pl/klimat</w:t>
        </w:r>
      </w:hyperlink>
      <w:r w:rsidR="00000000">
        <w:br w:type="page"/>
      </w:r>
    </w:p>
    <w:p w14:paraId="2CE77ECD" w14:textId="77777777" w:rsidR="001B3A8C" w:rsidRDefault="00000000">
      <w:pPr>
        <w:pStyle w:val="Teksttreci20"/>
        <w:shd w:val="clear" w:color="auto" w:fill="auto"/>
        <w:spacing w:before="0" w:after="200" w:line="240" w:lineRule="exact"/>
        <w:jc w:val="both"/>
      </w:pPr>
      <w:r>
        <w:lastRenderedPageBreak/>
        <w:t>z obniżonych cen wytwarzania ciepła, dzięki korzystaniu z mechanizmu średniejceny wytwarzania ciepła z rekompensatą.</w:t>
      </w:r>
    </w:p>
    <w:p w14:paraId="47F854B7" w14:textId="77777777" w:rsidR="001B3A8C" w:rsidRDefault="00000000">
      <w:pPr>
        <w:pStyle w:val="Teksttreci20"/>
        <w:shd w:val="clear" w:color="auto" w:fill="auto"/>
        <w:spacing w:before="0" w:after="200" w:line="240" w:lineRule="exact"/>
        <w:jc w:val="both"/>
      </w:pPr>
      <w:r>
        <w:t>O ile średnie ceny wytwarzania ciepła (wynikające z taryfy lub cennika) przekroczyły ustawowe limity, ustawa umożliwiła zmniejszenie obciążeń finansowych gospodarstw domowych i podmiotów wrażliwych, w tym tych narażonych na szczególnie wysokie ceny. Przedsiębiorstwo energetyczne było w takich przypadkach uprawnione do uzyskania rekompensaty, pozwalającej pokryć koszty wytworzenia ciepła i ograniczyć ryzyko utraty płynności finansowej.</w:t>
      </w:r>
    </w:p>
    <w:p w14:paraId="1CD6CCF2" w14:textId="77777777" w:rsidR="001B3A8C" w:rsidRDefault="00000000">
      <w:pPr>
        <w:pStyle w:val="Teksttreci20"/>
        <w:shd w:val="clear" w:color="auto" w:fill="auto"/>
        <w:spacing w:before="0" w:after="200" w:line="240" w:lineRule="exact"/>
        <w:jc w:val="both"/>
      </w:pPr>
      <w:r>
        <w:t>Ministerstwo Klimatu i Środowiska prowadzi monitoring sytuacji na rynku energetycznym, w tym również w sektorze ciepłownictwa systemowego, w ramach którego uzyskało informacje o przypadkach większych niż zakładano wzrostów cen dostawy ciepła, pomimo skorzystania z ww. mechanizmu.</w:t>
      </w:r>
    </w:p>
    <w:p w14:paraId="778118EE" w14:textId="77777777" w:rsidR="001B3A8C" w:rsidRDefault="00000000">
      <w:pPr>
        <w:pStyle w:val="Teksttreci20"/>
        <w:shd w:val="clear" w:color="auto" w:fill="auto"/>
        <w:spacing w:before="0" w:after="200" w:line="240" w:lineRule="exact"/>
        <w:jc w:val="both"/>
      </w:pPr>
      <w:r>
        <w:t>Ewaluacja funkcjonowania specustawy ciepłowniczejumożliwiła identyfikację obszarów wymagających dodatkowego wsparcia w ramach funkcjonującego mechanizmu. W efekcie nastąpiło rozszerzenie zakresu ochrony odbiorców ciepła oraz zwiększenie, w wielu przypadkach, intensywności udzielanej pomocy.</w:t>
      </w:r>
    </w:p>
    <w:p w14:paraId="2EA66B6E" w14:textId="77777777" w:rsidR="001B3A8C" w:rsidRDefault="00000000">
      <w:pPr>
        <w:pStyle w:val="Teksttreci20"/>
        <w:shd w:val="clear" w:color="auto" w:fill="auto"/>
        <w:spacing w:before="0" w:after="200" w:line="240" w:lineRule="exact"/>
        <w:jc w:val="both"/>
      </w:pPr>
      <w:r>
        <w:t>W dniu 15 lutego br. weszła w życie ustawa z dnia 8 lutego 2023 r. o zmianie ustawy o szczególnych rozwiązaniach w zakresie niektórych źródeł ciepła w związku z sytuacją na rynku paliw oraz niektórych innych ustaw.</w:t>
      </w:r>
    </w:p>
    <w:p w14:paraId="4174364C" w14:textId="77777777" w:rsidR="001B3A8C" w:rsidRDefault="00000000">
      <w:pPr>
        <w:pStyle w:val="Teksttreci20"/>
        <w:shd w:val="clear" w:color="auto" w:fill="auto"/>
        <w:spacing w:before="0" w:after="200" w:line="240" w:lineRule="exact"/>
        <w:jc w:val="both"/>
      </w:pPr>
      <w:r>
        <w:t>Przyjęta regulacja przewiduje, że nowy mechanizm wsparcia zostanie wprowadzony w okresie od dnia 1 marca 2023 r. do dnia 31 grudnia 2023 r., co oznacza, że pierwotnie obowiązujący termin stosowania ustawy ulegnie wydłużeniu do końca bieżącego roku. Nowelizacja ustawy zakłada dodatkowe wsparcie dla gospodarstw domowych i instytucji użyteczności publicznej poprzez wdrożenie mechanizmu maksymalnej ceny dostawy ciepła, który pozwoli kompleksowo ograniczyć opłaty za dostawy ciepła na potrzeby ogrzewania i przygotowania ciepłej wody użytkowej.</w:t>
      </w:r>
    </w:p>
    <w:p w14:paraId="2253EB8F" w14:textId="77777777" w:rsidR="001B3A8C" w:rsidRDefault="00000000">
      <w:pPr>
        <w:pStyle w:val="Teksttreci20"/>
        <w:shd w:val="clear" w:color="auto" w:fill="auto"/>
        <w:spacing w:before="0" w:after="200" w:line="240" w:lineRule="exact"/>
        <w:jc w:val="both"/>
      </w:pPr>
      <w:r>
        <w:t>Mechanizm przewiduje obliczenie dla każdego systemu ciepłowniczego i każdejgrupy taryfowej, maksymalnej ceny dostawy ciepła, która nie może być wyższa niż obliczona cena dostawy ciepła na dzień 30 września 2022 r. powiększona o 40 % wzrostu.</w:t>
      </w:r>
    </w:p>
    <w:p w14:paraId="0880A0A6" w14:textId="77777777" w:rsidR="001B3A8C" w:rsidRDefault="00000000">
      <w:pPr>
        <w:pStyle w:val="Teksttreci20"/>
        <w:shd w:val="clear" w:color="auto" w:fill="auto"/>
        <w:spacing w:before="0" w:after="200" w:line="240" w:lineRule="exact"/>
        <w:jc w:val="both"/>
      </w:pPr>
      <w:r>
        <w:t>W rezultacie zaprojektowanego rozwiązania, wzrost cen ciepła dla uprawnionych odbiorców ulegnie ograniczeniu do ustalonego poziomu, który będzie zależny od historycznych cen dostawy ciepła w danym systemie ciepłowniczym funkcjonującym w konkretnym mieście.</w:t>
      </w:r>
    </w:p>
    <w:p w14:paraId="499FAFA9" w14:textId="77777777" w:rsidR="001B3A8C" w:rsidRDefault="00000000">
      <w:pPr>
        <w:pStyle w:val="Teksttreci20"/>
        <w:shd w:val="clear" w:color="auto" w:fill="auto"/>
        <w:spacing w:before="0" w:after="0" w:line="240" w:lineRule="exact"/>
        <w:jc w:val="both"/>
      </w:pPr>
      <w:r>
        <w:t>W nowym mechanizmie wprowadzono dodatkowe regulacje pozwolą skorygować rozliczenia za okres od 1 października 2022 r. pod względem nieprzekroczenia wzrostu ceny dostawy ciepła o więcej niż 40% w porównaniu z 30 września 2022 r. W przypadku spełnienia warunków dla maksymalnej ceny dostawy ciepła rachunki zostaną jednorazowo skorygowane, a środki finansowe zwrócone odbiorcom.</w:t>
      </w:r>
    </w:p>
    <w:sectPr w:rsidR="001B3A8C">
      <w:pgSz w:w="11900" w:h="16840"/>
      <w:pgMar w:top="792" w:right="1950" w:bottom="1114" w:left="195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A2EA3" w14:textId="77777777" w:rsidR="00F13808" w:rsidRDefault="00F13808">
      <w:r>
        <w:separator/>
      </w:r>
    </w:p>
  </w:endnote>
  <w:endnote w:type="continuationSeparator" w:id="0">
    <w:p w14:paraId="6888A728" w14:textId="77777777" w:rsidR="00F13808" w:rsidRDefault="00F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C0554" w14:textId="77777777" w:rsidR="00F13808" w:rsidRDefault="00F13808"/>
  </w:footnote>
  <w:footnote w:type="continuationSeparator" w:id="0">
    <w:p w14:paraId="3AF56F04" w14:textId="77777777" w:rsidR="00F13808" w:rsidRDefault="00F1380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A8C"/>
    <w:rsid w:val="001B3A8C"/>
    <w:rsid w:val="006B2253"/>
    <w:rsid w:val="00F138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C2BD"/>
  <w15:docId w15:val="{2BF35979-E348-4FD1-9C41-6C69609C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after="440" w:line="398"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440" w:after="440" w:line="256" w:lineRule="exact"/>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34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departament.cieplownictwa@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812</Words>
  <Characters>4874</Characters>
  <Application>Microsoft Office Word</Application>
  <DocSecurity>0</DocSecurity>
  <Lines>40</Lines>
  <Paragraphs>11</Paragraphs>
  <ScaleCrop>false</ScaleCrop>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2023-06-28T13:02:00Z</dcterms:created>
  <dcterms:modified xsi:type="dcterms:W3CDTF">2023-06-28T13:02:00Z</dcterms:modified>
</cp:coreProperties>
</file>