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FBAB" w14:textId="1D1A330C" w:rsidR="008B78A1" w:rsidRDefault="00BE435C">
      <w:pPr>
        <w:pStyle w:val="Nagwek10"/>
        <w:keepNext/>
        <w:keepLines/>
        <w:shd w:val="clear" w:color="auto" w:fill="auto"/>
        <w:spacing w:after="387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43242799" wp14:editId="358A7E40">
            <wp:simplePos x="0" y="0"/>
            <wp:positionH relativeFrom="margin">
              <wp:posOffset>-737870</wp:posOffset>
            </wp:positionH>
            <wp:positionV relativeFrom="paragraph">
              <wp:posOffset>-85090</wp:posOffset>
            </wp:positionV>
            <wp:extent cx="679450" cy="737870"/>
            <wp:effectExtent l="0" t="0" r="0" b="0"/>
            <wp:wrapSquare wrapText="right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4C4A9853" w14:textId="77777777" w:rsidR="008B78A1" w:rsidRDefault="00000000">
      <w:pPr>
        <w:pStyle w:val="Teksttreci20"/>
        <w:shd w:val="clear" w:color="auto" w:fill="auto"/>
        <w:spacing w:before="0"/>
      </w:pPr>
      <w:r>
        <w:t>Sekretarz Stanu</w:t>
      </w:r>
    </w:p>
    <w:p w14:paraId="64C293BF" w14:textId="77777777" w:rsidR="008B78A1" w:rsidRDefault="00000000">
      <w:pPr>
        <w:pStyle w:val="Teksttreci20"/>
        <w:shd w:val="clear" w:color="auto" w:fill="auto"/>
        <w:spacing w:before="0"/>
      </w:pPr>
      <w:r>
        <w:t>Główny Konserwator Przyrody</w:t>
      </w:r>
    </w:p>
    <w:p w14:paraId="17AB004C" w14:textId="77777777" w:rsidR="008B78A1" w:rsidRDefault="00000000">
      <w:pPr>
        <w:pStyle w:val="Teksttreci20"/>
        <w:shd w:val="clear" w:color="auto" w:fill="auto"/>
        <w:spacing w:before="0" w:after="492"/>
      </w:pPr>
      <w:r>
        <w:t>Małgorzata Golińska</w:t>
      </w:r>
    </w:p>
    <w:p w14:paraId="16372B65" w14:textId="77777777" w:rsidR="008B78A1" w:rsidRDefault="00000000">
      <w:pPr>
        <w:pStyle w:val="Teksttreci20"/>
        <w:shd w:val="clear" w:color="auto" w:fill="auto"/>
        <w:spacing w:before="0" w:after="2636" w:line="226" w:lineRule="exact"/>
        <w:ind w:right="5240"/>
      </w:pPr>
      <w:r>
        <w:t xml:space="preserve">DOP-WOS.053.3.2023.1.DT </w:t>
      </w:r>
      <w:r>
        <w:rPr>
          <w:rStyle w:val="Teksttreci295pt"/>
        </w:rPr>
        <w:t xml:space="preserve">2495462.9688828.8023329 </w:t>
      </w:r>
      <w:r>
        <w:t>Warszawa, 03-05-2023</w:t>
      </w:r>
    </w:p>
    <w:p w14:paraId="5D88759E" w14:textId="77777777" w:rsidR="008B78A1" w:rsidRDefault="00000000">
      <w:pPr>
        <w:pStyle w:val="Teksttreci20"/>
        <w:shd w:val="clear" w:color="auto" w:fill="auto"/>
        <w:spacing w:before="0" w:after="106" w:line="256" w:lineRule="exact"/>
      </w:pPr>
      <w:r>
        <w:t>Szanowny Panie,</w:t>
      </w:r>
    </w:p>
    <w:p w14:paraId="57150384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>w odpowiedzi na petycję z dnia 18 stycznia 2023 r. w sprawie wprowadzenia przepisów zawieszających możliwość powstawania nowych ferm przemysłowych do czasu przyjęcia przepisów, które precyzyjnie będą regulować udział społeczny w decydowaniu o tego typu inwestycjach, przedstawiam poniższe wyjaśnienia w zakresie pozostającym we właściwości resortu środowiska.</w:t>
      </w:r>
    </w:p>
    <w:p w14:paraId="5C34C5FA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>Na wstępie należy zaznaczyć, że wprowadzenie przepisów prewencyjnie zakazujących prowadzenia pewnego rodzaju działalności gospodarczej, mimo że sama działalność nie narusza prawa i nie jest sprzeczna z przepisami prawa powszechnie obowiązującego, stoi w opozycji do zasad, według których funkcjonuje system prawny w Polsce oraz wartości jakie chroni. Wprowadzenie tego rodzaju regulacji mogłoby się wiązać z roszczeniami odszkodowawczymi po stronie podmiotów planujących założenie nowych „ferm", które podjęłyby już zgodne z prawem działania związane z ich uruchomieniem, a których inwestycje zostałyby zablokowane w związku z wejściem w życie proponowanych przepisów.</w:t>
      </w:r>
    </w:p>
    <w:p w14:paraId="6F9BFEA7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>Co więcej, z uwagi na brak w obecnie obowiązujących przepisach, definicji legalnej pojęcia „ferma przemysłowa", należałoby przyjąć, że petycja w sprawie wprowadzenia moratorium na budowę ferm przemysłowych w Polsce w praktyce odnosi się do wszystkich utrzymujących zwierzęta gospodarskie, niezależnie od liczby utrzymywanych zwierząt lub lokalizacji i wielkości obiektów przeznaczonych do ich utrzymywania.</w:t>
      </w:r>
    </w:p>
    <w:p w14:paraId="4E855004" w14:textId="5CE0DE1B" w:rsidR="008B78A1" w:rsidRDefault="00000000" w:rsidP="00BE435C">
      <w:pPr>
        <w:pStyle w:val="Teksttreci20"/>
        <w:shd w:val="clear" w:color="auto" w:fill="auto"/>
        <w:spacing w:before="0" w:after="1080" w:line="274" w:lineRule="exact"/>
        <w:jc w:val="both"/>
      </w:pPr>
      <w:r>
        <w:t>Tymczasem w polskim porządku prawnym funkcjonują przepisy prawne, pozwalające na dokonanie swoistego podziału gospodarstw według stopnia ich wpływu na środowisko, wynikającego z liczby zwierząt i intensywności produkcji zwierzęcej. Zróżnicowanie wymagań dla gospodarstw w zależności od wielkości produkcji zwierzęcej</w:t>
      </w:r>
      <w:r w:rsidR="00BE435C">
        <w:t xml:space="preserve"> </w:t>
      </w:r>
      <w:r>
        <w:t>wynika</w:t>
      </w:r>
    </w:p>
    <w:p w14:paraId="6B5B9353" w14:textId="77777777" w:rsidR="008B78A1" w:rsidRDefault="00000000">
      <w:pPr>
        <w:pStyle w:val="Teksttreci3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332FCA3E" w14:textId="77777777" w:rsidR="008B78A1" w:rsidRDefault="00000000">
      <w:pPr>
        <w:pStyle w:val="Teksttreci30"/>
        <w:shd w:val="clear" w:color="auto" w:fill="auto"/>
        <w:tabs>
          <w:tab w:val="left" w:pos="5386"/>
        </w:tabs>
        <w:spacing w:befor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4B6E865D" w14:textId="55D41043" w:rsidR="008B78A1" w:rsidRDefault="00BE435C">
      <w:pPr>
        <w:pStyle w:val="Teksttreci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5065" distR="1146175" simplePos="0" relativeHeight="377487105" behindDoc="1" locked="0" layoutInCell="1" allowOverlap="1" wp14:anchorId="5D0FE469" wp14:editId="2FAB3319">
                <wp:simplePos x="0" y="0"/>
                <wp:positionH relativeFrom="margin">
                  <wp:posOffset>1155065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905" t="3810" r="0" b="31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9B83" w14:textId="77777777" w:rsidR="008B78A1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FE4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5pt;margin-top:5.6pt;width:218.9pt;height:9.2pt;z-index:-125829375;visibility:visible;mso-wrap-style:square;mso-width-percent:0;mso-height-percent:0;mso-wrap-distance-left:90.9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M+vSRzc&#10;AAAACQEAAA8AAAAAAAAAAAAAAAAALwQAAGRycy9kb3ducmV2LnhtbFBLBQYAAAAABAAEAPMAAAA4&#10;BQAAAAA=&#10;" filled="f" stroked="f">
                <v:textbox style="mso-fit-shape-to-text:t" inset="0,0,0,0">
                  <w:txbxContent>
                    <w:p w14:paraId="7A749B83" w14:textId="77777777" w:rsidR="008B78A1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6A256F74" w14:textId="77777777" w:rsidR="008B78A1" w:rsidRDefault="00000000">
      <w:pPr>
        <w:pStyle w:val="Teksttreci50"/>
        <w:shd w:val="clear" w:color="auto" w:fill="auto"/>
        <w:spacing w:after="124"/>
      </w:pPr>
      <w:r>
        <w:rPr>
          <w:rStyle w:val="Teksttreci5Bezkursywy"/>
        </w:rPr>
        <w:lastRenderedPageBreak/>
        <w:t xml:space="preserve">m.in. z przepisów </w:t>
      </w:r>
      <w:r>
        <w:t>ustawy - Prawo ochrony środowiska</w:t>
      </w:r>
      <w:r>
        <w:rPr>
          <w:vertAlign w:val="superscript"/>
        </w:rPr>
        <w:t>1</w:t>
      </w:r>
      <w:r>
        <w:rPr>
          <w:rStyle w:val="Teksttreci5Bezkursywy"/>
        </w:rPr>
        <w:t xml:space="preserve"> oraz </w:t>
      </w:r>
      <w:r>
        <w:t>ustawy o udostępnianiu informacji o środowisku</w:t>
      </w:r>
      <w:r>
        <w:rPr>
          <w:vertAlign w:val="superscript"/>
        </w:rPr>
        <w:t>2</w:t>
      </w:r>
      <w:r>
        <w:t>.</w:t>
      </w:r>
    </w:p>
    <w:p w14:paraId="3931B4E5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 xml:space="preserve">Gospodarstwa prowadzące chów lub hodowlę drobiu i świń podlegają przepisom, które kwalifikują je jako wielkotowarowe z uwagi na wielkość produkcji. Zgodnie z pkt 6 ust. 8 załącznika do </w:t>
      </w:r>
      <w:r>
        <w:rPr>
          <w:rStyle w:val="Teksttreci2Kursywa"/>
        </w:rPr>
        <w:t>rozporządzenia w sprawie rodzajów instalacji mogących powodować znaczne zanieczyszczenie poszczególnych elementów przyrodniczych albo środowiska jako całości</w:t>
      </w:r>
      <w:r>
        <w:rPr>
          <w:rStyle w:val="Teksttreci2Kursywa"/>
          <w:vertAlign w:val="superscript"/>
        </w:rPr>
        <w:t xml:space="preserve">3 </w:t>
      </w:r>
      <w:r>
        <w:t xml:space="preserve">instalacjami mogącymi powodować znaczne zanieczyszczenie poszczególnych elementów przyrodniczych albo środowiska jako całości są m.in. instalacje do chowu lub hodowli drobiu powyżej 40 000 stanowisk lub powyżej 2 000 stanowisk dla świń o wadze powyżej 30 kg lub 750 stanowisk dla macior. Wskazane wyżej instalacje, zgodnie z art. 202 </w:t>
      </w:r>
      <w:r>
        <w:rPr>
          <w:rStyle w:val="Teksttreci2Kursywa"/>
        </w:rPr>
        <w:t>ustawy - Prawo Ochrony Środowiska,</w:t>
      </w:r>
      <w:r>
        <w:t xml:space="preserve"> wymagają pozwolenia zintegrowanego, w którym ustala się warunki emisji na określonych zasadach, a także pozwolenia wodnoprawnego na pobór wody oraz na wprowadzanie ścieków do wód lub ziemi.</w:t>
      </w:r>
    </w:p>
    <w:p w14:paraId="42F5836B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 xml:space="preserve">Z kolei w </w:t>
      </w:r>
      <w:r>
        <w:rPr>
          <w:rStyle w:val="Teksttreci2Kursywa"/>
        </w:rPr>
        <w:t>rozporządzeniu w sprawie przedsięwzięć mogących znacząco oddziaływać na środowisko</w:t>
      </w:r>
      <w:r>
        <w:rPr>
          <w:rStyle w:val="Teksttreci2Kursywa"/>
          <w:vertAlign w:val="superscript"/>
        </w:rPr>
        <w:t>4</w:t>
      </w:r>
      <w:r>
        <w:t xml:space="preserve"> wskazane zostały przypadki, kiedy chów lub hodowla norek oraz pozostałych zwierząt są zaliczane do przedsięwzięć mogących zawsze znacząco oddziaływać na środowisko bądź potencjalnie znacząco oddziaływać na środowisko.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"/>
      </w:r>
      <w:r>
        <w:t xml:space="preserve"> Zakwalifikowanie do odpowiedniej grupy przedsięwzięć jest uzależnione od ilości dużych jednostek przeliczeniowych (dalej „DJP")</w:t>
      </w:r>
      <w:r>
        <w:rPr>
          <w:vertAlign w:val="superscript"/>
        </w:rPr>
        <w:footnoteReference w:id="6"/>
      </w:r>
      <w:r>
        <w:t>, rodzaju hodowli, występowania form ochrony przyrody oraz odległości od terenów lub gruntów mieszkaniowych, rolnych zabudowanych zajętych pod budynki mieszkalne, innych zabudowanych z wyłączeniem cmentarzy i grzebowisk dla zwierząt, zurbanizowanych niezabudowanych lub w trakcie zabudowy, rekreacyjno- wypoczynkowych z wyłączeniem kurhanów, pomników przyrody oraz terenów zieleni nieurządzonej niezaliczonej do lasów oraz gruntów zadrzewionych i zakrzewionych.</w:t>
      </w:r>
    </w:p>
    <w:p w14:paraId="5FBF6B9F" w14:textId="77777777" w:rsidR="008B78A1" w:rsidRDefault="00000000">
      <w:pPr>
        <w:pStyle w:val="Teksttreci20"/>
        <w:shd w:val="clear" w:color="auto" w:fill="auto"/>
        <w:spacing w:before="0" w:line="274" w:lineRule="exact"/>
        <w:jc w:val="both"/>
      </w:pPr>
      <w:r>
        <w:t xml:space="preserve">Art. 61 </w:t>
      </w:r>
      <w:r>
        <w:rPr>
          <w:rStyle w:val="Teksttreci2Kursywa"/>
        </w:rPr>
        <w:t>ustawy o udostępnianiu informacji o środowisku</w:t>
      </w:r>
      <w:r>
        <w:t xml:space="preserve"> wskazuje przypadki oraz warunki wykonania oceny oddziaływania przedsięwzięcia na środowisko. Taką ocenę przeprowadza się w ramach postępowania w sprawie wydania decyzji o środowiskowych uwarunkowaniach. Art. 71 ww. ustawy wskazuje z kolei przypadki, w których wymagane jest uzyskanie decyzji o środowiskowych uwarunkowaniach.</w:t>
      </w:r>
    </w:p>
    <w:p w14:paraId="4D90A51A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 xml:space="preserve">Postępowanie w sprawie oceny oddziaływania na środowisko obejmuje w szczególności weryfikację przygotowanego przez inwestora raportu o oddziaływaniu przedsięwzięcia na środowisko, ale także kwestie uzyskania wymaganych ustawą opinii, uzgodnień, jak również zapewnienie udziału społeczeństwa w prowadzonym postępowaniu. Art. 79 ust. 1 </w:t>
      </w:r>
      <w:r>
        <w:rPr>
          <w:rStyle w:val="Teksttreci2Kursywa"/>
        </w:rPr>
        <w:t>ustawy o udostępnianiu informacji o środowisku</w:t>
      </w:r>
      <w:r>
        <w:t xml:space="preserve"> wskazuje wprost, że przed wydaniem decyzji o środowiskowych uwarunkowaniach, organ właściwy do jej wydania, zapewnia możliwość udziału społeczeństwa w postępowaniu, w ramach którego przeprowadza ocenę oddziaływania przedsięwzięcia na środowisko.</w:t>
      </w:r>
    </w:p>
    <w:p w14:paraId="411AB754" w14:textId="77777777" w:rsidR="008B78A1" w:rsidRDefault="00000000">
      <w:pPr>
        <w:pStyle w:val="Teksttreci20"/>
        <w:shd w:val="clear" w:color="auto" w:fill="auto"/>
        <w:spacing w:before="0" w:line="274" w:lineRule="exact"/>
        <w:jc w:val="both"/>
      </w:pPr>
      <w:r>
        <w:t xml:space="preserve">W ramach oceny oddziaływania przedsięwzięcia na środowisko analizie i ocenie podlega bezpośredni i pośredni wpływ danego przedsięwzięcia nie tylko na środowisko, ale także na </w:t>
      </w:r>
      <w:r>
        <w:lastRenderedPageBreak/>
        <w:t>życie i zdrowie ludzi. W przypadku przedłożenia przez inwestora dokumentacji niewystarczającej do oceny takiego wpływu organ prowadzący postępowanie uprawniony jest do wezwania do złożenia uzupełnień, wyjaśnień, ale także do odmowy wydania decyzji</w:t>
      </w:r>
    </w:p>
    <w:p w14:paraId="38F7E609" w14:textId="77777777" w:rsidR="008B78A1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36"/>
        </w:tabs>
        <w:spacing w:before="0" w:line="274" w:lineRule="exact"/>
        <w:jc w:val="both"/>
      </w:pPr>
      <w:r>
        <w:t>środowiskowych uwarunkowaniach w przypadkach określonych w art. 77, art. 80</w:t>
      </w:r>
    </w:p>
    <w:p w14:paraId="1940BCEA" w14:textId="77777777" w:rsidR="008B78A1" w:rsidRDefault="00000000">
      <w:pPr>
        <w:pStyle w:val="Teksttreci50"/>
        <w:numPr>
          <w:ilvl w:val="0"/>
          <w:numId w:val="1"/>
        </w:numPr>
        <w:shd w:val="clear" w:color="auto" w:fill="auto"/>
        <w:tabs>
          <w:tab w:val="left" w:pos="236"/>
        </w:tabs>
        <w:spacing w:line="274" w:lineRule="exact"/>
      </w:pPr>
      <w:r>
        <w:rPr>
          <w:rStyle w:val="Teksttreci5Bezkursywy"/>
        </w:rPr>
        <w:t xml:space="preserve">w art. 81 </w:t>
      </w:r>
      <w:r>
        <w:t>ustawy o udostępnianiu informacji o środowisku.</w:t>
      </w:r>
    </w:p>
    <w:p w14:paraId="639C2816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>W myśl art. 80 ust. 1 właściwy organ wydaje decyzję o środowiskowych uwarunkowaniach, biorąc pod uwagę m.in. wyniki postępowania z udziałem społeczeństwa.</w:t>
      </w:r>
    </w:p>
    <w:p w14:paraId="78BAADFA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 xml:space="preserve">Udział społeczeństwa w systemie ocen oddziaływania na środowisko został uregulowany w dziale III </w:t>
      </w:r>
      <w:r>
        <w:rPr>
          <w:rStyle w:val="Teksttreci2Kursywa"/>
        </w:rPr>
        <w:t>ustawy o udostępnianiu informacji o środowisku,</w:t>
      </w:r>
      <w:r>
        <w:t xml:space="preserve"> w którym ustanowiono szereg uprawnień przysługujących nie tylko osobom fizycznym, ale także organizacjom ekologicznym. Organizacje te mogą występować w interesów tych osób, które w postępowaniu dotyczącym wydania decyzji o środowiskowych uwarunkowaniach nie są stroną, ale które z różnych względów są zainteresowane konkretnym wynikiem postępowania.</w:t>
      </w:r>
    </w:p>
    <w:p w14:paraId="2CB155CB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>Z powyższego wynika, że obowiązująca w tej chwili procedura ocenowa pozwala identyfikować ryzyka na wczesnym etapie i zapobiegać ewentualnej realizacji przedsięwzięć, których funkcjonowanie mogłoby naruszać standardy jakości powietrza i tym samym wpływać na życie i zdrowie ludzi.</w:t>
      </w:r>
    </w:p>
    <w:p w14:paraId="2A351DE5" w14:textId="77777777" w:rsidR="008B78A1" w:rsidRDefault="00000000">
      <w:pPr>
        <w:pStyle w:val="Teksttreci20"/>
        <w:shd w:val="clear" w:color="auto" w:fill="auto"/>
        <w:spacing w:before="0" w:after="120" w:line="274" w:lineRule="exact"/>
        <w:jc w:val="both"/>
      </w:pPr>
      <w:r>
        <w:t>Warto również nadmienić, że ograniczanie lokalizacji zbyt dużych ferm przemysłowych bądź też ograniczenie zbyt dużejich ilości może być dokonane już na poziomie studium uwarunkowań i kierunków zagospodarowania przestrzennego uchwalanego na poziomie gminnym. W jego ustaleniach organ można bowiem zawrzeć kierunkowe wskaźniki dotyczące produkcji rolnej na terenie gminy, w tym pewne ograniczenia dotyczące lokalizacji ferm przemysłowych. Ustalenia studium są zaś wiążące dla organów gminy przy sporządzaniu miejscowych planów zagospodarowania przestrzennego.</w:t>
      </w:r>
    </w:p>
    <w:p w14:paraId="52C8A92A" w14:textId="77777777" w:rsidR="008B78A1" w:rsidRDefault="00000000">
      <w:pPr>
        <w:pStyle w:val="Teksttreci20"/>
        <w:shd w:val="clear" w:color="auto" w:fill="auto"/>
        <w:spacing w:before="0" w:line="274" w:lineRule="exact"/>
        <w:jc w:val="both"/>
      </w:pPr>
      <w:r>
        <w:t xml:space="preserve">W kontekście udziału społecznego, również w procedurze planowania przestrzennego na poziomie gminy, lokalnej społeczności przysługuje zagwarantowane ustawowo prawo do zgłaszania uwag i wniosków do projektów planów. Prawo to jest ugruntowane w przepisach </w:t>
      </w:r>
      <w:r>
        <w:rPr>
          <w:rStyle w:val="Teksttreci2Kursywa"/>
        </w:rPr>
        <w:t>ustawy o planowaniu i zagospodarowaniu przestrzennym</w:t>
      </w:r>
      <w:r>
        <w:rPr>
          <w:rStyle w:val="Teksttreci2Kursywa"/>
          <w:vertAlign w:val="superscript"/>
        </w:rPr>
        <w:t>7</w:t>
      </w:r>
      <w:r>
        <w:rPr>
          <w:rStyle w:val="Teksttreci2Kursywa"/>
        </w:rPr>
        <w:t>,</w:t>
      </w:r>
      <w:r>
        <w:t xml:space="preserve"> jak i </w:t>
      </w:r>
      <w:r>
        <w:rPr>
          <w:rStyle w:val="Teksttreci2Kursywa"/>
        </w:rPr>
        <w:t>ustawy o udostępnianiu informacji o środowisku</w:t>
      </w:r>
      <w:r>
        <w:t xml:space="preserve">. </w:t>
      </w:r>
      <w:r>
        <w:rPr>
          <w:vertAlign w:val="superscript"/>
        </w:rPr>
        <w:footnoteReference w:id="7"/>
      </w:r>
    </w:p>
    <w:p w14:paraId="770E9B54" w14:textId="77777777" w:rsidR="008B78A1" w:rsidRDefault="00000000">
      <w:pPr>
        <w:pStyle w:val="Teksttreci20"/>
        <w:shd w:val="clear" w:color="auto" w:fill="auto"/>
        <w:spacing w:before="0" w:after="140" w:line="274" w:lineRule="exact"/>
        <w:jc w:val="both"/>
      </w:pPr>
      <w:r>
        <w:t>Jak wynika z powyższego, aktualnie obowiązujące przepisy zapewniają społeczeństwu możliwość wpływu na realizację inwestycji, które przez wzgląd na swój charakter i skalę stwarzają ryzyko ponadnormatywnego oddziaływania.</w:t>
      </w:r>
    </w:p>
    <w:p w14:paraId="0669D503" w14:textId="77777777" w:rsidR="008B78A1" w:rsidRDefault="00000000">
      <w:pPr>
        <w:pStyle w:val="Teksttreci20"/>
        <w:shd w:val="clear" w:color="auto" w:fill="auto"/>
        <w:spacing w:before="0" w:after="140" w:line="274" w:lineRule="exact"/>
        <w:jc w:val="both"/>
      </w:pPr>
      <w:r>
        <w:t>Minister Klimatu i Środowiska nie widzi obecnie uzasadnienia dla wprowadzania przepisów, wedle żądań zawartych w petycji ani konieczności nowelizacji czy rozszerzenia obowiązujących regulacji w ww. zakresie.</w:t>
      </w:r>
    </w:p>
    <w:p w14:paraId="251D925B" w14:textId="77777777" w:rsidR="008B78A1" w:rsidRDefault="00000000">
      <w:pPr>
        <w:pStyle w:val="Teksttreci20"/>
        <w:shd w:val="clear" w:color="auto" w:fill="auto"/>
        <w:spacing w:before="0" w:after="574" w:line="274" w:lineRule="exact"/>
        <w:jc w:val="both"/>
      </w:pPr>
      <w:r>
        <w:t>W zakresie wskazanejw petycji konieczności opracowania długoterminowejstrategii transformacji rolnictwa w Polsce informuję, że odniesienie się do przedmiotowego postulatu wykracza poza zakres kompetencji Ministra Klimatu i Środowiska i pozostaje we właściwości ministra właściwego do spraw rolnictwa.</w:t>
      </w:r>
    </w:p>
    <w:p w14:paraId="7A8484B9" w14:textId="77777777" w:rsidR="008B78A1" w:rsidRDefault="00000000">
      <w:pPr>
        <w:pStyle w:val="Teksttreci20"/>
        <w:shd w:val="clear" w:color="auto" w:fill="auto"/>
        <w:spacing w:before="0" w:after="153" w:line="256" w:lineRule="exact"/>
        <w:jc w:val="both"/>
      </w:pPr>
      <w:r>
        <w:t>Z wyrazami szacunku</w:t>
      </w:r>
    </w:p>
    <w:p w14:paraId="48E49AFA" w14:textId="77777777" w:rsidR="008B78A1" w:rsidRDefault="00000000">
      <w:pPr>
        <w:pStyle w:val="Teksttreci20"/>
        <w:shd w:val="clear" w:color="auto" w:fill="auto"/>
        <w:spacing w:before="0"/>
        <w:ind w:right="6120"/>
      </w:pPr>
      <w:r>
        <w:t>Małgorzata Golińska Sekretarz Stanu</w:t>
      </w:r>
    </w:p>
    <w:p w14:paraId="051A46B6" w14:textId="77777777" w:rsidR="008B78A1" w:rsidRDefault="00000000">
      <w:pPr>
        <w:pStyle w:val="Teksttreci20"/>
        <w:shd w:val="clear" w:color="auto" w:fill="auto"/>
        <w:spacing w:before="0" w:after="6503"/>
        <w:ind w:right="4920"/>
      </w:pPr>
      <w:r>
        <w:t>Ministerstwo Klimatu i Środowiska / - podpisany cyfrowo/</w:t>
      </w:r>
    </w:p>
    <w:p w14:paraId="5C175815" w14:textId="77777777" w:rsidR="008B78A1" w:rsidRDefault="00000000">
      <w:pPr>
        <w:pStyle w:val="Teksttreci60"/>
        <w:shd w:val="clear" w:color="auto" w:fill="auto"/>
        <w:spacing w:before="0"/>
      </w:pPr>
      <w:r>
        <w:rPr>
          <w:rStyle w:val="Teksttreci61"/>
        </w:rPr>
        <w:lastRenderedPageBreak/>
        <w:t>Do wiadomości:</w:t>
      </w:r>
    </w:p>
    <w:p w14:paraId="069AFEAA" w14:textId="77777777" w:rsidR="008B78A1" w:rsidRDefault="00000000">
      <w:pPr>
        <w:pStyle w:val="Teksttreci60"/>
        <w:numPr>
          <w:ilvl w:val="0"/>
          <w:numId w:val="2"/>
        </w:numPr>
        <w:shd w:val="clear" w:color="auto" w:fill="auto"/>
        <w:tabs>
          <w:tab w:val="left" w:pos="198"/>
        </w:tabs>
        <w:spacing w:before="0"/>
      </w:pPr>
      <w:r>
        <w:t>Minister Rolnictwa i Rozwoju Wsi</w:t>
      </w:r>
    </w:p>
    <w:p w14:paraId="03287BDB" w14:textId="77777777" w:rsidR="008B78A1" w:rsidRDefault="00000000">
      <w:pPr>
        <w:pStyle w:val="Teksttreci60"/>
        <w:numPr>
          <w:ilvl w:val="0"/>
          <w:numId w:val="2"/>
        </w:numPr>
        <w:shd w:val="clear" w:color="auto" w:fill="auto"/>
        <w:tabs>
          <w:tab w:val="left" w:pos="198"/>
        </w:tabs>
        <w:spacing w:before="0"/>
      </w:pPr>
      <w:r>
        <w:t>Biuro Kontroli i Audytu w Ministerstwie Klimatu i Środowiska</w:t>
      </w:r>
    </w:p>
    <w:sectPr w:rsidR="008B78A1">
      <w:footerReference w:type="default" r:id="rId10"/>
      <w:footnotePr>
        <w:numRestart w:val="eachPage"/>
      </w:footnotePr>
      <w:pgSz w:w="11900" w:h="16840"/>
      <w:pgMar w:top="941" w:right="1949" w:bottom="1037" w:left="194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BB5A" w14:textId="77777777" w:rsidR="00801081" w:rsidRDefault="00801081">
      <w:r>
        <w:separator/>
      </w:r>
    </w:p>
  </w:endnote>
  <w:endnote w:type="continuationSeparator" w:id="0">
    <w:p w14:paraId="1BA9A470" w14:textId="77777777" w:rsidR="00801081" w:rsidRDefault="0080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7455" w14:textId="507A6636" w:rsidR="008B78A1" w:rsidRDefault="00BE43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0A3D0C9" wp14:editId="7536C041">
              <wp:simplePos x="0" y="0"/>
              <wp:positionH relativeFrom="page">
                <wp:posOffset>6247130</wp:posOffset>
              </wp:positionH>
              <wp:positionV relativeFrom="page">
                <wp:posOffset>10147300</wp:posOffset>
              </wp:positionV>
              <wp:extent cx="55245" cy="13208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1869E" w14:textId="77777777" w:rsidR="008B78A1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3D0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1.9pt;margin-top:799pt;width:4.35pt;height:10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" filled="f" stroked="f">
              <v:textbox style="mso-fit-shape-to-text:t" inset="0,0,0,0">
                <w:txbxContent>
                  <w:p w14:paraId="11E1869E" w14:textId="77777777" w:rsidR="008B78A1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678A" w14:textId="77777777" w:rsidR="00801081" w:rsidRDefault="00801081">
      <w:r>
        <w:separator/>
      </w:r>
    </w:p>
  </w:footnote>
  <w:footnote w:type="continuationSeparator" w:id="0">
    <w:p w14:paraId="7F74137B" w14:textId="77777777" w:rsidR="00801081" w:rsidRDefault="00801081">
      <w:r>
        <w:continuationSeparator/>
      </w:r>
    </w:p>
  </w:footnote>
  <w:footnote w:id="1">
    <w:p w14:paraId="778D6D6F" w14:textId="77777777" w:rsidR="008B78A1" w:rsidRDefault="00000000">
      <w:pPr>
        <w:pStyle w:val="Stopka1"/>
        <w:shd w:val="clear" w:color="auto" w:fill="auto"/>
        <w:tabs>
          <w:tab w:val="left" w:pos="86"/>
        </w:tabs>
      </w:pPr>
      <w:r>
        <w:rPr>
          <w:vertAlign w:val="superscript"/>
        </w:rPr>
        <w:footnoteRef/>
      </w:r>
      <w:r>
        <w:tab/>
        <w:t>Ustawa z dnia z dnia 27 kwietnia 2001 r. Prawo ochrony środowiska (Dz.U. z 2022 r. poz. 2556, ze zm.)</w:t>
      </w:r>
    </w:p>
  </w:footnote>
  <w:footnote w:id="2">
    <w:p w14:paraId="07AC20EE" w14:textId="77777777" w:rsidR="008B78A1" w:rsidRDefault="00000000">
      <w:pPr>
        <w:pStyle w:val="Stopka1"/>
        <w:shd w:val="clear" w:color="auto" w:fill="auto"/>
        <w:tabs>
          <w:tab w:val="left" w:pos="101"/>
        </w:tabs>
        <w:spacing w:line="192" w:lineRule="exact"/>
      </w:pPr>
      <w:r>
        <w:rPr>
          <w:vertAlign w:val="superscript"/>
        </w:rPr>
        <w:footnoteRef/>
      </w:r>
      <w:r>
        <w:tab/>
        <w:t>Ustawa z dnia 3 października 2008 r. o udostępnianiu informacji o środowisku i jego ochronie, udziale społeczeństwa w ochronie środowiska oraz o ocenach oddziaływania na środowisko (Dz.U. z 2022 r. poz. 1029, ze zm.)</w:t>
      </w:r>
    </w:p>
  </w:footnote>
  <w:footnote w:id="3">
    <w:p w14:paraId="7178099F" w14:textId="77777777" w:rsidR="008B78A1" w:rsidRDefault="00000000">
      <w:pPr>
        <w:pStyle w:val="Stopka1"/>
        <w:shd w:val="clear" w:color="auto" w:fill="auto"/>
        <w:tabs>
          <w:tab w:val="left" w:pos="96"/>
        </w:tabs>
        <w:spacing w:line="192" w:lineRule="exact"/>
      </w:pPr>
      <w:r>
        <w:rPr>
          <w:vertAlign w:val="superscript"/>
        </w:rPr>
        <w:footnoteRef/>
      </w:r>
      <w:r>
        <w:tab/>
        <w:t>Rozporządzenie Ministra Środowiska z dnia 27 sierpnia 2014 r. w sprawie rodzajów instalacji mogących powodować znaczne zanieczyszczenie poszczególnych elementów przyrodniczych albo środowiska jako całości (Dz.U. z 2014 r. poz. 1169)</w:t>
      </w:r>
    </w:p>
  </w:footnote>
  <w:footnote w:id="4">
    <w:p w14:paraId="25161DB0" w14:textId="77777777" w:rsidR="008B78A1" w:rsidRDefault="00000000">
      <w:pPr>
        <w:pStyle w:val="Stopka1"/>
        <w:shd w:val="clear" w:color="auto" w:fill="auto"/>
        <w:tabs>
          <w:tab w:val="left" w:pos="101"/>
        </w:tabs>
        <w:spacing w:line="192" w:lineRule="exact"/>
      </w:pPr>
      <w:r>
        <w:rPr>
          <w:vertAlign w:val="superscript"/>
        </w:rPr>
        <w:footnoteRef/>
      </w:r>
      <w:r>
        <w:tab/>
        <w:t>Rozporządzenie Rady Ministrów w sprawie przedsięwzięć mogących znacząco oddziaływać na środowisko (Dz.U. z 2019 r. poz. 1839)</w:t>
      </w:r>
    </w:p>
  </w:footnote>
  <w:footnote w:id="5">
    <w:p w14:paraId="5C7DA567" w14:textId="77777777" w:rsidR="008B78A1" w:rsidRDefault="00000000">
      <w:pPr>
        <w:pStyle w:val="Stopka1"/>
        <w:shd w:val="clear" w:color="auto" w:fill="auto"/>
        <w:tabs>
          <w:tab w:val="left" w:pos="110"/>
        </w:tabs>
        <w:spacing w:line="192" w:lineRule="exact"/>
      </w:pPr>
      <w:r>
        <w:rPr>
          <w:vertAlign w:val="superscript"/>
        </w:rPr>
        <w:footnoteRef/>
      </w:r>
      <w:r>
        <w:tab/>
        <w:t xml:space="preserve">Zgodnie z §2 ust. 1 pkt 51 </w:t>
      </w:r>
      <w:r>
        <w:rPr>
          <w:rStyle w:val="StopkaKursywa"/>
        </w:rPr>
        <w:t xml:space="preserve">rozporządzenia w sprawie przedsięwzięć mogących znacząco oddziaływać na środowisko </w:t>
      </w:r>
      <w:r>
        <w:t>do przedsięwzięć mogących zawsze znacząco oddziaływać na środowisko kwalifikuje się chów lub hodowla norek w liczbie nie mniejszej niż 105 DJP oraz pozostałych zwierząt w liczbie nie niższej niż 210 DJP danego gatunku.</w:t>
      </w:r>
    </w:p>
  </w:footnote>
  <w:footnote w:id="6">
    <w:p w14:paraId="5B3F50A9" w14:textId="77777777" w:rsidR="008B78A1" w:rsidRDefault="00000000">
      <w:pPr>
        <w:pStyle w:val="Stopka1"/>
        <w:shd w:val="clear" w:color="auto" w:fill="auto"/>
        <w:tabs>
          <w:tab w:val="left" w:pos="139"/>
        </w:tabs>
        <w:spacing w:line="192" w:lineRule="exact"/>
      </w:pPr>
      <w:r>
        <w:rPr>
          <w:vertAlign w:val="superscript"/>
        </w:rPr>
        <w:footnoteRef/>
      </w:r>
      <w:r>
        <w:tab/>
        <w:t>Współczynniki przeliczeniowe zwierząt na DJP zostały określone w załączniku do rozporządzenia Rady Ministrów. Na podstawie tych współczynników oraz liczby zwierząt utrzymywanych w danym gospodarstwie, można zidentyfikować gospodarstwa, dla których, ze względu na wielkość i intensywność produkcji, należy przeprowadzić ocenę wpływu na środowisko.</w:t>
      </w:r>
    </w:p>
  </w:footnote>
  <w:footnote w:id="7">
    <w:p w14:paraId="270640FB" w14:textId="77777777" w:rsidR="008B78A1" w:rsidRDefault="00000000">
      <w:pPr>
        <w:pStyle w:val="Stopka1"/>
        <w:shd w:val="clear" w:color="auto" w:fill="auto"/>
        <w:tabs>
          <w:tab w:val="left" w:pos="91"/>
        </w:tabs>
        <w:spacing w:line="192" w:lineRule="exact"/>
      </w:pPr>
      <w:r>
        <w:rPr>
          <w:vertAlign w:val="superscript"/>
        </w:rPr>
        <w:footnoteRef/>
      </w:r>
      <w:r>
        <w:tab/>
        <w:t>Ustawa z dnia 27 marca 2003 r. o planowaniu i zagospodarowaniu przestrzennym (Dz.U. z 2022 r. poz. 503,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D3588"/>
    <w:multiLevelType w:val="multilevel"/>
    <w:tmpl w:val="DF1A8CD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2F67B2"/>
    <w:multiLevelType w:val="multilevel"/>
    <w:tmpl w:val="D8DE6022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0310470">
    <w:abstractNumId w:val="1"/>
  </w:num>
  <w:num w:numId="2" w16cid:durableId="128858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A1"/>
    <w:rsid w:val="00801081"/>
    <w:rsid w:val="008B78A1"/>
    <w:rsid w:val="00B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4508E"/>
  <w15:docId w15:val="{D7FF0EA7-53F3-4EFE-837B-5089518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Kursywa">
    <w:name w:val="Stopka + Kursywa"/>
    <w:basedOn w:val="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5pt">
    <w:name w:val="Tekst treści (2) + 9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Bezkursywy">
    <w:name w:val="Tekst treści (5) + Bez kursywy"/>
    <w:basedOn w:val="Teksttreci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08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6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240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380"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120" w:line="278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580" w:line="336" w:lineRule="exac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2023-05-04T11:51:00Z</dcterms:created>
  <dcterms:modified xsi:type="dcterms:W3CDTF">2023-05-04T11:52:00Z</dcterms:modified>
</cp:coreProperties>
</file>