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3F1B" w14:textId="75C56442" w:rsidR="008553EC" w:rsidRDefault="008432EC">
      <w:pPr>
        <w:pStyle w:val="Nagwek10"/>
        <w:keepNext/>
        <w:keepLines/>
        <w:shd w:val="clear" w:color="auto" w:fill="auto"/>
        <w:spacing w:after="534"/>
        <w:ind w:right="472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17868719" wp14:editId="3E664DD9">
            <wp:simplePos x="0" y="0"/>
            <wp:positionH relativeFrom="margin">
              <wp:posOffset>-725170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018AD371" w14:textId="77777777" w:rsidR="008553EC" w:rsidRDefault="00000000">
      <w:pPr>
        <w:pStyle w:val="Teksttreci20"/>
        <w:shd w:val="clear" w:color="auto" w:fill="auto"/>
        <w:spacing w:before="0" w:after="228"/>
      </w:pPr>
      <w:r>
        <w:t>Departament Elektroenergetyki i Gazu</w:t>
      </w:r>
    </w:p>
    <w:p w14:paraId="45DE475B" w14:textId="77777777" w:rsidR="008553EC" w:rsidRDefault="00000000">
      <w:pPr>
        <w:pStyle w:val="Teksttreci20"/>
        <w:shd w:val="clear" w:color="auto" w:fill="auto"/>
        <w:spacing w:before="0" w:after="0" w:line="221" w:lineRule="exact"/>
        <w:ind w:right="4600"/>
        <w:jc w:val="left"/>
      </w:pPr>
      <w:r>
        <w:t xml:space="preserve">DELG-WRD.053.1.2023 </w:t>
      </w:r>
      <w:r>
        <w:rPr>
          <w:rStyle w:val="Teksttreci210pt"/>
        </w:rPr>
        <w:t>IK: 2382675</w:t>
      </w:r>
    </w:p>
    <w:p w14:paraId="7B643577" w14:textId="77777777" w:rsidR="008553EC" w:rsidRDefault="00000000" w:rsidP="008432EC">
      <w:pPr>
        <w:pStyle w:val="Teksttreci30"/>
        <w:shd w:val="clear" w:color="auto" w:fill="auto"/>
        <w:spacing w:after="960"/>
        <w:ind w:right="4600"/>
      </w:pPr>
      <w:r>
        <w:t xml:space="preserve">2382675.9152948.7650051 </w:t>
      </w:r>
      <w:r>
        <w:rPr>
          <w:rStyle w:val="Teksttreci3105pt"/>
        </w:rPr>
        <w:t>Warszawa, 20-02-2023</w:t>
      </w:r>
    </w:p>
    <w:p w14:paraId="4E63FF81" w14:textId="77777777" w:rsidR="008553EC" w:rsidRDefault="00000000">
      <w:pPr>
        <w:pStyle w:val="Teksttreci20"/>
        <w:shd w:val="clear" w:color="auto" w:fill="auto"/>
        <w:spacing w:before="0" w:after="213"/>
      </w:pPr>
      <w:r>
        <w:t>Szanowny Panie,</w:t>
      </w:r>
    </w:p>
    <w:p w14:paraId="6D4DD9A4" w14:textId="0CE334C3" w:rsidR="008553EC" w:rsidRDefault="00000000">
      <w:pPr>
        <w:pStyle w:val="Teksttreci20"/>
        <w:shd w:val="clear" w:color="auto" w:fill="auto"/>
        <w:spacing w:before="0" w:line="240" w:lineRule="exact"/>
      </w:pPr>
      <w:r>
        <w:t xml:space="preserve">w odpowiedzi na petycję z dnia 30 listopada 2022 r. skierowaną do Ministra Klimatu i Środowiska w sprawie poszerzenia katalogu osób uprawnionych w związku z ustawą z dnia 7 października 2022 r. </w:t>
      </w:r>
      <w:r>
        <w:rPr>
          <w:rStyle w:val="Teksttreci2Kursywa"/>
        </w:rPr>
        <w:t>o szczególnych rozwiązaniach o szczególnych rozwiązaniach służących ochronie odbiorców energii elektrycznej w 2023 roku w związku z sytuacją na rynku energii elektrycznej</w:t>
      </w:r>
      <w:r>
        <w:t xml:space="preserve"> (Dz. U. z 2022 r., poz. 2127, z późn. zm.) oraz ustawą z dnia 27 października 2022 r. </w:t>
      </w:r>
      <w:r>
        <w:rPr>
          <w:rStyle w:val="Teksttreci2Kursywa"/>
        </w:rPr>
        <w:t>o środkach nadzwyczajnych o środkach nadzwyczajnych mających na celu ograniczenie wysokości cen energii elektrycznej oraz wsparciu niektórych odbiorców w2023 roku</w:t>
      </w:r>
      <w:r>
        <w:t xml:space="preserve"> (Dz. U. z 2022 r., poz. 2243, z późn. zm.) informuję, że postulat dotyczący rozszerzenia kręgu podmiotów uprawnionych do korzystania z ceny maksymalnej</w:t>
      </w:r>
      <w:r w:rsidR="008432EC">
        <w:t xml:space="preserve"> </w:t>
      </w:r>
      <w:r>
        <w:t>energii elektrycznej</w:t>
      </w:r>
      <w:r w:rsidR="008432EC">
        <w:t xml:space="preserve"> </w:t>
      </w:r>
      <w:r>
        <w:t>określonej</w:t>
      </w:r>
      <w:r w:rsidR="008432EC">
        <w:t xml:space="preserve"> </w:t>
      </w:r>
      <w:r>
        <w:t>w wymienionych ustawach został uwzględniony. Zgodnie z obowiązującym brzmieniem ustawy z dnia 7 października 2022 r. oraz ustawy z dnia 27 października 2022 r. z ceny maksymalnej mogą korzystać również osoby fizyczne budujące domy jednorodzinne.</w:t>
      </w:r>
    </w:p>
    <w:p w14:paraId="5EA36A5A" w14:textId="77777777" w:rsidR="008553EC" w:rsidRDefault="00000000">
      <w:pPr>
        <w:pStyle w:val="Teksttreci20"/>
        <w:shd w:val="clear" w:color="auto" w:fill="auto"/>
        <w:spacing w:before="0" w:line="240" w:lineRule="exact"/>
      </w:pPr>
      <w:r>
        <w:t>Odbiorca uprawniony, w celu umożliwienia stosowania wobec niego limitu zużycia energii elektrycznej w wysokości 2 MWh podczas budowy budynku mieszkalnego jednorodzinnego, który ma służyć zaspokojeniu potrzeb mieszkaniowych inwestora lub jego osoby najbliższej, składa oświadczenie o spełnianiu warunków pozwalających na uznanie go za odbiorcę uprawnionego do sprzedawcy energii elektrycznej, z którym ma podpisaną umowę.</w:t>
      </w:r>
    </w:p>
    <w:p w14:paraId="3E33EF9D" w14:textId="77777777" w:rsidR="008553EC" w:rsidRDefault="00000000">
      <w:pPr>
        <w:pStyle w:val="Teksttreci20"/>
        <w:shd w:val="clear" w:color="auto" w:fill="auto"/>
        <w:spacing w:before="0" w:line="240" w:lineRule="exact"/>
      </w:pPr>
      <w:r>
        <w:t>W odniesieniu do postulatów dotyczących zmiany kwalifikacji odbiorców należy wskazać, że na etapie realizacji inwestycji, tj. budowy domu, nie korzysta się z energii elektrycznej na potrzeby prowadzenia gospodarstwa domowego, często inwestycje na terenie budowy rozciągają się w czasie, stąd też zrównanie tych dwóch kategorii odbiorców (taryfa budowlana i gospodarstwo domowe) wydaje się nieuzasadnione.</w:t>
      </w:r>
    </w:p>
    <w:p w14:paraId="697C299B" w14:textId="58299BDC" w:rsidR="008553EC" w:rsidRDefault="00000000">
      <w:pPr>
        <w:pStyle w:val="Teksttreci20"/>
        <w:shd w:val="clear" w:color="auto" w:fill="auto"/>
        <w:spacing w:before="0" w:after="2398" w:line="240" w:lineRule="exact"/>
      </w:pPr>
      <w:r>
        <w:t>Plac budowy jest zaopatrywany w energię elektryczną w ramach przyłącza tymczasowego i dedykowanej</w:t>
      </w:r>
      <w:r w:rsidR="008432EC">
        <w:t xml:space="preserve"> </w:t>
      </w:r>
      <w:r>
        <w:t>na ten cel taryfy C, dopiero po zakończeniu budowy i odbioru budynku odbiorca zgłasza się do operatora systemu dystrybucyjnego o zmianę grupy taryfowej z tzw. C na grupę G, której</w:t>
      </w:r>
      <w:r w:rsidR="008432EC">
        <w:t xml:space="preserve"> </w:t>
      </w:r>
      <w:r>
        <w:t>dedykowane jest zużycie energii na potrzeby prowadzenia gospodarstwa domowego.</w:t>
      </w:r>
    </w:p>
    <w:p w14:paraId="5B551BC3" w14:textId="77777777" w:rsidR="008553EC" w:rsidRDefault="00000000">
      <w:pPr>
        <w:pStyle w:val="Teksttreci40"/>
        <w:shd w:val="clear" w:color="auto" w:fill="auto"/>
        <w:tabs>
          <w:tab w:val="left" w:pos="5107"/>
        </w:tabs>
        <w:spacing w:before="0"/>
      </w:pPr>
      <w:r>
        <w:t>Telefon: (+48) 223-691-055</w:t>
      </w:r>
      <w:r>
        <w:tab/>
        <w:t>ul. Wawelska 52/54, 00-922 Warszawa</w:t>
      </w:r>
    </w:p>
    <w:p w14:paraId="6B16FCBA" w14:textId="77777777" w:rsidR="008553EC" w:rsidRDefault="00000000">
      <w:pPr>
        <w:pStyle w:val="Teksttreci4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departament.elektroenergetyki.i.gazu@klimat.gov.pl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BEA5332" w14:textId="426D14F9" w:rsidR="008553EC" w:rsidRDefault="008432EC">
      <w:pPr>
        <w:pStyle w:val="Teksttreci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1EF98D25" wp14:editId="16E74C76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6D8C5" w14:textId="77777777" w:rsidR="008553EC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98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02C6D8C5" w14:textId="77777777" w:rsidR="008553EC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</w:p>
    <w:sectPr w:rsidR="008553EC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19DF" w14:textId="77777777" w:rsidR="000C728F" w:rsidRDefault="000C728F">
      <w:r>
        <w:separator/>
      </w:r>
    </w:p>
  </w:endnote>
  <w:endnote w:type="continuationSeparator" w:id="0">
    <w:p w14:paraId="2E9F0EE9" w14:textId="77777777" w:rsidR="000C728F" w:rsidRDefault="000C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7369" w14:textId="77777777" w:rsidR="000C728F" w:rsidRDefault="000C728F"/>
  </w:footnote>
  <w:footnote w:type="continuationSeparator" w:id="0">
    <w:p w14:paraId="4B4F8D1E" w14:textId="77777777" w:rsidR="000C728F" w:rsidRDefault="000C72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EC"/>
    <w:rsid w:val="000C728F"/>
    <w:rsid w:val="008432EC"/>
    <w:rsid w:val="0085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342C"/>
  <w15:docId w15:val="{C95EE707-0AB0-4BB4-957F-89A7D75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05pt">
    <w:name w:val="Tekst treści (3) + 10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2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700" w:line="221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36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elektroenergetyki.i.gazu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2023-04-05T11:59:00Z</dcterms:created>
  <dcterms:modified xsi:type="dcterms:W3CDTF">2023-04-05T11:59:00Z</dcterms:modified>
</cp:coreProperties>
</file>