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0978" w14:textId="77777777" w:rsidR="00794F56" w:rsidRDefault="00000000" w:rsidP="009B0135">
      <w:pPr>
        <w:pStyle w:val="Teksttreci20"/>
        <w:shd w:val="clear" w:color="auto" w:fill="auto"/>
        <w:spacing w:after="644"/>
        <w:ind w:left="708" w:firstLine="708"/>
      </w:pPr>
      <w:r>
        <w:pict w14:anchorId="0C06F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pt;margin-top:-19.2pt;width:40.1pt;height:40.1pt;z-index:-251658752;mso-wrap-distance-left:5pt;mso-wrap-distance-right:199.4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>
        <w:t>Warszawa, dnia 25-10-2022 r.</w:t>
      </w:r>
    </w:p>
    <w:p w14:paraId="4BA22F90" w14:textId="77777777" w:rsidR="00794F56" w:rsidRDefault="00000000" w:rsidP="009B0135">
      <w:pPr>
        <w:pStyle w:val="Teksttreci30"/>
        <w:shd w:val="clear" w:color="auto" w:fill="auto"/>
        <w:spacing w:before="0" w:after="139"/>
        <w:ind w:left="60"/>
        <w:jc w:val="left"/>
      </w:pPr>
      <w:r>
        <w:t>Ministerstwo</w:t>
      </w:r>
      <w:r>
        <w:br/>
        <w:t>Klimatu i Środowiska</w:t>
      </w:r>
      <w:r>
        <w:br/>
        <w:t>Podsekretarz Stanu</w:t>
      </w:r>
      <w:r>
        <w:br/>
        <w:t>Główny Geolog Kraju</w:t>
      </w:r>
      <w:r>
        <w:br/>
        <w:t>Pełnomocnik Rządu</w:t>
      </w:r>
      <w:r>
        <w:br/>
        <w:t>ds. Polityki Surowcowej Państwa</w:t>
      </w:r>
    </w:p>
    <w:p w14:paraId="28078187" w14:textId="77777777" w:rsidR="00794F56" w:rsidRDefault="00000000" w:rsidP="009B0135">
      <w:pPr>
        <w:pStyle w:val="Nagwek10"/>
        <w:keepNext/>
        <w:keepLines/>
        <w:shd w:val="clear" w:color="auto" w:fill="auto"/>
        <w:spacing w:before="0" w:after="278"/>
        <w:ind w:left="60"/>
        <w:jc w:val="left"/>
      </w:pPr>
      <w:bookmarkStart w:id="0" w:name="bookmark0"/>
      <w:r>
        <w:t>Piotr Dziadzio</w:t>
      </w:r>
      <w:bookmarkEnd w:id="0"/>
    </w:p>
    <w:p w14:paraId="4300E631" w14:textId="77777777" w:rsidR="00794F56" w:rsidRDefault="00000000">
      <w:pPr>
        <w:pStyle w:val="Teksttreci20"/>
        <w:shd w:val="clear" w:color="auto" w:fill="auto"/>
        <w:spacing w:after="0"/>
      </w:pPr>
      <w:r>
        <w:t>DGK-WP.053.1.2022.KM</w:t>
      </w:r>
    </w:p>
    <w:p w14:paraId="148BD0F4" w14:textId="77777777" w:rsidR="00794F56" w:rsidRDefault="00000000">
      <w:pPr>
        <w:pStyle w:val="Teksttreci40"/>
        <w:shd w:val="clear" w:color="auto" w:fill="auto"/>
        <w:spacing w:after="227"/>
      </w:pPr>
      <w:r>
        <w:t>2210768</w:t>
      </w:r>
      <w:r>
        <w:rPr>
          <w:rStyle w:val="Teksttreci45pt"/>
        </w:rPr>
        <w:t>.</w:t>
      </w:r>
      <w:r>
        <w:t>8615967.6955570</w:t>
      </w:r>
    </w:p>
    <w:p w14:paraId="52DBCA60" w14:textId="77777777" w:rsidR="00794F56" w:rsidRDefault="00000000">
      <w:pPr>
        <w:pStyle w:val="Teksttreci50"/>
        <w:shd w:val="clear" w:color="auto" w:fill="auto"/>
        <w:spacing w:before="0" w:after="687"/>
        <w:ind w:left="5040" w:right="1800"/>
      </w:pPr>
      <w:r>
        <w:t>Stowarzyszenie Gmin Uzdrowiskowych RP ul. Czarny Potok 27/24 33-380 Krynica Zdrój</w:t>
      </w:r>
    </w:p>
    <w:p w14:paraId="54EFA562" w14:textId="77777777" w:rsidR="00794F56" w:rsidRDefault="00000000">
      <w:pPr>
        <w:pStyle w:val="Teksttreci60"/>
        <w:shd w:val="clear" w:color="auto" w:fill="auto"/>
        <w:spacing w:before="0" w:after="276"/>
      </w:pPr>
      <w:r>
        <w:t>Szanowni Państwo,</w:t>
      </w:r>
    </w:p>
    <w:p w14:paraId="08A878A5" w14:textId="77777777" w:rsidR="00794F56" w:rsidRDefault="00000000">
      <w:pPr>
        <w:pStyle w:val="Teksttreci20"/>
        <w:shd w:val="clear" w:color="auto" w:fill="auto"/>
        <w:spacing w:after="0" w:line="312" w:lineRule="exact"/>
        <w:ind w:firstLine="780"/>
        <w:jc w:val="both"/>
      </w:pPr>
      <w:r>
        <w:t xml:space="preserve">w odpowiedzi na petycję z dnia 25 lipca 2022 r., znak: SGURP.154.07.2022, w przedmiocie podwyższenia stawek opłaty eksploatacyjnej dla wód leczniczych oraz objęcia opłatą eksploatacyjną zwykłych wód głębinowych wykorzystywanych w procesie butelkowania wód mineralnych, wyrażam przede wszystkim wdzięczność za zasygnalizowanie potrzeby przeprowadzenia zmian w powyższym zakresie w ustawie z dnia 9 czerwca 2011 r. - Prawo geologiczne i górnicze (Dz. U. z 2022 r. poz. 1072 z </w:t>
      </w:r>
      <w:proofErr w:type="spellStart"/>
      <w:r>
        <w:t>późn</w:t>
      </w:r>
      <w:proofErr w:type="spellEnd"/>
      <w:r>
        <w:t>. zm.), zwanej dalej również „</w:t>
      </w:r>
      <w:proofErr w:type="spellStart"/>
      <w:r>
        <w:t>p.g.g</w:t>
      </w:r>
      <w:proofErr w:type="spellEnd"/>
      <w:r>
        <w:t xml:space="preserve">.”. Stanowisko uwzględnione w petycji należy uznać za cenny głos w toczącej się ogólnej dyskusji nad funkcjonowaniem przepisów ustawy </w:t>
      </w:r>
      <w:proofErr w:type="spellStart"/>
      <w:r>
        <w:t>p.g.g</w:t>
      </w:r>
      <w:proofErr w:type="spellEnd"/>
      <w:r>
        <w:t>., a zaproponowany kierunek zmian zostanie poddany wnikliwej analizie i nie jest wykluczone, że niebawem stanie się on zarzewiem ewentualnych inicjatyw legislacyjnych.</w:t>
      </w:r>
    </w:p>
    <w:p w14:paraId="422915D4" w14:textId="77777777" w:rsidR="00794F56" w:rsidRDefault="00000000">
      <w:pPr>
        <w:pStyle w:val="Teksttreci20"/>
        <w:shd w:val="clear" w:color="auto" w:fill="auto"/>
        <w:spacing w:after="0" w:line="312" w:lineRule="exact"/>
        <w:ind w:firstLine="780"/>
        <w:jc w:val="both"/>
      </w:pPr>
      <w:r>
        <w:t xml:space="preserve">Niemniej jednak należy najpierw zauważyć, że obecne ramy prawne działania systemu opłat eksploatacyjnych zostały określone w ustawie </w:t>
      </w:r>
      <w:proofErr w:type="spellStart"/>
      <w:r>
        <w:t>p.g.g</w:t>
      </w:r>
      <w:proofErr w:type="spellEnd"/>
      <w:r>
        <w:t xml:space="preserve">., w szczególności w przepisach art. 133-143 tej ustawy, tworzących Dział VII - „Opłaty”. Zgodnie z fundamentalną zasadą wynikającą z tych regulacji, przedsiębiorca, który uzyskał koncesję na wydobywanie kopaliny ze złoża, wnosi opłatę eksploatacyjną. Jest ona ustalana jako iloczyn stawki ww. opłaty oraz ilości kopaliny wydobytej ze złoża bilansowego i pozabilansowego, w okresie rozliczeniowym. Stawki opłat eksploatacyjnych dla poszczególnych rodzajów kopalin określa załącznik do ustawy </w:t>
      </w:r>
      <w:proofErr w:type="spellStart"/>
      <w:r>
        <w:t>p.g.g</w:t>
      </w:r>
      <w:proofErr w:type="spellEnd"/>
      <w:r>
        <w:t>. Podlegają one corocznej zmianie, stosownie do średniorocznego wskaźnika cen towarów i usług konsumpcyjnych ogółem, planowanego w ustawie budżetowej na dany rok kalendarzowy. Tym samym, na rok 2022 stawka opłaty eksploatacyjnej dla wód leczniczych wynosi 1,71 zł/m</w:t>
      </w:r>
      <w:r>
        <w:rPr>
          <w:vertAlign w:val="superscript"/>
        </w:rPr>
        <w:t>3</w:t>
      </w:r>
      <w:r>
        <w:t>.</w:t>
      </w:r>
    </w:p>
    <w:p w14:paraId="3D372F39" w14:textId="77777777" w:rsidR="00794F56" w:rsidRDefault="00000000">
      <w:pPr>
        <w:pStyle w:val="Teksttreci20"/>
        <w:shd w:val="clear" w:color="auto" w:fill="auto"/>
        <w:spacing w:after="0" w:line="312" w:lineRule="exact"/>
        <w:ind w:firstLine="780"/>
        <w:jc w:val="both"/>
      </w:pPr>
      <w:r>
        <w:t xml:space="preserve">Co najistotniejsze, mając na uwadze spektrum badanej petycji, opłata eksploatacyjna jest daniną publiczną, będącą rekompensatą za wydobytą kopalinę, niezależnie od jej późniejszego przeznaczenia. Stanowi ona bowiem rekompensatę za korzystanie z walorów środowiska, którą uiszcza się za wydobytą ze złoża kopalinę, a jej wysokość nie jest uzależniona od ceny sprzedaży kopaliny i późniejszego jej </w:t>
      </w:r>
      <w:r>
        <w:lastRenderedPageBreak/>
        <w:t>wykorzystania, czy też od dobra finalnego, do produkcji którego wykorzystano wydobytą kopalinę.</w:t>
      </w:r>
      <w:r>
        <w:br w:type="page"/>
      </w:r>
    </w:p>
    <w:p w14:paraId="091B62F2" w14:textId="77777777" w:rsidR="00794F56" w:rsidRDefault="00000000">
      <w:pPr>
        <w:pStyle w:val="Teksttreci20"/>
        <w:shd w:val="clear" w:color="auto" w:fill="auto"/>
        <w:spacing w:after="0" w:line="312" w:lineRule="exact"/>
        <w:jc w:val="both"/>
      </w:pPr>
      <w:r>
        <w:lastRenderedPageBreak/>
        <w:t xml:space="preserve">Koszty z tytułu opłaty eksploatacyjnej stanowią jeden z wielu elementów składających się na koszt końcowy produkcji danego dobra. Działalność gospodarcza polegająca na przeróbce kopaliny, obrocie wydobytą kopaliną albo produktami będącymi efektem jej przeróbki, jak również transport wydobytej kopaliny i związane z nim utrudnienia w funkcjonowaniu lokalnej społeczności związane są z procesem technologicznym przeróbki wydobytej kopaliny i nie są regulowane przepisami ustawy </w:t>
      </w:r>
      <w:proofErr w:type="spellStart"/>
      <w:r>
        <w:t>p.g.g</w:t>
      </w:r>
      <w:proofErr w:type="spellEnd"/>
      <w:r>
        <w:t>. Stąd też nie mogą mieć wpływu na wysokość stawki opłaty eksploatacyjnej. Działalność ta podlega bowiem innej formie opodatkowania.</w:t>
      </w:r>
    </w:p>
    <w:p w14:paraId="7AAF8B18" w14:textId="77777777" w:rsidR="00794F56" w:rsidRDefault="00000000">
      <w:pPr>
        <w:pStyle w:val="Teksttreci20"/>
        <w:shd w:val="clear" w:color="auto" w:fill="auto"/>
        <w:spacing w:after="0" w:line="312" w:lineRule="exact"/>
        <w:ind w:firstLine="760"/>
        <w:jc w:val="both"/>
      </w:pPr>
      <w:r>
        <w:t>Oznacza to, że opłatę tę uiszcza się wyłącznie za wydobytą kopalinę. Ten sam rodzaj i ta sama ilość wydobytej kopaliny powinna zawsze powodować obowiązek zapłaty takiej samej kwoty opłaty, bez względu na to, który przedsiębiorca ją ponosi i w jakim regionie kraju prowadzi działalność, a także za ile sprzedał wydobytą kopalinę. Z tego powodu w obowiązującym systemie odstąpiono zarówno od uwarunkowania opłaty eksploatacyjnej od ceny sprzedaży i późniejszego wykorzystania gospodarczego kopaliny, jak również od obniżania oraz podwyższania opłaty, co ujednolica prawa i obowiązki przedsiębiorców eksploatujących ten sam rodzaj kopaliny. Obowiązek ponoszenia opłat powstaje wraz z wydobyciem kopaliny, bez względu na to, jak zostanie ona później wykorzystana. Podlegają mu wszyscy wydobywający kopalinę w ramach posiadanej koncesji.</w:t>
      </w:r>
    </w:p>
    <w:p w14:paraId="3B7805DD" w14:textId="77777777" w:rsidR="00794F56" w:rsidRDefault="00000000">
      <w:pPr>
        <w:pStyle w:val="Teksttreci20"/>
        <w:shd w:val="clear" w:color="auto" w:fill="auto"/>
        <w:spacing w:after="0" w:line="312" w:lineRule="exact"/>
        <w:ind w:firstLine="760"/>
        <w:jc w:val="both"/>
      </w:pPr>
      <w:r>
        <w:t xml:space="preserve">Nie ulega zatem wątpliwości, że działalność gospodarcza polegająca na przeróbce kopaliny, obrocie wydobytą kopaliną albo produktami będącymi efektem jej przeróbki nie jest regulowana przepisami ustawy </w:t>
      </w:r>
      <w:proofErr w:type="spellStart"/>
      <w:r>
        <w:t>p.g.g</w:t>
      </w:r>
      <w:proofErr w:type="spellEnd"/>
      <w:r>
        <w:t>., stanowi zaś wyłącznie następny po wydobyciu, niezwiązany z eksploatacją kopaliny etap produkcyjny. Tym samym, wskazane w petycji argumenty związane m.in. z rentownością produkcji wód i napojów, jak również transportem wytworzonych produktów i gospodarką odpadami, związane są z procesem technologicznym przeróbki kopaliny, w tym przypadku wód leczniczych i nie mają bezpośredniego związku z wydobyciem kopaliny ze złoża. Stąd też, ekonomiczne argumenty dotyczące rentowności produkcji wód i napojów w obowiązującym porządku prawnym nie mają i nie mogą mieć wpływu na wysokość stawki opłaty eksploatacyjnej.</w:t>
      </w:r>
    </w:p>
    <w:p w14:paraId="0685C9BA" w14:textId="77777777" w:rsidR="00794F56" w:rsidRDefault="00000000">
      <w:pPr>
        <w:pStyle w:val="Teksttreci20"/>
        <w:shd w:val="clear" w:color="auto" w:fill="auto"/>
        <w:spacing w:after="0" w:line="312" w:lineRule="exact"/>
        <w:ind w:firstLine="760"/>
        <w:jc w:val="both"/>
      </w:pPr>
      <w:r>
        <w:t xml:space="preserve">Należy bowiem podkreślić, że opłata eksploatacyjna została powołana jako istotny instrument w ochronie złoża, stanowiącego jednocześnie element przyrodniczy. Jak przyjmuje się w doktrynie, opłacie tej przypisuje się funkcje takie jak: restrykcyjna (odtwarzanie prowadzonych przez państwo kosztów prac geologicznych), kompensacyjna (kompensowanie gminom uciążliwości związanych z eksploatacją kopalin), waloryzacja (waloryzowanie wartości utraconych częściowo zasobów, stanowiących dziedzictwo narodowe), stymulacyjna (stymulowanie pożądanych </w:t>
      </w:r>
      <w:proofErr w:type="spellStart"/>
      <w:r>
        <w:t>zachowań</w:t>
      </w:r>
      <w:proofErr w:type="spellEnd"/>
      <w:r>
        <w:t xml:space="preserve"> w gospodarce złożowej), protekcyjna (zapewnienie technik wydobywczych przyjaznych środowisku), prewencyjno-represyjna (zapobieganie nielegalnej eksploatacji) oraz fiskalna (źródło dochodów publicznych).</w:t>
      </w:r>
    </w:p>
    <w:p w14:paraId="5598A143" w14:textId="77777777" w:rsidR="00794F56" w:rsidRDefault="00000000">
      <w:pPr>
        <w:pStyle w:val="Teksttreci20"/>
        <w:shd w:val="clear" w:color="auto" w:fill="auto"/>
        <w:spacing w:after="0" w:line="312" w:lineRule="exact"/>
        <w:ind w:firstLine="760"/>
        <w:jc w:val="both"/>
      </w:pPr>
      <w:r>
        <w:t>Choć opłacie eksploatacyjnej przypisuje się cały szereg funkcji, to jednak żadna z nich nie jest związana z argumentami przytoczonymi w petycji dotyczącymi przeróbki wydobytej kopaliny, jej sprzedażą czy też dystrybucją. Należy zatem nadmienić, że opłata eksploatacyjna nie funkcjonuje jako instrument do reagowania na bieżącą sytuację rynkową i nie służy organom administracji publicznej jako narzędzie do interwencji, np. gdy przedsiębiorcy prowadzą rentowne działalności w związku ze sprzedażą kopalin lub jej produktów.</w:t>
      </w:r>
    </w:p>
    <w:p w14:paraId="5B6F661F" w14:textId="77777777" w:rsidR="00794F56" w:rsidRDefault="00000000">
      <w:pPr>
        <w:pStyle w:val="Teksttreci20"/>
        <w:shd w:val="clear" w:color="auto" w:fill="auto"/>
        <w:spacing w:after="0" w:line="312" w:lineRule="exact"/>
        <w:ind w:firstLine="760"/>
        <w:jc w:val="both"/>
      </w:pPr>
      <w:r>
        <w:t xml:space="preserve">Wręcz przeciwnie, system opłat eksploatacyjnych oparty jest na założeniu stabilności oraz przejrzystości nie tylko dla przedsiębiorców, ale także dla wierzycieli - w postaci samorządów oraz Narodowego Funduszu Ochrony Środowiska i Gospodarki Wodnej. Już w uzasadnieniu ustawy </w:t>
      </w:r>
      <w:proofErr w:type="spellStart"/>
      <w:r>
        <w:t>p.g.g</w:t>
      </w:r>
      <w:proofErr w:type="spellEnd"/>
      <w:r>
        <w:t xml:space="preserve">. wskazano, że w projektowanym stanie prawnym stawki opłat będą wynikać bezpośrednio z ustawy, co uprości mechanizmy ich ustalania i zwiększy pewność prawa. Co więcej, stawki opłat eksploatacyjnych są corocznie rewaloryzowane o średnioroczny wskaźnik cen towarów i usług konsumpcyjnych ogółem. Taka praktyka zapewnia przewidywalność w określaniu wysokości jednostkowych stawek opłat eksploatacyjnych, </w:t>
      </w:r>
      <w:r>
        <w:lastRenderedPageBreak/>
        <w:t xml:space="preserve">przedsiębiorcom umożliwia planowanie wydatków, zaś wierzycielom oszacowanie wysokości dochodów. Wobec tego, każdorazowa modyfikacja stawek opłat eksploatacyjnych, inna niż wynikająca ze standardowej waloryzacji, wymaga szczególnej analizy, gdyż raptowna i nieplanowana zmiana stawek może odbić się na funkcjonowaniu przedsiębiorstw objętych tą stawką. Ma to szczególny wydźwięk w odniesieniu do sektora wydobywczego, w którym okres inwestowania jest długi, a nakłady relatywnie wysokie. Stąd też, zmiana podatków czy stawek opłat eksploatacyjnych wymaga za każdym razem nie tylko pogłębionej analizy, ale odpowiednio długiego </w:t>
      </w:r>
      <w:r>
        <w:rPr>
          <w:rStyle w:val="Teksttreci2Kursywa"/>
        </w:rPr>
        <w:t>vacatio legis,</w:t>
      </w:r>
      <w:r>
        <w:t xml:space="preserve"> w szczególności w dobie turbulentnych czasów na rynkach surowców oraz energii.</w:t>
      </w:r>
    </w:p>
    <w:p w14:paraId="5BADAAD9" w14:textId="77777777" w:rsidR="00794F56" w:rsidRDefault="00000000">
      <w:pPr>
        <w:pStyle w:val="Teksttreci20"/>
        <w:shd w:val="clear" w:color="auto" w:fill="auto"/>
        <w:spacing w:after="0" w:line="312" w:lineRule="exact"/>
        <w:ind w:firstLine="740"/>
        <w:jc w:val="both"/>
      </w:pPr>
      <w:r>
        <w:t>Nie oznacza to, że stawki opłat eksploatacyjnych nie mogą być przedmiotem zmian innych niż w drodze obowiązujących mechanizmów waloryzacji. Jednak należy podkreślić, że każda inicjatywa w tym zakresie wymaga za każdym razem szeroko zakrojonych konsultacji z beneficjantami opłaty i przedsiębiorcami oraz wnikliwej analizy, w oparciu nie tylko o pojedynczy aspekt, ale również o całe tło społeczno-gospodarcze, mając na uwadze wspomniane funkcje jakie pełni opłata eksploatacyjna. Jednocześnie, należy mieć na względzie okoliczność, że stawki kwotowe opłat eksploatacyjnych zostały ustalone w pewnym konsensusie, czyli na takim poziomie, aby oprócz zapewnienia założonych wpływów dla beneficjentów, zarazem nie doprowadziły do pogorszenia kondycji finansowej przedsiębiorców eksploatujących kopaliny ze złóż.</w:t>
      </w:r>
    </w:p>
    <w:p w14:paraId="30801CC7" w14:textId="77777777" w:rsidR="00794F56" w:rsidRDefault="00000000">
      <w:pPr>
        <w:pStyle w:val="Teksttreci20"/>
        <w:shd w:val="clear" w:color="auto" w:fill="auto"/>
        <w:spacing w:after="0" w:line="312" w:lineRule="exact"/>
        <w:ind w:firstLine="740"/>
        <w:jc w:val="both"/>
      </w:pPr>
      <w:r>
        <w:t>Poza tym, w odniesieniu do wód leczniczych należy pamiętać o jej zastosowaniu nie tylko w rozlewnictwie wskazanym w petycji, ale także w balneoterapii oraz rekreacji, gdzie wykorzystywane są także do wytwarzania produktów zdrojowych, produkcji soli i ługów leczniczych. Zabiegi lecznicze z wykorzystaniem wód zaliczonych do kopalin świadczone są w uzdrowiskach statutowych, które dysponują ich złożami oraz odpowiednią bazą zabiegową, a także potwierdzonymi właściwościami leczniczymi klimatu. W związku z tym, przy projektowaniu takich rozwiązań należy wziąć pod uwagę nie tylko opisane wyżej czynniki, ale również wszystkie podmioty, nie tylko z pochodzące z branży rozlewniczej, które są obowiązane do uiszczania opłat eksploatacyjnych za wydobycie wód leczniczych.</w:t>
      </w:r>
    </w:p>
    <w:p w14:paraId="3DDCBEE2" w14:textId="77777777" w:rsidR="00794F56" w:rsidRDefault="00000000">
      <w:pPr>
        <w:pStyle w:val="Teksttreci20"/>
        <w:shd w:val="clear" w:color="auto" w:fill="auto"/>
        <w:spacing w:after="666" w:line="312" w:lineRule="exact"/>
        <w:ind w:firstLine="740"/>
        <w:jc w:val="both"/>
      </w:pPr>
      <w:r>
        <w:t xml:space="preserve">Ponadto, postulat objęcia opłatą eksploatacyjną zwykłych wód głębinowych wykorzystywanych w procesie butelkowania wód mineralnych należy poddać pogłębionej analizie, zwłaszcza pod kątem nałożenia dodatkowych obciążeń regulacyjnych na przedsiębiorców wydobywających wskazane wody. Należy podkreślić, że wskazana propozycja będzie wiązała się z uznaniem zwykłych wód głębinowych za kopalinę w rozumieniu ustawy </w:t>
      </w:r>
      <w:proofErr w:type="spellStart"/>
      <w:r>
        <w:t>p.g.g</w:t>
      </w:r>
      <w:proofErr w:type="spellEnd"/>
      <w:r>
        <w:t xml:space="preserve">, gdyż w obecnym porządku prawnym, kopalinami nie są wody, z wyjątkiem wód leczniczych, wód termalnych i solanek. Dlatego też, wprowadzenie zwykłych wód głębinowych wykorzystywanych w procesie butelkowania wód mineralnych do reżimu ustawy </w:t>
      </w:r>
      <w:proofErr w:type="spellStart"/>
      <w:r>
        <w:t>p.g.g</w:t>
      </w:r>
      <w:proofErr w:type="spellEnd"/>
      <w:r>
        <w:t>., oprócz nałożenia ww. opłat, nałożyłoby szereg obowiązków na przedsiębiorców w zakresie m.in. koncesjonowania takiej działalności.</w:t>
      </w:r>
    </w:p>
    <w:p w14:paraId="5893AD9B" w14:textId="77777777" w:rsidR="00794F56" w:rsidRDefault="00000000">
      <w:pPr>
        <w:pStyle w:val="Teksttreci20"/>
        <w:shd w:val="clear" w:color="auto" w:fill="auto"/>
        <w:spacing w:after="639" w:line="254" w:lineRule="exact"/>
        <w:ind w:left="4720" w:right="1280"/>
      </w:pPr>
      <w:r>
        <w:t>Piotr Dziadzio Podsekretarz Stanu Ministerstwo Klimatu i Środowiska / - podpisany cyfrowo/</w:t>
      </w:r>
    </w:p>
    <w:p w14:paraId="3477F46B" w14:textId="77777777" w:rsidR="00794F56" w:rsidRDefault="00000000">
      <w:pPr>
        <w:pStyle w:val="Teksttreci70"/>
        <w:shd w:val="clear" w:color="auto" w:fill="auto"/>
        <w:spacing w:before="0"/>
      </w:pPr>
      <w:r>
        <w:t>Otrzymują:</w:t>
      </w:r>
    </w:p>
    <w:p w14:paraId="78E86FEE" w14:textId="77777777" w:rsidR="00794F56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30" w:lineRule="exact"/>
        <w:ind w:left="400"/>
      </w:pPr>
      <w:r>
        <w:t>Adresat,</w:t>
      </w:r>
    </w:p>
    <w:p w14:paraId="081AED1C" w14:textId="77777777" w:rsidR="00794F56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30" w:lineRule="exact"/>
        <w:ind w:left="400"/>
      </w:pPr>
      <w:r>
        <w:t>a/a.</w:t>
      </w:r>
    </w:p>
    <w:sectPr w:rsidR="00794F56">
      <w:footerReference w:type="default" r:id="rId8"/>
      <w:pgSz w:w="11900" w:h="16840"/>
      <w:pgMar w:top="1008" w:right="1372" w:bottom="1464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398D" w14:textId="77777777" w:rsidR="0064596B" w:rsidRDefault="0064596B">
      <w:r>
        <w:separator/>
      </w:r>
    </w:p>
  </w:endnote>
  <w:endnote w:type="continuationSeparator" w:id="0">
    <w:p w14:paraId="48C433E6" w14:textId="77777777" w:rsidR="0064596B" w:rsidRDefault="0064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69DF" w14:textId="77777777" w:rsidR="00794F56" w:rsidRDefault="00000000">
    <w:pPr>
      <w:rPr>
        <w:sz w:val="2"/>
        <w:szCs w:val="2"/>
      </w:rPr>
    </w:pPr>
    <w:r>
      <w:pict w14:anchorId="34CFCAC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75pt;margin-top:786.05pt;width:2.9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2A2BAD0" w14:textId="77777777" w:rsidR="00794F56" w:rsidRDefault="0000000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73E1" w14:textId="77777777" w:rsidR="0064596B" w:rsidRDefault="0064596B"/>
  </w:footnote>
  <w:footnote w:type="continuationSeparator" w:id="0">
    <w:p w14:paraId="35B4B405" w14:textId="77777777" w:rsidR="0064596B" w:rsidRDefault="006459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430A"/>
    <w:multiLevelType w:val="multilevel"/>
    <w:tmpl w:val="2536E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03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F56"/>
    <w:rsid w:val="0064596B"/>
    <w:rsid w:val="00794F56"/>
    <w:rsid w:val="009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BB0422"/>
  <w15:docId w15:val="{4F6DD507-F3F7-4F77-8A3F-1F41284A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5pt">
    <w:name w:val="Tekst treści (4) + 5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00"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00" w:after="180" w:line="302" w:lineRule="exact"/>
      <w:jc w:val="center"/>
    </w:pPr>
    <w:rPr>
      <w:rFonts w:ascii="Arial" w:eastAsia="Arial" w:hAnsi="Arial" w:cs="Arial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after="180" w:line="354" w:lineRule="exact"/>
      <w:jc w:val="center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40" w:after="600" w:line="34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0" w:after="340"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20"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1422</Words>
  <Characters>8535</Characters>
  <Application>Microsoft Office Word</Application>
  <DocSecurity>0</DocSecurity>
  <Lines>71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2022-10-26T12:57:00Z</dcterms:created>
  <dcterms:modified xsi:type="dcterms:W3CDTF">2022-10-26T12:58:00Z</dcterms:modified>
</cp:coreProperties>
</file>