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26C8" w14:textId="77777777" w:rsidR="00223BD5" w:rsidRDefault="00000000">
      <w:pPr>
        <w:pStyle w:val="Nagwek10"/>
        <w:keepNext/>
        <w:keepLines/>
        <w:shd w:val="clear" w:color="auto" w:fill="auto"/>
        <w:spacing w:after="534"/>
        <w:ind w:right="4760"/>
      </w:pPr>
      <w:r>
        <w:pict w14:anchorId="39A44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57.1pt;margin-top:-6.95pt;width:54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>
        <w:pict w14:anchorId="6EC7DC3C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90.5pt;margin-top:748.2pt;width:218.9pt;height:12.05pt;z-index:-125829375;mso-wrap-distance-left:90.5pt;mso-wrap-distance-right:90.5pt;mso-wrap-distance-bottom:19.35pt;mso-position-horizontal-relative:margin" filled="f" stroked="f">
            <v:textbox style="mso-fit-shape-to-text:t" inset="0,0,0,0">
              <w:txbxContent>
                <w:p w14:paraId="71E48B3F" w14:textId="77777777" w:rsidR="00223BD5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>
        <w:t>Ministerstwo Klimatu i Środowiska</w:t>
      </w:r>
      <w:bookmarkEnd w:id="0"/>
    </w:p>
    <w:p w14:paraId="1DB38646" w14:textId="77777777" w:rsidR="00223BD5" w:rsidRDefault="00000000">
      <w:pPr>
        <w:pStyle w:val="Teksttreci20"/>
        <w:shd w:val="clear" w:color="auto" w:fill="auto"/>
        <w:spacing w:before="0" w:after="224"/>
        <w:ind w:firstLine="0"/>
      </w:pPr>
      <w:r>
        <w:t>Departament Gospodarki Odpadami</w:t>
      </w:r>
    </w:p>
    <w:p w14:paraId="0B32E713" w14:textId="77777777" w:rsidR="00223BD5" w:rsidRDefault="00000000" w:rsidP="004A2CFE">
      <w:pPr>
        <w:pStyle w:val="Teksttreci20"/>
        <w:shd w:val="clear" w:color="auto" w:fill="auto"/>
        <w:spacing w:before="0" w:after="1560" w:line="226" w:lineRule="exact"/>
        <w:ind w:right="5660" w:firstLine="0"/>
      </w:pPr>
      <w:r>
        <w:t xml:space="preserve">DGO-SGO.053.2.2022.AR </w:t>
      </w:r>
      <w:r>
        <w:rPr>
          <w:rStyle w:val="Teksttreci210pt"/>
        </w:rPr>
        <w:t>2122212</w:t>
      </w:r>
      <w:r>
        <w:rPr>
          <w:rStyle w:val="Teksttreci275pt"/>
        </w:rPr>
        <w:t>.</w:t>
      </w:r>
      <w:r>
        <w:rPr>
          <w:rStyle w:val="Teksttreci210pt"/>
        </w:rPr>
        <w:t xml:space="preserve">9591438.7757988 </w:t>
      </w:r>
      <w:r>
        <w:t>Warszawa, 13-03-2023</w:t>
      </w:r>
    </w:p>
    <w:p w14:paraId="3AD78DDB" w14:textId="77777777" w:rsidR="00223BD5" w:rsidRDefault="00000000">
      <w:pPr>
        <w:pStyle w:val="Teksttreci30"/>
        <w:shd w:val="clear" w:color="auto" w:fill="auto"/>
        <w:spacing w:before="0" w:after="213"/>
      </w:pPr>
      <w:r>
        <w:t>Szanowny Panie Prezesie,</w:t>
      </w:r>
    </w:p>
    <w:p w14:paraId="7A69EF1C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 xml:space="preserve">w nawiązaniu do pisma Grupy Azoty Jednostki Ratownictwa Chemicznego Sp. z o. o., z dnia 23 maja 2022 r. znak RZ/1039/2022 w sprawie rozważenia zmian przepisów w obszarze wykorzystania terenów, na których są zlokalizowane zamknięte składowiska odpadów niebezpiecznych, w </w:t>
      </w:r>
      <w:proofErr w:type="spellStart"/>
      <w:r>
        <w:t>pierwszejkolejności</w:t>
      </w:r>
      <w:proofErr w:type="spellEnd"/>
      <w:r>
        <w:t xml:space="preserve"> pragnę podziękować za przesłanie spostrzeżeń w zakresie obowiązujących przepisów, które w Państwa ocenie wymagają zmian pod kątem uwzględnienia na takich terenach możliwości realizacji inwestycji.</w:t>
      </w:r>
    </w:p>
    <w:p w14:paraId="4D06FC3C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740"/>
      </w:pPr>
      <w:r>
        <w:t>Uprzejmie informuję, że sugestie przedstawione w piśmie w zakresie zmian przepisów obecnie obowiązujących, w tym dotyczących składowisk odpadów niebezpiecznych zawierających azbest, będą analizowane w ramach przyszłych prac legislacyjnych w Ministerstwie Klimatu i Środowiska, tym bardziej, że wykorzystanie farm fotowoltaicznych do pozyskania energii elektrycznej, jest korzystne dla środowiska naturalnego.</w:t>
      </w:r>
    </w:p>
    <w:p w14:paraId="20075567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740"/>
      </w:pPr>
      <w:r>
        <w:t>Niemniej jednak należy wyjaśnić, iż przedstawiona przez Państwa propozycja wykorzystania terenu po zamkniętym składowisku nie zawiera szczegółowych informacji w zakresie planowanej technologii zastosowania farm fotowoltaicznych.</w:t>
      </w:r>
    </w:p>
    <w:p w14:paraId="54640E75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740"/>
      </w:pPr>
      <w:r>
        <w:t>Nieuwzględnienie charakterystyki tak specyficznych obiektów jakimi są składowiska odpadów, w tym odpadów niebezpiecznych może spowodować:</w:t>
      </w:r>
    </w:p>
    <w:p w14:paraId="1D8B87A1" w14:textId="77777777" w:rsidR="00223BD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40" w:lineRule="exact"/>
        <w:ind w:left="1020" w:hanging="280"/>
      </w:pPr>
      <w:r>
        <w:t>nieprzewidywalne skutki dla środowiska naruszenia struktury składowiska odpadów niebezpiecznych;</w:t>
      </w:r>
    </w:p>
    <w:p w14:paraId="0CDEFF43" w14:textId="77777777" w:rsidR="00223BD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40" w:lineRule="exact"/>
        <w:ind w:left="1020" w:hanging="280"/>
      </w:pPr>
      <w:r>
        <w:t>zmniejszenie stopnia zabezpieczenia środowiska przed negatywnym wpływem składowiska na otaczające tereny (np. uwalnianie szkodliwych substancji do środowiska gruntowo-wodnego).</w:t>
      </w:r>
    </w:p>
    <w:p w14:paraId="61F363A9" w14:textId="77777777" w:rsidR="00223BD5" w:rsidRDefault="00000000">
      <w:pPr>
        <w:pStyle w:val="Teksttreci20"/>
        <w:shd w:val="clear" w:color="auto" w:fill="auto"/>
        <w:spacing w:before="0" w:after="1067" w:line="240" w:lineRule="exact"/>
        <w:ind w:firstLine="740"/>
      </w:pPr>
      <w:r>
        <w:t>Wydaje się, że z punktu widzenia bezpieczeństwa dla środowiska istotne na tym polu będą zagadnienia, takie jak: zakres prowadzonych prac ziemnych, stosowana głębokość wykopów oraz parametry gruntu, na którym dany obiekt miałby być posadowiony. Dlatego zasadne jest w przypadku składowisk odpadów innych niż niebezpieczne i obojętne realizowanie wymagań zawartych w §18 rozporządzenia Ministra Środowiska z dnia 30 kwietnia 2013 r. w sprawie składowisk odpadów</w:t>
      </w:r>
      <w:r>
        <w:rPr>
          <w:vertAlign w:val="superscript"/>
        </w:rPr>
        <w:footnoteReference w:id="1"/>
      </w:r>
      <w:r>
        <w:t xml:space="preserve"> (dalej </w:t>
      </w:r>
      <w:r>
        <w:rPr>
          <w:rStyle w:val="Teksttreci2Kursywa"/>
        </w:rPr>
        <w:t xml:space="preserve">rozporządzenie </w:t>
      </w:r>
      <w:proofErr w:type="spellStart"/>
      <w:r>
        <w:rPr>
          <w:rStyle w:val="Teksttreci2Kursywa"/>
        </w:rPr>
        <w:t>składowiskowe</w:t>
      </w:r>
      <w:proofErr w:type="spellEnd"/>
      <w:r>
        <w:rPr>
          <w:rStyle w:val="Teksttreci2Kursywa"/>
        </w:rPr>
        <w:t xml:space="preserve">), </w:t>
      </w:r>
      <w:r>
        <w:t xml:space="preserve">każdorazowe sporządzenie ekspertyzy w powyższym zakresie. Tym bardziej, że </w:t>
      </w:r>
      <w:r>
        <w:rPr>
          <w:rStyle w:val="Teksttreci2Kursywa"/>
        </w:rPr>
        <w:t>zabudowa przemysłowa, w tym zabudowa systemami fotowoltaicznymi, lub magazynowa, wraz z towarzyszącą jej infrastrukturą zaliczana jest do przedsięwzięć mogących potencjalnie znacząco</w:t>
      </w:r>
    </w:p>
    <w:p w14:paraId="51433EAF" w14:textId="77777777" w:rsidR="00223BD5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/>
        <w:ind w:firstLine="0"/>
      </w:pPr>
      <w:r>
        <w:t>(Dz.U. z 2022 r.,poz.1902)</w:t>
      </w:r>
      <w:r>
        <w:br w:type="page"/>
      </w:r>
      <w:r>
        <w:rPr>
          <w:rStyle w:val="Teksttreci3"/>
        </w:rPr>
        <w:lastRenderedPageBreak/>
        <w:t>oddziaływać na środowisko (§ 3 ust. 1 pkt 54 rozporządzenia Rady Ministrów z dnia 10 września 2019 r. w sprawie przedsięwzięć mogących znacząco oddziaływać na środowisko)</w:t>
      </w:r>
      <w:r>
        <w:rPr>
          <w:rStyle w:val="Teksttreci3"/>
          <w:vertAlign w:val="superscript"/>
        </w:rPr>
        <w:footnoteReference w:id="2"/>
      </w:r>
      <w:r>
        <w:rPr>
          <w:rStyle w:val="Teksttreci3"/>
        </w:rPr>
        <w:t>.</w:t>
      </w:r>
    </w:p>
    <w:p w14:paraId="1BC895D2" w14:textId="77777777" w:rsidR="00223BD5" w:rsidRDefault="00000000">
      <w:pPr>
        <w:pStyle w:val="Teksttreci20"/>
        <w:shd w:val="clear" w:color="auto" w:fill="auto"/>
        <w:spacing w:before="0" w:after="240" w:line="240" w:lineRule="exact"/>
        <w:ind w:firstLine="760"/>
      </w:pPr>
      <w:r>
        <w:t xml:space="preserve">Należy również wskazać, iż w chwili obecnej w przypadku składowisk odpadów niebezpiecznych nie ma odstępstwa od zakazu budowy zawartego w § 18 rozporządzenia Ministra Środowiska </w:t>
      </w:r>
      <w:r>
        <w:rPr>
          <w:rStyle w:val="Teksttreci2Kursywa"/>
        </w:rPr>
        <w:t>w sprawie składowisk odpadów.</w:t>
      </w:r>
    </w:p>
    <w:p w14:paraId="79284F62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760"/>
        <w:jc w:val="left"/>
      </w:pPr>
      <w:r>
        <w:t>Z uwagi na specyfikę tego rodzaju obiektów pod kątem typu i aktualnego stanu faktycznego danego składowiska, rodzaju i właściwości składowanych na nim odpadów, czasu składowania odpadów uzasadnia konieczność indywidualnego podejścia do każdego takiego obiektu, a więc pozostawienie wymagań związanych z wykonywaniem ekspertyzy. Wskazać należy, że składowisko odpadów, zgodnie z art. 123 ustawy z dnia 14 grudnia 2012 r. o odpadach</w:t>
      </w:r>
      <w:r>
        <w:rPr>
          <w:vertAlign w:val="superscript"/>
        </w:rPr>
        <w:footnoteReference w:id="3"/>
      </w:r>
      <w:r>
        <w:t>, tj. ustawa o odpadach obejmuje 3 fazy:</w:t>
      </w:r>
    </w:p>
    <w:p w14:paraId="1A7A685A" w14:textId="77777777" w:rsidR="00223BD5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803"/>
        </w:tabs>
        <w:spacing w:before="0" w:after="0" w:line="240" w:lineRule="exact"/>
        <w:ind w:left="760"/>
      </w:pPr>
      <w:proofErr w:type="spellStart"/>
      <w:r>
        <w:t>przedeksploatacyjną</w:t>
      </w:r>
      <w:proofErr w:type="spellEnd"/>
      <w:r>
        <w:t xml:space="preserve"> - okres poprzedzający uzyskanie pierwszej ostatecznej decyzji zatwierdzającej instrukcję prowadzenia składowiska odpadów;</w:t>
      </w:r>
    </w:p>
    <w:p w14:paraId="65020103" w14:textId="7748F949" w:rsidR="00223BD5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803"/>
        </w:tabs>
        <w:spacing w:before="0" w:after="0" w:line="240" w:lineRule="exact"/>
        <w:ind w:left="760"/>
      </w:pPr>
      <w:r>
        <w:t>eksploatacyjną - okres od dnia uzyskania pierwszej</w:t>
      </w:r>
      <w:r w:rsidR="004A2CFE">
        <w:t xml:space="preserve"> </w:t>
      </w:r>
      <w:r>
        <w:t>ostatecznej</w:t>
      </w:r>
      <w:r w:rsidR="004A2CFE">
        <w:t xml:space="preserve"> </w:t>
      </w:r>
      <w:r>
        <w:t>decyzji zatwierdzającej instrukcję prowadzenia składowiska odpadów do dnia zakończenia rekultywacji składowiska odpadów;</w:t>
      </w:r>
    </w:p>
    <w:p w14:paraId="18EDB266" w14:textId="77777777" w:rsidR="00223BD5" w:rsidRDefault="00000000">
      <w:pPr>
        <w:pStyle w:val="Teksttreci50"/>
        <w:numPr>
          <w:ilvl w:val="0"/>
          <w:numId w:val="3"/>
        </w:numPr>
        <w:shd w:val="clear" w:color="auto" w:fill="auto"/>
        <w:tabs>
          <w:tab w:val="left" w:pos="803"/>
        </w:tabs>
        <w:ind w:left="760"/>
      </w:pPr>
      <w:r>
        <w:t>poeksploatacyjną - okres 30 lat liczony od dnia zakończenia rekultywacji składowiska odpadów.</w:t>
      </w:r>
    </w:p>
    <w:p w14:paraId="71E1B284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760"/>
      </w:pPr>
      <w:r>
        <w:t xml:space="preserve">W związku z powyższym należy mieć na względzie, iż w fazie poeksploatacyjnej </w:t>
      </w:r>
      <w:r>
        <w:rPr>
          <w:rStyle w:val="Teksttreci2Pogrubienie"/>
        </w:rPr>
        <w:t>składowiska istnieje obowiązek jego monitorowania przez okres 30 lat, licząc od dnia uzyskania decyzji o zamknięciu składowiska odpadów</w:t>
      </w:r>
      <w:r>
        <w:t xml:space="preserve">; monitoring ten obejmuje wiele parametrów odnoszących się do wód podziemnych i powierzchniowych, odcieków i gazu </w:t>
      </w:r>
      <w:proofErr w:type="spellStart"/>
      <w:r>
        <w:t>składowiskowego</w:t>
      </w:r>
      <w:proofErr w:type="spellEnd"/>
      <w:r>
        <w:t>, a w szczególności kontrolę osiadania powierzchni składowiska odpadów w oparciu o ustalone repery (nie dotyczy składowisk z odpadami niebezpiecznymi).</w:t>
      </w:r>
    </w:p>
    <w:p w14:paraId="7A8A6C62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760"/>
      </w:pPr>
      <w:r>
        <w:t>Należy mieć również na uwadze art. 125 ustawy o odpadach, wskazujący że zarządzający składowiskiem odpadów jest obowiązany do ustanowienia zabezpieczenia roszczeń z tytułu wystąpienia negatywnych skutków w środowisku oraz szkód w środowisku w rozumieniu ustawy z dnia 13 kwietnia 2007 r. o zapobieganiu szkodom w środowisku i ich naprawie, w związku z prowadzeniem składowiska odpadów.</w:t>
      </w:r>
    </w:p>
    <w:p w14:paraId="2B6CE450" w14:textId="6CBDC0C4" w:rsidR="00223BD5" w:rsidRDefault="00000000">
      <w:pPr>
        <w:pStyle w:val="Teksttreci50"/>
        <w:shd w:val="clear" w:color="auto" w:fill="auto"/>
        <w:spacing w:after="240"/>
        <w:ind w:firstLine="760"/>
      </w:pPr>
      <w:r>
        <w:rPr>
          <w:rStyle w:val="Teksttreci5Bezpogrubienia"/>
        </w:rPr>
        <w:t xml:space="preserve">Wymagania dotyczące </w:t>
      </w:r>
      <w:r>
        <w:t>prowadzenia monitoringu i ustanowienia zabezpieczenia roszczeń do zakończenia fazy poeksploatacyjnej</w:t>
      </w:r>
      <w:r w:rsidR="004A2CFE">
        <w:t xml:space="preserve"> </w:t>
      </w:r>
      <w:r>
        <w:t>zostały wprowadzone do porządku prawnego w związku z koniecznością transponowania przepisów Dyrektywy Rady 1999/31/WE z dnia 26 kwietnia 1999 r. w sprawie składowania odpadów. Z tego względu wszystkie zmiany przepisów krajowych muszą być zgodne z odpowiednimi zapisami ww. dyrektywy. W chwili obecnej</w:t>
      </w:r>
      <w:r w:rsidR="004A2CFE">
        <w:t xml:space="preserve"> </w:t>
      </w:r>
      <w:r>
        <w:t xml:space="preserve">nie są prowadzone prace legislacyjne nad zmianą rozporządzenia </w:t>
      </w:r>
      <w:proofErr w:type="spellStart"/>
      <w:r>
        <w:t>składowiskowego</w:t>
      </w:r>
      <w:proofErr w:type="spellEnd"/>
      <w:r>
        <w:t>.</w:t>
      </w:r>
    </w:p>
    <w:p w14:paraId="0B7F9C85" w14:textId="77777777" w:rsidR="00223BD5" w:rsidRDefault="00000000">
      <w:pPr>
        <w:pStyle w:val="Teksttreci20"/>
        <w:shd w:val="clear" w:color="auto" w:fill="auto"/>
        <w:spacing w:before="0" w:after="0" w:line="240" w:lineRule="exact"/>
        <w:ind w:firstLine="760"/>
      </w:pPr>
      <w:r>
        <w:t>Natomiast rozstrzygnięcia w zakresie podnoszonych postulatów dotyczące planów zagospodarowania przestrzennego i przepisów podatkowych, leżą we właściwości Ministra Infrastruktury i Ministra Finansów.</w:t>
      </w:r>
    </w:p>
    <w:sectPr w:rsidR="00223BD5">
      <w:footerReference w:type="default" r:id="rId8"/>
      <w:pgSz w:w="11900" w:h="16840"/>
      <w:pgMar w:top="769" w:right="1949" w:bottom="1138" w:left="195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260D" w14:textId="77777777" w:rsidR="00CC1D40" w:rsidRDefault="00CC1D40">
      <w:r>
        <w:separator/>
      </w:r>
    </w:p>
  </w:endnote>
  <w:endnote w:type="continuationSeparator" w:id="0">
    <w:p w14:paraId="5C625C02" w14:textId="77777777" w:rsidR="00CC1D40" w:rsidRDefault="00CC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FE90" w14:textId="77777777" w:rsidR="00223BD5" w:rsidRDefault="00000000">
    <w:pPr>
      <w:rPr>
        <w:sz w:val="2"/>
        <w:szCs w:val="2"/>
      </w:rPr>
    </w:pPr>
    <w:r>
      <w:pict w14:anchorId="461E80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25pt;margin-top:789.6pt;width:4.8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198066" w14:textId="77777777" w:rsidR="00223BD5" w:rsidRDefault="0000000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FCA6" w14:textId="77777777" w:rsidR="00CC1D40" w:rsidRDefault="00CC1D40">
      <w:r>
        <w:separator/>
      </w:r>
    </w:p>
  </w:footnote>
  <w:footnote w:type="continuationSeparator" w:id="0">
    <w:p w14:paraId="1F30DFEC" w14:textId="77777777" w:rsidR="00CC1D40" w:rsidRDefault="00CC1D40">
      <w:r>
        <w:continuationSeparator/>
      </w:r>
    </w:p>
  </w:footnote>
  <w:footnote w:id="1">
    <w:p w14:paraId="1B214BD4" w14:textId="77777777" w:rsidR="00223BD5" w:rsidRDefault="00000000">
      <w:pPr>
        <w:pStyle w:val="Stopka1"/>
        <w:shd w:val="clear" w:color="auto" w:fill="auto"/>
        <w:tabs>
          <w:tab w:val="left" w:pos="5107"/>
        </w:tabs>
      </w:pPr>
      <w:r>
        <w:t>Telefon: (+48) 223-692-262</w:t>
      </w:r>
      <w:r>
        <w:tab/>
        <w:t>ul. Wawelska 52/54, 00-922 Warszawa</w:t>
      </w:r>
    </w:p>
    <w:p w14:paraId="6766D6F6" w14:textId="77777777" w:rsidR="00223BD5" w:rsidRDefault="00000000">
      <w:pPr>
        <w:pStyle w:val="Stopka1"/>
        <w:shd w:val="clear" w:color="auto" w:fill="auto"/>
        <w:tabs>
          <w:tab w:val="left" w:pos="5390"/>
        </w:tabs>
      </w:pPr>
      <w:hyperlink r:id="rId1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F517820" w14:textId="77777777" w:rsidR="00223BD5" w:rsidRDefault="00000000">
      <w:pPr>
        <w:pStyle w:val="Stopka1"/>
        <w:shd w:val="clear" w:color="auto" w:fill="auto"/>
      </w:pPr>
      <w:hyperlink r:id="rId2" w:history="1">
        <w:r>
          <w:rPr>
            <w:lang w:val="en-US" w:eastAsia="en-US" w:bidi="en-US"/>
          </w:rPr>
          <w:t>www.gov.pl/klimat</w:t>
        </w:r>
      </w:hyperlink>
    </w:p>
  </w:footnote>
  <w:footnote w:id="2">
    <w:p w14:paraId="237A5EE2" w14:textId="77777777" w:rsidR="00223BD5" w:rsidRDefault="00000000">
      <w:pPr>
        <w:pStyle w:val="Stopka20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>(Dz. U z 2019 r., poz. 1839)</w:t>
      </w:r>
    </w:p>
  </w:footnote>
  <w:footnote w:id="3">
    <w:p w14:paraId="2896D64D" w14:textId="77777777" w:rsidR="00223BD5" w:rsidRDefault="00000000">
      <w:pPr>
        <w:pStyle w:val="Stopka20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(</w:t>
      </w:r>
      <w:hyperlink r:id="rId3" w:history="1">
        <w:r>
          <w:t>Dz.U. 2022 r., poz. 699</w:t>
        </w:r>
      </w:hyperlink>
      <w:r>
        <w:t>,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67F"/>
    <w:multiLevelType w:val="multilevel"/>
    <w:tmpl w:val="DE841548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E6EFE"/>
    <w:multiLevelType w:val="multilevel"/>
    <w:tmpl w:val="CE505E4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73E60"/>
    <w:multiLevelType w:val="multilevel"/>
    <w:tmpl w:val="4C34EE3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7078962">
    <w:abstractNumId w:val="1"/>
  </w:num>
  <w:num w:numId="2" w16cid:durableId="1272056167">
    <w:abstractNumId w:val="2"/>
  </w:num>
  <w:num w:numId="3" w16cid:durableId="82158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BD5"/>
    <w:rsid w:val="00223BD5"/>
    <w:rsid w:val="004A2CFE"/>
    <w:rsid w:val="00C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02A4290"/>
  <w15:docId w15:val="{FA8298ED-3E23-4874-A906-5625DC66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200" w:line="256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20" w:after="200" w:line="25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68" w:lineRule="exact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sap.sejm.gov.pl/isap.nsf/DocDetails.xsp?id=WDU20220000699" TargetMode="External"/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departament.gospodarki.odpadami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2023-03-14T12:19:00Z</dcterms:created>
  <dcterms:modified xsi:type="dcterms:W3CDTF">2023-03-14T12:20:00Z</dcterms:modified>
</cp:coreProperties>
</file>