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4E6E" w14:textId="5C90B91A" w:rsidR="00EA0272" w:rsidRDefault="00000000">
      <w:pPr>
        <w:pStyle w:val="Nagwek10"/>
        <w:keepNext/>
        <w:keepLines/>
        <w:shd w:val="clear" w:color="auto" w:fill="auto"/>
        <w:spacing w:after="143"/>
      </w:pPr>
      <w:bookmarkStart w:id="0" w:name="bookmark0"/>
      <w:r>
        <w:t>Ministerstwo</w:t>
      </w:r>
      <w:r>
        <w:rPr>
          <w:rStyle w:val="Nagwek12"/>
        </w:rPr>
        <w:t xml:space="preserve"> </w:t>
      </w:r>
      <w:r>
        <w:t>Klimatu i Środowiska</w:t>
      </w:r>
      <w:bookmarkEnd w:id="0"/>
    </w:p>
    <w:p w14:paraId="5784A13C" w14:textId="77777777" w:rsidR="00EA0272" w:rsidRDefault="00000000" w:rsidP="004F5AD8">
      <w:pPr>
        <w:pStyle w:val="Nagwek20"/>
        <w:keepNext/>
        <w:keepLines/>
        <w:shd w:val="clear" w:color="auto" w:fill="auto"/>
        <w:spacing w:before="0" w:after="325"/>
        <w:jc w:val="center"/>
      </w:pPr>
      <w:bookmarkStart w:id="1" w:name="bookmark1"/>
      <w:r>
        <w:t>Departament Ciepłownictwa</w:t>
      </w:r>
      <w:bookmarkEnd w:id="1"/>
    </w:p>
    <w:p w14:paraId="2A02480E" w14:textId="77777777" w:rsidR="004F5AD8" w:rsidRDefault="004F5AD8">
      <w:pPr>
        <w:pStyle w:val="Teksttreci20"/>
        <w:shd w:val="clear" w:color="auto" w:fill="auto"/>
        <w:spacing w:before="0" w:after="146"/>
      </w:pPr>
    </w:p>
    <w:p w14:paraId="162A5B62" w14:textId="3A6E06A9" w:rsidR="00EA0272" w:rsidRDefault="00000000">
      <w:pPr>
        <w:pStyle w:val="Teksttreci20"/>
        <w:shd w:val="clear" w:color="auto" w:fill="auto"/>
        <w:spacing w:before="0" w:after="146"/>
      </w:pPr>
      <w:r>
        <w:pict w14:anchorId="3A71C81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08.9pt;margin-top:1pt;width:150.5pt;height:16.2pt;z-index:-251658752;mso-wrap-distance-left:188.15pt;mso-wrap-distance-top:56.55pt;mso-wrap-distance-right:5pt;mso-wrap-distance-bottom:5.85pt;mso-position-horizontal-relative:margin" filled="f" stroked="f">
            <v:textbox style="mso-fit-shape-to-text:t" inset="0,0,0,0">
              <w:txbxContent>
                <w:p w14:paraId="30CD2711" w14:textId="77777777" w:rsidR="00EA0272" w:rsidRDefault="00000000">
                  <w:pPr>
                    <w:pStyle w:val="Teksttreci6"/>
                    <w:shd w:val="clear" w:color="auto" w:fill="auto"/>
                  </w:pPr>
                  <w:r>
                    <w:t>Warszawa, dnia 03-10-2022 r.</w:t>
                  </w:r>
                </w:p>
              </w:txbxContent>
            </v:textbox>
            <w10:wrap type="square" side="left" anchorx="margin"/>
          </v:shape>
        </w:pict>
      </w:r>
      <w:r>
        <w:t>DC-WKiC.053.2.2022.PB</w:t>
      </w:r>
    </w:p>
    <w:p w14:paraId="7200773F" w14:textId="77777777" w:rsidR="00EA0272" w:rsidRDefault="00000000">
      <w:pPr>
        <w:pStyle w:val="Teksttreci30"/>
        <w:shd w:val="clear" w:color="auto" w:fill="auto"/>
        <w:spacing w:before="0" w:after="2754"/>
      </w:pPr>
      <w:r>
        <w:t>2168872</w:t>
      </w:r>
      <w:r>
        <w:rPr>
          <w:rStyle w:val="Teksttreci35pt"/>
        </w:rPr>
        <w:t>.</w:t>
      </w:r>
      <w:r>
        <w:t>8412569.6823319</w:t>
      </w:r>
    </w:p>
    <w:p w14:paraId="16EB9204" w14:textId="77777777" w:rsidR="00EA0272" w:rsidRDefault="00000000">
      <w:pPr>
        <w:pStyle w:val="Teksttreci40"/>
        <w:shd w:val="clear" w:color="auto" w:fill="auto"/>
        <w:spacing w:before="0" w:after="135"/>
      </w:pPr>
      <w:r>
        <w:t>Szanowny Panie,</w:t>
      </w:r>
    </w:p>
    <w:p w14:paraId="664D6D1B" w14:textId="77777777" w:rsidR="00EA0272" w:rsidRDefault="00000000">
      <w:pPr>
        <w:pStyle w:val="Teksttreci40"/>
        <w:shd w:val="clear" w:color="auto" w:fill="auto"/>
        <w:spacing w:before="0" w:after="116" w:line="288" w:lineRule="exact"/>
      </w:pPr>
      <w:r>
        <w:rPr>
          <w:rStyle w:val="Teksttreci4Bezkursywy"/>
        </w:rPr>
        <w:t xml:space="preserve">w odpowiedzi na petycję z dnia 2 czerwca 2022 r. wniesioną w sprawie </w:t>
      </w:r>
      <w:r>
        <w:t>„(■■■) o przywrócenie terminów ogrzewania budynków wielolokalowych (wielorodzinnych) wedle Zarządzenia Głównego Inspektora Gospodarki Energetycznej z dnia 2 września 1985 roku (M. P. z 1985 roku Nr 23, poz. 182) oraz zobowiązanie zarządcy budynku wielolokalowego by na decyzję o rozpoczęciu lub przerwaniu ogrzewania budynku poza okresem grzewczym, zdefiniowanym wg rozporządzenia M. P. z 1985 roku Nr 23, poz. 182, uzyskał zgodę wszystkich użytkowników lokali.”,</w:t>
      </w:r>
      <w:r>
        <w:rPr>
          <w:rStyle w:val="Teksttreci4Bezkursywy"/>
        </w:rPr>
        <w:t xml:space="preserve"> w związku z przekonaniem Wnoszącego petycję, </w:t>
      </w:r>
      <w:r>
        <w:t>„(■■■) że w aktualnie obowiązującym Rozporządzeniu Ministra Gospodarki z dnia 15 stycznia 2007 roku w sprawie szczegółowych warunków funkcjonowania systemów ciepłowniczych (Dz. U. Z 2007 roku Nr 16, poz. 92) oraz Rozporządzeniu Ministra Klimatu z dnia 7 kwietnia 2020 roku w sprawie szczegółowych zasad kształtowania i kalkulacji taryf oraz rozliczeń z tytułu zaopatrzenia w ciepło (Dz. U. z 2020 roku poz. 718) nieprecyzyjnie zdefiniowano sezon grzewczy.”</w:t>
      </w:r>
      <w:r>
        <w:rPr>
          <w:rStyle w:val="Teksttreci4Bezkursywy"/>
        </w:rPr>
        <w:t>, uprzejmie informuję, co następuje.</w:t>
      </w:r>
    </w:p>
    <w:p w14:paraId="435F93DA" w14:textId="77777777" w:rsidR="00EA0272" w:rsidRDefault="00000000">
      <w:pPr>
        <w:pStyle w:val="Teksttreci20"/>
        <w:shd w:val="clear" w:color="auto" w:fill="auto"/>
        <w:spacing w:before="0" w:after="124" w:line="293" w:lineRule="exact"/>
        <w:ind w:firstLine="540"/>
        <w:jc w:val="both"/>
      </w:pPr>
      <w:r>
        <w:t>Zgodnie z definicją § 2 pkt 20 rozporządzenie Ministra Gospodarki z dnia 15 stycznia 2007 r. w sprawie szczegółowych warunków funkcjonowania systemów ciepłowniczych (Dz.U. Nr 16, poz. 92) sezon grzewczy, to okres, w którym warunki atmosferyczne powodują konieczność ciągłego dostarczania ciepła w celu ogrzewania obiektów, natomiast § 25 tego rozporządzenia, stanowi, iż</w:t>
      </w:r>
    </w:p>
    <w:p w14:paraId="44B7F361" w14:textId="77777777" w:rsidR="00EA0272" w:rsidRDefault="00000000">
      <w:pPr>
        <w:pStyle w:val="Teksttreci20"/>
        <w:shd w:val="clear" w:color="auto" w:fill="auto"/>
        <w:spacing w:before="0" w:after="225" w:line="288" w:lineRule="exact"/>
        <w:jc w:val="both"/>
      </w:pPr>
      <w:r>
        <w:t>1. Jeżeli wytwórca ciepła i przedsiębiorstwo ciepłownicze lub dystrybutor ciepła jako odbiorca nie ustalą w umowie sprzedaży ciepła parametrów i standardów jakościowych, o których mowa w § 24 pkt 1, strony umowy obowiązują następujące parametry i standardy:</w:t>
      </w:r>
    </w:p>
    <w:p w14:paraId="60009A44" w14:textId="77777777" w:rsidR="00EA027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180"/>
        <w:jc w:val="both"/>
      </w:pPr>
      <w:r>
        <w:t>U)</w:t>
      </w:r>
    </w:p>
    <w:p w14:paraId="122B0E3A" w14:textId="77777777" w:rsidR="00EA027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75"/>
        <w:jc w:val="both"/>
      </w:pPr>
      <w:r>
        <w:t>(</w:t>
      </w:r>
      <w:r>
        <w:rPr>
          <w:rStyle w:val="Teksttreci21"/>
        </w:rPr>
        <w:t>...</w:t>
      </w:r>
      <w:r>
        <w:t>)</w:t>
      </w:r>
    </w:p>
    <w:p w14:paraId="18CD93A6" w14:textId="77777777" w:rsidR="00EA027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116" w:line="288" w:lineRule="exact"/>
        <w:jc w:val="both"/>
      </w:pPr>
      <w:r>
        <w:t>rozpoczęcie i przerwanie dostarczania ciepła do sieci ciepłowniczej na potrzeby ogrzewania powinno nastąpić nie później niż:</w:t>
      </w:r>
    </w:p>
    <w:p w14:paraId="21A61336" w14:textId="77777777" w:rsidR="00EA0272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299"/>
        </w:tabs>
        <w:spacing w:before="0" w:after="124" w:line="293" w:lineRule="exact"/>
        <w:jc w:val="both"/>
      </w:pPr>
      <w:r>
        <w:t>w sezonie grzewczym - w ciągu 12 godzin od wydania dyspozycji przez dyspozytora sieci ciepłowniczej,</w:t>
      </w:r>
    </w:p>
    <w:p w14:paraId="7B3BB22A" w14:textId="77777777" w:rsidR="00EA0272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313"/>
        </w:tabs>
        <w:spacing w:before="0" w:after="165" w:line="288" w:lineRule="exact"/>
        <w:jc w:val="both"/>
      </w:pPr>
      <w:r>
        <w:t>poza sezonem grzewczym - w ciągu 24 godzin od wydania dyspozycji przez dyspozytora sieci ciepłowniczej;</w:t>
      </w:r>
    </w:p>
    <w:p w14:paraId="3C2EF443" w14:textId="77777777" w:rsidR="00EA027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531"/>
        <w:jc w:val="both"/>
      </w:pPr>
      <w:r>
        <w:t>(</w:t>
      </w:r>
      <w:r>
        <w:rPr>
          <w:rStyle w:val="Teksttreci21"/>
        </w:rPr>
        <w:t>...</w:t>
      </w:r>
      <w:r>
        <w:t>)</w:t>
      </w:r>
    </w:p>
    <w:p w14:paraId="705D83AE" w14:textId="77777777" w:rsidR="00EA0272" w:rsidRDefault="00000000">
      <w:pPr>
        <w:pStyle w:val="Teksttreci50"/>
        <w:shd w:val="clear" w:color="auto" w:fill="auto"/>
        <w:spacing w:before="0"/>
        <w:ind w:right="60"/>
        <w:sectPr w:rsidR="00EA0272">
          <w:footerReference w:type="default" r:id="rId7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lastRenderedPageBreak/>
        <w:t xml:space="preserve">ul. Wawelska 52/54, 00-922 Warszawa; tel. (22) 695-82-81,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p w14:paraId="4E91A624" w14:textId="77777777" w:rsidR="00EA0272" w:rsidRDefault="00000000">
      <w:pPr>
        <w:pStyle w:val="Teksttreci20"/>
        <w:shd w:val="clear" w:color="auto" w:fill="auto"/>
        <w:spacing w:before="0" w:after="116" w:line="288" w:lineRule="exact"/>
        <w:ind w:firstLine="460"/>
        <w:jc w:val="both"/>
      </w:pPr>
      <w:r>
        <w:lastRenderedPageBreak/>
        <w:t>W ostatnich latach postęp techniki i technologii automatycznego sterowania węzłami cieplnymi umożliwił monitorowanie warunków pogodowych i regulowanie dostawy ciepła. Po zainstalowaniu zespołu urządzeń możliwe jest zatrzymanie dostawy ciepła, gdy temperatura zewnętrzna przekroczy zadany poziom, a włączanie dostawy, gdy temperatura zewnętrzna jest niższa od tego poziomu. Korzystając z urządzeń automatyki pogodowej, co do zasady, to odbiorca ciepła (Wspólnota Mieszkaniowa, Spółdzielnia Mieszkaniowa, właściciel lub upoważniony administrator budynku) wyznacza graniczną temperaturę włączenia i odcięcia dostarczania ciepła na centralne ogrzewanie. Dzięki zastosowaniu automatyki pogodowej w węźle cieplnym, odbiorca ma możliwość oszczędnego korzystania z dostarczania ciepła.</w:t>
      </w:r>
    </w:p>
    <w:p w14:paraId="449F9DB3" w14:textId="77777777" w:rsidR="00EA0272" w:rsidRDefault="00000000">
      <w:pPr>
        <w:pStyle w:val="Teksttreci20"/>
        <w:shd w:val="clear" w:color="auto" w:fill="auto"/>
        <w:spacing w:before="0" w:after="0" w:line="293" w:lineRule="exact"/>
        <w:ind w:firstLine="460"/>
        <w:jc w:val="both"/>
      </w:pPr>
      <w:r>
        <w:t>W związku z powyższym, powrót do przepisów sprzed blisko 40 lat, które zostały wprowadzone w innych realiach technicznych urządzeń regulujących pracę węzłów cieplnych, byłby rozwiązaniem niepożądanym.</w:t>
      </w:r>
    </w:p>
    <w:sectPr w:rsidR="00EA0272">
      <w:pgSz w:w="11900" w:h="16840"/>
      <w:pgMar w:top="1431" w:right="1380" w:bottom="1431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2599" w14:textId="77777777" w:rsidR="0037307B" w:rsidRDefault="0037307B">
      <w:r>
        <w:separator/>
      </w:r>
    </w:p>
  </w:endnote>
  <w:endnote w:type="continuationSeparator" w:id="0">
    <w:p w14:paraId="3A06073F" w14:textId="77777777" w:rsidR="0037307B" w:rsidRDefault="0037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E98B" w14:textId="77777777" w:rsidR="00EA0272" w:rsidRDefault="00000000">
    <w:pPr>
      <w:rPr>
        <w:sz w:val="2"/>
        <w:szCs w:val="2"/>
      </w:rPr>
    </w:pPr>
    <w:r>
      <w:pict w14:anchorId="31C6C0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E006C3D" w14:textId="77777777" w:rsidR="00EA0272" w:rsidRDefault="0000000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259F" w14:textId="77777777" w:rsidR="0037307B" w:rsidRDefault="0037307B"/>
  </w:footnote>
  <w:footnote w:type="continuationSeparator" w:id="0">
    <w:p w14:paraId="62C49DEC" w14:textId="77777777" w:rsidR="0037307B" w:rsidRDefault="00373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271"/>
    <w:multiLevelType w:val="multilevel"/>
    <w:tmpl w:val="ED9C40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1502CF"/>
    <w:multiLevelType w:val="multilevel"/>
    <w:tmpl w:val="BD6A2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0814703">
    <w:abstractNumId w:val="1"/>
  </w:num>
  <w:num w:numId="2" w16cid:durableId="88664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272"/>
    <w:rsid w:val="0037307B"/>
    <w:rsid w:val="004F5AD8"/>
    <w:rsid w:val="00E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997769"/>
  <w15:docId w15:val="{39D75156-08D1-4D0B-B560-655C2D37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B569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9A8F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DADAD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317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280" w:line="288" w:lineRule="exact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12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after="278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780" w:after="180" w:line="232" w:lineRule="exact"/>
      <w:ind w:firstLine="5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6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2022-10-12T12:45:00Z</dcterms:created>
  <dcterms:modified xsi:type="dcterms:W3CDTF">2022-10-12T12:46:00Z</dcterms:modified>
</cp:coreProperties>
</file>