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E64D" w14:textId="35C0964F" w:rsidR="008C6824" w:rsidRDefault="00000000">
      <w:pPr>
        <w:pStyle w:val="Teksttreci20"/>
        <w:shd w:val="clear" w:color="auto" w:fill="auto"/>
        <w:sectPr w:rsidR="008C6824">
          <w:pgSz w:w="11900" w:h="16840"/>
          <w:pgMar w:top="884" w:right="1400" w:bottom="1374" w:left="7731" w:header="0" w:footer="3" w:gutter="0"/>
          <w:cols w:space="720"/>
          <w:noEndnote/>
          <w:docGrid w:linePitch="360"/>
        </w:sectPr>
      </w:pPr>
      <w:r>
        <w:t>Warszawa, dnia 29-09-2022 r.</w:t>
      </w:r>
    </w:p>
    <w:p w14:paraId="2583CC46" w14:textId="38531836" w:rsidR="008C6824" w:rsidRDefault="00BF2CC7">
      <w:pPr>
        <w:spacing w:line="186" w:lineRule="exact"/>
        <w:rPr>
          <w:sz w:val="15"/>
          <w:szCs w:val="15"/>
        </w:rPr>
      </w:pPr>
      <w:r>
        <w:pict w14:anchorId="066C2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0.05pt;margin-top:-33.7pt;width:64.55pt;height:71.05pt;z-index:-251658752;mso-wrap-distance-left:5pt;mso-wrap-distance-right:191.75pt;mso-position-horizontal-relative:margin;mso-position-vertical-relative:margin" wrapcoords="0 0 21600 0 21600 21600 0 21600 0 0">
            <v:imagedata r:id="rId6" o:title="image1"/>
            <w10:wrap type="square" side="right" anchorx="margin" anchory="margin"/>
          </v:shape>
        </w:pict>
      </w:r>
    </w:p>
    <w:p w14:paraId="4C406B07" w14:textId="77777777" w:rsidR="008C6824" w:rsidRDefault="008C6824">
      <w:pPr>
        <w:rPr>
          <w:sz w:val="2"/>
          <w:szCs w:val="2"/>
        </w:rPr>
        <w:sectPr w:rsidR="008C6824">
          <w:type w:val="continuous"/>
          <w:pgSz w:w="11900" w:h="16840"/>
          <w:pgMar w:top="874" w:right="0" w:bottom="1383" w:left="0" w:header="0" w:footer="3" w:gutter="0"/>
          <w:cols w:space="720"/>
          <w:noEndnote/>
          <w:docGrid w:linePitch="360"/>
        </w:sectPr>
      </w:pPr>
    </w:p>
    <w:p w14:paraId="5E56BDF6" w14:textId="77777777" w:rsidR="008C6824" w:rsidRDefault="00000000">
      <w:pPr>
        <w:pStyle w:val="Nagwek10"/>
        <w:keepNext/>
        <w:keepLines/>
        <w:shd w:val="clear" w:color="auto" w:fill="auto"/>
        <w:spacing w:after="202"/>
      </w:pPr>
      <w:bookmarkStart w:id="0" w:name="bookmark0"/>
      <w:r>
        <w:t>Minister Klimatu i Środowiska</w:t>
      </w:r>
      <w:bookmarkEnd w:id="0"/>
    </w:p>
    <w:p w14:paraId="40C27F14" w14:textId="77777777" w:rsidR="008C6824" w:rsidRDefault="00000000">
      <w:pPr>
        <w:pStyle w:val="Teksttreci20"/>
        <w:shd w:val="clear" w:color="auto" w:fill="auto"/>
        <w:jc w:val="both"/>
      </w:pPr>
      <w:r>
        <w:t>DRP-WJPT.050.2.2022.AS</w:t>
      </w:r>
    </w:p>
    <w:p w14:paraId="0091EDA6" w14:textId="77777777" w:rsidR="008C6824" w:rsidRDefault="00000000">
      <w:pPr>
        <w:pStyle w:val="Teksttreci30"/>
        <w:shd w:val="clear" w:color="auto" w:fill="auto"/>
        <w:spacing w:after="2405"/>
      </w:pPr>
      <w:r>
        <w:t>2190128</w:t>
      </w:r>
      <w:r>
        <w:rPr>
          <w:rStyle w:val="Teksttreci35pt"/>
        </w:rPr>
        <w:t>.</w:t>
      </w:r>
      <w:r>
        <w:t>8356679.6804884</w:t>
      </w:r>
    </w:p>
    <w:p w14:paraId="7956A270" w14:textId="77777777" w:rsidR="008C6824" w:rsidRDefault="00000000">
      <w:pPr>
        <w:pStyle w:val="Teksttreci40"/>
        <w:shd w:val="clear" w:color="auto" w:fill="auto"/>
        <w:spacing w:before="0"/>
      </w:pPr>
      <w:r>
        <w:t>Szanowny Panie Prezesie,</w:t>
      </w:r>
    </w:p>
    <w:p w14:paraId="0BA2982E" w14:textId="77777777" w:rsidR="008C6824" w:rsidRDefault="00000000">
      <w:pPr>
        <w:pStyle w:val="Teksttreci20"/>
        <w:shd w:val="clear" w:color="auto" w:fill="auto"/>
        <w:spacing w:after="300" w:line="288" w:lineRule="exact"/>
        <w:jc w:val="both"/>
      </w:pPr>
      <w:r>
        <w:t>w odpowiedzi na petycję Polskiej Organizacji Przemysłu i Handlu Naftowego z dnia 27 czerwca 2022 r. (znak sprawy: L.dz.37/2022/KR) dotyczącą zmiany ustawy z dnia 25 sierpnia 2006 r. o systemie monitorowania i kontrolowania jakości paliw (Dz. U. z 2022 r. poz. 1315, 1576), zwanej dalej „ustawa”, uprzejmie proszę przyjąć, co następuje.</w:t>
      </w:r>
    </w:p>
    <w:p w14:paraId="77B4D488" w14:textId="77777777" w:rsidR="008C6824" w:rsidRDefault="00000000">
      <w:pPr>
        <w:pStyle w:val="Teksttreci20"/>
        <w:shd w:val="clear" w:color="auto" w:fill="auto"/>
        <w:spacing w:line="288" w:lineRule="exact"/>
        <w:jc w:val="both"/>
      </w:pPr>
      <w:r>
        <w:t>W petycji poruszono sprawę konieczności podjęcia prac nad rozszerzeniem ustawy o systemie monitorowania i kontrolowania jakości paliw o ciężki olej opałowy o kodach CN 2707 99 99 oraz opcjonalnie o kodzie CN 2707 99 19 i CN 2707 99 91, a także rozszerzenie tej ustawy o paliwa ciekłe stosowane w transporcie kolejowym.</w:t>
      </w:r>
    </w:p>
    <w:p w14:paraId="6F4A4B9B" w14:textId="77777777" w:rsidR="008C6824" w:rsidRDefault="00000000">
      <w:pPr>
        <w:pStyle w:val="Teksttreci20"/>
        <w:shd w:val="clear" w:color="auto" w:fill="auto"/>
        <w:spacing w:after="300" w:line="288" w:lineRule="exact"/>
        <w:jc w:val="both"/>
      </w:pPr>
      <w:r>
        <w:t>Należy dodać, że w celu dokładniejszej analizy i chęci wypracowania wspólnego stanowiska Ministerstwo Klimatu i Środowiska zwróciło się w tej sprawie do Urzędu Ochrony Konkurencji i Konsumentów, a także do Głównego Inspektoratu Ochrony Środowiska w sprawie zasadności podjęcia prac nad zmianą ustawy.</w:t>
      </w:r>
    </w:p>
    <w:p w14:paraId="10437039" w14:textId="77777777" w:rsidR="008C6824" w:rsidRDefault="00000000">
      <w:pPr>
        <w:pStyle w:val="Teksttreci20"/>
        <w:shd w:val="clear" w:color="auto" w:fill="auto"/>
        <w:spacing w:line="288" w:lineRule="exact"/>
        <w:jc w:val="both"/>
      </w:pPr>
      <w:r>
        <w:t>Mając na uwadze powyższe, informuję, że pozycja CN 2707 obejmuje oleje i pozostałe produkty destylacji wysokotemperaturowej smoły węglowej, podobne produkty, w których masa składników aromatycznych jest większa niż składników niearomatycznych.</w:t>
      </w:r>
    </w:p>
    <w:p w14:paraId="0634F860" w14:textId="77777777" w:rsidR="008C6824" w:rsidRDefault="00000000">
      <w:pPr>
        <w:pStyle w:val="Teksttreci20"/>
        <w:shd w:val="clear" w:color="auto" w:fill="auto"/>
        <w:spacing w:after="300" w:line="288" w:lineRule="exact"/>
        <w:jc w:val="both"/>
      </w:pPr>
      <w:r>
        <w:t>Zatem oleje o kodach CN 2707 99 19 oraz CN 2707 99 99 mogą być stosowane do celów opałowych. Natomiast kod CN 2707 99 91 obejmuje oleje inne niż oleje surowe, inne niż lekkie składniki siarkowe i antracen, inne niż produkty zasadowe i fenole, przeznaczone do produkcji produktów objętych pozycją CN 2803. Należy dodać, że produkty o kodzie CN 2803 obejmują węgiel (sadze oraz inne postacie węgla, gdzie indziej niewymienione ani niewłączone), tak więc nie powinny być klasyfikowane do celów opałowych.</w:t>
      </w:r>
    </w:p>
    <w:p w14:paraId="39294129" w14:textId="77777777" w:rsidR="008C6824" w:rsidRDefault="00000000">
      <w:pPr>
        <w:pStyle w:val="Teksttreci20"/>
        <w:shd w:val="clear" w:color="auto" w:fill="auto"/>
        <w:spacing w:line="288" w:lineRule="exact"/>
        <w:jc w:val="both"/>
      </w:pPr>
      <w:r>
        <w:t xml:space="preserve">Jednocześnie zgodnie z opinią GIOŚ dokonując rozszerzenia ustawy o kody CN wskazane w Państwa petycji należy wziąć pod uwagę rozporządzenie Ministra Klimatu z dnia 24 września 2020 r. w sprawie standardów emisyjnych dla niektórych rodzajów instalacji, źródeł spalania paliw oraz urządzeń spalania lub współspalania odpadów (Dz. U. z 2020 r. poz. 1860), które jest podstawą dla organów ochrony środowiska do ustalania warunków wprowadzenia gazów lub pyłów do powietrza, ze spalania paliw, w pozwoleniach na wprowadzanie gazów lub pyłów do powietrza lub pozwoleniach zintegrowanych. Dodatkowo podniesiono, że ww. rozporządzenie nie dotyczy olejów ciężkich zaproponowanych przez </w:t>
      </w:r>
      <w:proofErr w:type="spellStart"/>
      <w:r>
        <w:t>POPiHN</w:t>
      </w:r>
      <w:proofErr w:type="spellEnd"/>
      <w:r>
        <w:t>.</w:t>
      </w:r>
      <w:r>
        <w:br w:type="page"/>
      </w:r>
    </w:p>
    <w:p w14:paraId="7EB583E7" w14:textId="77777777" w:rsidR="008C6824" w:rsidRDefault="00000000">
      <w:pPr>
        <w:pStyle w:val="Teksttreci20"/>
        <w:shd w:val="clear" w:color="auto" w:fill="auto"/>
        <w:spacing w:after="280" w:line="288" w:lineRule="exact"/>
        <w:jc w:val="both"/>
      </w:pPr>
      <w:r>
        <w:lastRenderedPageBreak/>
        <w:t>Kolejny postulat wnioskodawcy dotyczy konieczności objęcia segmentu paliw kolejowych, a dokładnie stacji paliwowych i zakładowych ustawą o systemie monitorowania i kontrolowania jakości paliw poprzez ujęcie w tej ustawie pojazdów kolejowych.</w:t>
      </w:r>
    </w:p>
    <w:p w14:paraId="14923619" w14:textId="77777777" w:rsidR="008C6824" w:rsidRDefault="00000000">
      <w:pPr>
        <w:pStyle w:val="Teksttreci20"/>
        <w:shd w:val="clear" w:color="auto" w:fill="auto"/>
        <w:spacing w:after="280" w:line="288" w:lineRule="exact"/>
        <w:jc w:val="both"/>
      </w:pPr>
      <w:r>
        <w:t>Zgodnie definicją ustawy, o której mowa w art. 2 ust. 1 pkt 18) i pkt 19), stacja paliwowa to zespół urządzeń służących do zaopatrywania przez przedsiębiorcę w paliwa w szczególności pojazdów, w tym ciągników rolniczych, maszyn nieporuszających się o drogach, a także rekreacyjnych jednostek pływających, natomiast stacja zakładowa to zespół urządzeń należących do przedsiębiorcy, służących do zaopatrywania w paliwa w szczególności pojazdów, w tym ciągników rolniczych, maszyn nieporuszających się po drogach, rekreacyjnych jednostek pływających, a także wybranych flot, przez niego używanych.</w:t>
      </w:r>
    </w:p>
    <w:p w14:paraId="48321641" w14:textId="77777777" w:rsidR="008C6824" w:rsidRDefault="00000000">
      <w:pPr>
        <w:pStyle w:val="Teksttreci20"/>
        <w:shd w:val="clear" w:color="auto" w:fill="auto"/>
        <w:spacing w:after="280" w:line="288" w:lineRule="exact"/>
        <w:jc w:val="both"/>
      </w:pPr>
      <w:r>
        <w:t>W opinii UOKiK stacja paliw oraz stacja zakładowa prowadzona przez przedsiębiorcę, o którym mowa w art. 2 ust. 1 pkt a) ustawy, i posiadająca w swej ofercie olej napędowy, o którym mowa w § 1 pkt 3) rozporządzenia Ministra Gospodarki z dnia 9 października 2015 r. w sprawie wymagań jakościowych dla paliw ciekłych (Dz. U. z 2015, poz. 1680), jest wpisana do wykazu stacji paliwowych oraz stacji zakładowych prowadzonego przez Prezesa UOKiK oraz podlega ona kontroli. Natomiast w przypadku stacji, które będą służyły wyłącznie zaopatrywaniu pojazdów kolejowych poruszających się po szynach konieczne jest zmiana przepisów ustawy o systemie monitorowania i kontrolowania jakości paliw. Ponadto wskazano, że zasadne jest również opracowanie przepisów dotyczących wymagań jakościowych, metod badań, jak również sposobu pobierania próbek tych paliw.</w:t>
      </w:r>
    </w:p>
    <w:p w14:paraId="448C85CB" w14:textId="77777777" w:rsidR="008C6824" w:rsidRDefault="00000000">
      <w:pPr>
        <w:pStyle w:val="Teksttreci20"/>
        <w:shd w:val="clear" w:color="auto" w:fill="auto"/>
        <w:spacing w:after="735" w:line="288" w:lineRule="exact"/>
        <w:jc w:val="both"/>
      </w:pPr>
      <w:r>
        <w:t>Mając na uwadze powyższe, informuję, że wszelkie inicjatywy wychodzące od Państwa są niezwykle cenne i godne pochylenia sią nad nimi. Niemniej jednak możliwość rozszerzenia w ustawie o systemie monitorowaniu i kontrolowaniu jakości paliw definicji ciężko oleju opałowego o ciężki olej opałowy o kodach CN 2707 99 99 oraz opcjonalnie o kodzie CN 2707 99 19 i CN 2707 99 91, a także rozszerzenie wymagań jakościowych na paliwa kolejowe poprzez ujęcie w tej ustawie pojazdów kolejowych wymaga dalszej analizy w celu podjęcia stosownych decyzji. Prace w tym zakresie zostały podjęte przez odpowiadający merytorycznie za ww. zagadnienia departament Ministerstwa Klimatu i Środowiska.</w:t>
      </w:r>
    </w:p>
    <w:p w14:paraId="5DF58FD7" w14:textId="77777777" w:rsidR="008C6824" w:rsidRDefault="00000000">
      <w:pPr>
        <w:pStyle w:val="Teksttreci40"/>
        <w:shd w:val="clear" w:color="auto" w:fill="auto"/>
        <w:spacing w:before="0" w:after="500"/>
        <w:ind w:left="4720"/>
        <w:jc w:val="left"/>
      </w:pPr>
      <w:r>
        <w:t>Z poważaniem</w:t>
      </w:r>
    </w:p>
    <w:p w14:paraId="309C15CE" w14:textId="77777777" w:rsidR="008C6824" w:rsidRDefault="00000000">
      <w:pPr>
        <w:pStyle w:val="Teksttreci40"/>
        <w:shd w:val="clear" w:color="auto" w:fill="auto"/>
        <w:spacing w:before="0" w:after="116"/>
        <w:ind w:left="4720"/>
        <w:jc w:val="left"/>
      </w:pPr>
      <w:r>
        <w:t>Z up. Ministra</w:t>
      </w:r>
    </w:p>
    <w:p w14:paraId="6EFD4C7C" w14:textId="77777777" w:rsidR="008C6824" w:rsidRDefault="00000000">
      <w:pPr>
        <w:pStyle w:val="Teksttreci20"/>
        <w:shd w:val="clear" w:color="auto" w:fill="auto"/>
        <w:spacing w:line="274" w:lineRule="exact"/>
        <w:ind w:left="4720" w:right="1000"/>
      </w:pPr>
      <w:r>
        <w:t>Piotr Dziadzio Podsekretarz Stanu Ministerstwo Klimatu i Środowiska / - podpisany cyfrowo/</w:t>
      </w:r>
    </w:p>
    <w:sectPr w:rsidR="008C6824">
      <w:type w:val="continuous"/>
      <w:pgSz w:w="11900" w:h="16840"/>
      <w:pgMar w:top="874" w:right="1377" w:bottom="1383" w:left="13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DA1E" w14:textId="77777777" w:rsidR="004C214C" w:rsidRDefault="004C214C">
      <w:r>
        <w:separator/>
      </w:r>
    </w:p>
  </w:endnote>
  <w:endnote w:type="continuationSeparator" w:id="0">
    <w:p w14:paraId="25EF476D" w14:textId="77777777" w:rsidR="004C214C" w:rsidRDefault="004C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49B8" w14:textId="77777777" w:rsidR="004C214C" w:rsidRDefault="004C214C"/>
  </w:footnote>
  <w:footnote w:type="continuationSeparator" w:id="0">
    <w:p w14:paraId="64366246" w14:textId="77777777" w:rsidR="004C214C" w:rsidRDefault="004C21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C6824"/>
    <w:rsid w:val="004C214C"/>
    <w:rsid w:val="008C6824"/>
    <w:rsid w:val="00BF2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D744A6"/>
  <w15:docId w15:val="{6DAC89D0-7D90-442B-818E-92141825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2"/>
      <w:szCs w:val="22"/>
      <w:u w:val="none"/>
    </w:rPr>
  </w:style>
  <w:style w:type="paragraph" w:customStyle="1" w:styleId="Teksttreci20">
    <w:name w:val="Tekst treści (2)"/>
    <w:basedOn w:val="Normalny"/>
    <w:link w:val="Teksttreci2"/>
    <w:pPr>
      <w:shd w:val="clear" w:color="auto" w:fill="FFFFFF"/>
      <w:spacing w:line="232" w:lineRule="exact"/>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after="14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244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2440" w:line="244" w:lineRule="exact"/>
      <w:jc w:val="both"/>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4287</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2022-10-21T12:29:00Z</dcterms:created>
  <dcterms:modified xsi:type="dcterms:W3CDTF">2022-10-21T12:29:00Z</dcterms:modified>
</cp:coreProperties>
</file>