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8195" w14:textId="737042C8" w:rsidR="00877BE4" w:rsidRDefault="00000000">
      <w:pPr>
        <w:pStyle w:val="Teksttreci20"/>
        <w:shd w:val="clear" w:color="auto" w:fill="auto"/>
        <w:ind w:firstLine="0"/>
        <w:sectPr w:rsidR="00877BE4">
          <w:pgSz w:w="11900" w:h="16840"/>
          <w:pgMar w:top="1450" w:right="1400" w:bottom="1608" w:left="7731" w:header="0" w:footer="3" w:gutter="0"/>
          <w:cols w:space="720"/>
          <w:noEndnote/>
          <w:docGrid w:linePitch="360"/>
        </w:sectPr>
      </w:pPr>
      <w:r>
        <w:t>Warszawa, dnia 25-07-2022 r.</w:t>
      </w:r>
    </w:p>
    <w:p w14:paraId="21F204D3" w14:textId="34BEF927" w:rsidR="00877BE4" w:rsidRDefault="00452FB5">
      <w:pPr>
        <w:spacing w:line="188" w:lineRule="exact"/>
        <w:rPr>
          <w:sz w:val="15"/>
          <w:szCs w:val="15"/>
        </w:rPr>
      </w:pPr>
      <w:r>
        <w:pict w14:anchorId="28094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8.85pt;margin-top:-57.7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5CAFE85E" w14:textId="77777777" w:rsidR="00877BE4" w:rsidRDefault="00877BE4">
      <w:pPr>
        <w:rPr>
          <w:sz w:val="2"/>
          <w:szCs w:val="2"/>
        </w:rPr>
        <w:sectPr w:rsidR="00877BE4">
          <w:type w:val="continuous"/>
          <w:pgSz w:w="11900" w:h="16840"/>
          <w:pgMar w:top="1431" w:right="0" w:bottom="1397" w:left="0" w:header="0" w:footer="3" w:gutter="0"/>
          <w:cols w:space="720"/>
          <w:noEndnote/>
          <w:docGrid w:linePitch="360"/>
        </w:sectPr>
      </w:pPr>
    </w:p>
    <w:p w14:paraId="6372568E" w14:textId="77777777" w:rsidR="00877BE4" w:rsidRDefault="00000000">
      <w:pPr>
        <w:pStyle w:val="Nagwek10"/>
        <w:keepNext/>
        <w:keepLines/>
        <w:shd w:val="clear" w:color="auto" w:fill="auto"/>
        <w:spacing w:after="530"/>
      </w:pPr>
      <w:bookmarkStart w:id="0" w:name="bookmark0"/>
      <w:r>
        <w:t>Minister Klimatu i Środowiska</w:t>
      </w:r>
      <w:bookmarkEnd w:id="0"/>
    </w:p>
    <w:p w14:paraId="346F81D1" w14:textId="77777777" w:rsidR="00877BE4" w:rsidRDefault="00000000">
      <w:pPr>
        <w:pStyle w:val="Teksttreci20"/>
        <w:shd w:val="clear" w:color="auto" w:fill="auto"/>
        <w:ind w:firstLine="0"/>
        <w:jc w:val="both"/>
      </w:pPr>
      <w:r>
        <w:t>DLŁ-WKO.053.11.2022.APR</w:t>
      </w:r>
    </w:p>
    <w:p w14:paraId="34D40EE9" w14:textId="77777777" w:rsidR="00877BE4" w:rsidRDefault="00000000">
      <w:pPr>
        <w:pStyle w:val="Teksttreci30"/>
        <w:shd w:val="clear" w:color="auto" w:fill="auto"/>
        <w:spacing w:after="2034"/>
      </w:pPr>
      <w:r>
        <w:t>2108092</w:t>
      </w:r>
      <w:r>
        <w:rPr>
          <w:rStyle w:val="Teksttreci35pt"/>
        </w:rPr>
        <w:t>.</w:t>
      </w:r>
      <w:r>
        <w:t>8025757.6432616</w:t>
      </w:r>
    </w:p>
    <w:p w14:paraId="464CCE45" w14:textId="77777777" w:rsidR="00877BE4" w:rsidRDefault="00000000">
      <w:pPr>
        <w:pStyle w:val="Teksttreci40"/>
        <w:shd w:val="clear" w:color="auto" w:fill="auto"/>
        <w:spacing w:before="0" w:after="342"/>
      </w:pPr>
      <w:r>
        <w:t>Szanowny Panie Prezesie,</w:t>
      </w:r>
    </w:p>
    <w:p w14:paraId="0B920DCD" w14:textId="77777777" w:rsidR="00877BE4" w:rsidRDefault="00000000">
      <w:pPr>
        <w:pStyle w:val="Teksttreci20"/>
        <w:shd w:val="clear" w:color="auto" w:fill="auto"/>
        <w:spacing w:after="200" w:line="379" w:lineRule="exact"/>
        <w:ind w:firstLine="0"/>
        <w:jc w:val="both"/>
      </w:pPr>
      <w:r>
        <w:t xml:space="preserve">w odpowiedzi na petycję z dnia 28 kwietnia 2022 r. w sprawie zmiany art. 31 ustawy z dnia 13 października 1995 r. - </w:t>
      </w:r>
      <w:r>
        <w:rPr>
          <w:rStyle w:val="Teksttreci2105ptKursywa"/>
        </w:rPr>
        <w:t>Prawo łowieckie</w:t>
      </w:r>
      <w:r>
        <w:t xml:space="preserve"> (Dz. U. z 2022 r. poz. 1173), zwanej dalej: </w:t>
      </w:r>
      <w:r>
        <w:rPr>
          <w:rStyle w:val="Teksttreci2105ptKursywa"/>
        </w:rPr>
        <w:t>Prawem łowieckim,</w:t>
      </w:r>
      <w:r>
        <w:t xml:space="preserve"> w zakresie podmiotu uprawnionego do pobierania należności z tytułu rozliczania czynszu dzierżawy obwodu łowieckiego, która została przekazana do tut. organu przez Zarząd Krajowej Rady Izb Rolniczych w dniu 19 maja 2022 r., za pismem znak: KRIR/JM/584/2022 informuję, że petycja została rozpatrzona negatywnie.</w:t>
      </w:r>
    </w:p>
    <w:p w14:paraId="7D28380D" w14:textId="77777777" w:rsidR="00877BE4" w:rsidRDefault="00000000">
      <w:pPr>
        <w:pStyle w:val="Teksttreci20"/>
        <w:shd w:val="clear" w:color="auto" w:fill="auto"/>
        <w:spacing w:after="200" w:line="379" w:lineRule="exact"/>
        <w:ind w:firstLine="0"/>
        <w:jc w:val="both"/>
      </w:pPr>
      <w:r>
        <w:t>W ramach uzasadnienia rozstrzygnięcia petycji, w odniesieniu do zasad rozliczania czynszu dzierżawnego za dzierżawę obwodów łowieckich w pierwszej kolejności należy wyjaśnić, że koła łowieckie są dzierżawcami obwodów łowieckich w zakresie możliwości wykonywania polowania na podstawie umów dzierżawy obwodów łowieckich, zawieranych na minimum 10 lat odpowiednio: z właściwym ze względu na miejsce położenia obwodu łowieckiego starostą (w przypadku obwodów polnych) lub dyrektorem regionalnej dyrekcji Lasów Państwowych (w przypadku obwodów leśnych).</w:t>
      </w:r>
    </w:p>
    <w:p w14:paraId="0AFB4EFA" w14:textId="77777777" w:rsidR="00877BE4" w:rsidRDefault="00000000">
      <w:pPr>
        <w:pStyle w:val="Teksttreci20"/>
        <w:shd w:val="clear" w:color="auto" w:fill="auto"/>
        <w:spacing w:after="200" w:line="379" w:lineRule="exact"/>
        <w:ind w:firstLine="0"/>
        <w:jc w:val="both"/>
      </w:pPr>
      <w:r>
        <w:t xml:space="preserve">Należy przy tym podkreślić, że nie jest to dzierżawa gruntu w rozumieniu ustawy z dnia 23 kwietnia 1964 r. - </w:t>
      </w:r>
      <w:r>
        <w:rPr>
          <w:rStyle w:val="Teksttreci2105ptKursywa"/>
        </w:rPr>
        <w:t>Kodeks cywilny</w:t>
      </w:r>
      <w:r>
        <w:t xml:space="preserve"> (Dz.U. z 2022 r. poz. 1360z </w:t>
      </w:r>
      <w:proofErr w:type="spellStart"/>
      <w:r>
        <w:t>późn</w:t>
      </w:r>
      <w:proofErr w:type="spellEnd"/>
      <w:r>
        <w:t>. zm.), lecz jedynie dzierżawa prawa do wykonywania polowania i prowadzenia na obszarze danego obwodu łowieckiego gospodarki zwierzętami łownymi, stanowiącymi własność Skarbu Państwa.</w:t>
      </w:r>
    </w:p>
    <w:p w14:paraId="661170DC" w14:textId="77777777" w:rsidR="00877BE4" w:rsidRDefault="0000000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>Z uwagi na powyższe, w ocenie tut. organu przyjęte rozwiązania prawne w zakresie rozliczania czynszu dzierżawnego między właściwe terytorialnie gminy i nadleśnictwa są właściwe i nie ma potrzeby wprowadzania zmian w tym zakresie. Trzeba równocześnie mieć świadomość, że podział tenuty dzierżawnej pomiędzy dużą liczbę właścicieli nieruchomości, położonych na terenie danego obwodu</w:t>
      </w:r>
      <w:r>
        <w:br w:type="page"/>
      </w:r>
      <w:r>
        <w:lastRenderedPageBreak/>
        <w:t>łowieckiego, w konsekwencji spowodowałby, że kwota przypadająca danemu właścicielowi nieruchomości nie byłaby istotna z punktu widzenia ekonomicznego.</w:t>
      </w:r>
    </w:p>
    <w:p w14:paraId="46238FEC" w14:textId="77777777" w:rsidR="00877BE4" w:rsidRDefault="00000000">
      <w:pPr>
        <w:pStyle w:val="Teksttreci20"/>
        <w:shd w:val="clear" w:color="auto" w:fill="auto"/>
        <w:spacing w:after="380" w:line="379" w:lineRule="exact"/>
        <w:ind w:firstLine="0"/>
        <w:jc w:val="both"/>
      </w:pPr>
      <w:r>
        <w:t xml:space="preserve">Dodatkowo podkreślenia wymaga fakt, że właściciele nieruchomości wchodzących w skład obwodu łowieckiego mają liczne uprawnienia, które funkcjonują od roku 2018. Zgodnie z obecnie obowiązującymi przepisami </w:t>
      </w:r>
      <w:r>
        <w:rPr>
          <w:rStyle w:val="Teksttreci2105ptKursywa"/>
        </w:rPr>
        <w:t>Prawa łowieckiego</w:t>
      </w:r>
      <w:r>
        <w:t xml:space="preserve"> mają oni możliwość brania czynnego udziału w stanowieniu obwodów łowieckich, mogą wyłączać swoje nieruchomości z obwodu łowieckiego, a także ustanawiać zakaz wykonywania polowania, jak również zgłosić sprzeciw do wójta burmistrza lub prezydenta miasta odnośnie do planowanych do wykonania polowań zbiorowych.</w:t>
      </w:r>
    </w:p>
    <w:p w14:paraId="5D552F11" w14:textId="77777777" w:rsidR="00877BE4" w:rsidRDefault="00000000">
      <w:pPr>
        <w:pStyle w:val="Teksttreci20"/>
        <w:shd w:val="clear" w:color="auto" w:fill="auto"/>
        <w:spacing w:after="194" w:line="379" w:lineRule="exact"/>
        <w:ind w:firstLine="0"/>
        <w:jc w:val="both"/>
      </w:pPr>
      <w:r>
        <w:t xml:space="preserve">Odnosząc się do pozostałych zagadnień wskazanych w petycji należy wyjaśnić, że kwestie dotyczące wyłonienia nowego dzierżawcy danego obwodu łowieckiego zostały uregulowane w rozporządzeniu Ministra Klimatu i Środowiska z dnia 18 stycznia 2021 r. </w:t>
      </w:r>
      <w:r>
        <w:rPr>
          <w:rStyle w:val="Teksttreci2105ptKursywa"/>
        </w:rPr>
        <w:t xml:space="preserve">w sprawie trybu składania i rozpatrywania wniosków o dzierżawę obwodów łowieckich oraz kryteriów oceny tych wniosków i wnioskodawców </w:t>
      </w:r>
      <w:r>
        <w:t>(Dz. U. z 2021 r., poz. 139). Zgodnie ze wskazanym rozporządzeniem oceny wniosków o dzierżawę obwodu łowieckiego dokonuje co najmniej trzyosobowa komisja powoływana przez zarząd okręgowy Polskiego Związku Łowieckiego, w skład której wchodzi łowczy okręgowy, członek Naczelnej Rady Łowieckiej z danego okręgu albo jego zastępca, albo delegat na Krajowy Zjazd Delegatów Polskiego Związku Łowieckiego, który otrzymał największą liczbę głosów, oraz członek Polskiego Związku Łowieckiego wyznaczony przez łowczego okręgowego. Ponadto w pracach komisji, na prawach jej członka, może uczestniczyć po jednym przedstawicielu wyznaczonym przez wydzierżawiającego oraz właściwą izbę rolniczą. Rozporządzenie wprowadza szczegółowe kryteria i jednoznaczny sposób oceny dzierżawcy obwodu łowieckiego tak, aby możliwym było dokonanie kompleksowej, rzetelnej i pozbawionej uznaniowości oceny wnioskodawców, a w konsekwencji zapewnienie możliwości dzierżawy obwodów łowieckich tym dzierżawcom, którzy dają najwyższe gwarancje właściwego realizowania ustawowo nałożonych zadań, w tym zadań istotnych z punktu widzenia rolników, tj. gospodarki łowieckiej.</w:t>
      </w:r>
    </w:p>
    <w:p w14:paraId="27FB9351" w14:textId="77777777" w:rsidR="00877BE4" w:rsidRDefault="00000000">
      <w:pPr>
        <w:pStyle w:val="Teksttreci40"/>
        <w:shd w:val="clear" w:color="auto" w:fill="auto"/>
        <w:spacing w:before="0" w:after="1324" w:line="787" w:lineRule="exact"/>
        <w:ind w:left="4720" w:right="2540"/>
        <w:jc w:val="left"/>
      </w:pPr>
      <w:r>
        <w:t xml:space="preserve">Z wyrazami szacunku </w:t>
      </w:r>
      <w:r>
        <w:rPr>
          <w:rStyle w:val="Teksttreci412pt"/>
          <w:i/>
          <w:iCs/>
        </w:rPr>
        <w:t>Z up. Ministra</w:t>
      </w:r>
    </w:p>
    <w:p w14:paraId="794F52BA" w14:textId="77777777" w:rsidR="00877BE4" w:rsidRDefault="00000000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7325B4A2" w14:textId="77777777" w:rsidR="00877BE4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0"/>
        </w:tabs>
        <w:ind w:firstLine="0"/>
        <w:jc w:val="both"/>
      </w:pPr>
      <w:r>
        <w:t xml:space="preserve">Krajowa Rada Izb Rolniczych; adres elektroniczny: </w:t>
      </w:r>
      <w:hyperlink r:id="rId8" w:history="1">
        <w:r>
          <w:rPr>
            <w:rStyle w:val="Teksttreci21"/>
          </w:rPr>
          <w:t>sekretariat@,</w:t>
        </w:r>
        <w:proofErr w:type="spellStart"/>
        <w:r>
          <w:rPr>
            <w:rStyle w:val="Teksttreci21"/>
          </w:rPr>
          <w:t>krir,pl</w:t>
        </w:r>
        <w:proofErr w:type="spellEnd"/>
      </w:hyperlink>
      <w:r>
        <w:t>.</w:t>
      </w:r>
    </w:p>
    <w:p w14:paraId="088FAFDA" w14:textId="77777777" w:rsidR="00877BE4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0"/>
        </w:tabs>
        <w:ind w:firstLine="0"/>
        <w:jc w:val="both"/>
      </w:pPr>
      <w:r>
        <w:t>Biuro Kontroli i Audytu w Ministerstwie Klimatu i Środowiska.</w:t>
      </w:r>
    </w:p>
    <w:p w14:paraId="0B5A018F" w14:textId="77777777" w:rsidR="00877BE4" w:rsidRDefault="00000000">
      <w:pPr>
        <w:pStyle w:val="Nagwek20"/>
        <w:keepNext/>
        <w:keepLines/>
        <w:shd w:val="clear" w:color="auto" w:fill="auto"/>
        <w:spacing w:before="0" w:after="298"/>
      </w:pPr>
      <w:bookmarkStart w:id="2" w:name="bookmark2"/>
      <w:r>
        <w:rPr>
          <w:rStyle w:val="Nagwek21"/>
          <w:b/>
          <w:bCs/>
        </w:rPr>
        <w:t>Klauzula informacyjna:</w:t>
      </w:r>
      <w:bookmarkEnd w:id="2"/>
    </w:p>
    <w:p w14:paraId="16FA89BE" w14:textId="77777777" w:rsidR="00877BE4" w:rsidRDefault="00000000">
      <w:pPr>
        <w:pStyle w:val="Teksttreci20"/>
        <w:shd w:val="clear" w:color="auto" w:fill="auto"/>
        <w:spacing w:after="296" w:line="235" w:lineRule="exact"/>
        <w:ind w:firstLine="0"/>
        <w:jc w:val="both"/>
      </w:pPr>
      <w:r>
        <w:t xml:space="preserve">Zgodnie z art. 13 ust. 1 i 2 ogólnego rozporządzenia o ochronie danych osobowych z dnia 27 kwietnia 2016 r. </w:t>
      </w:r>
      <w:r>
        <w:lastRenderedPageBreak/>
        <w:t>informujemy, że:</w:t>
      </w:r>
    </w:p>
    <w:p w14:paraId="2482F9BE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Administratorem danych osobowych osób wnoszących sprawy z zakresu petycji jest Minister Klimatu i Środowiska z siedzibą w Warszawie ul. Wawelska 52/54, 00-922.</w:t>
      </w:r>
    </w:p>
    <w:p w14:paraId="4FB3BEF2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 xml:space="preserve">Kontakt z Inspektorem Ochrony Danych jest możliwy pod adresem email: </w:t>
      </w:r>
      <w:hyperlink r:id="rId9" w:history="1">
        <w:r>
          <w:rPr>
            <w:lang w:val="en-US" w:eastAsia="en-US" w:bidi="en-US"/>
          </w:rPr>
          <w:t>inspektor.ochrony.danych@klimat.gov.pl</w:t>
        </w:r>
      </w:hyperlink>
    </w:p>
    <w:p w14:paraId="3DB12A59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Będziemy przetwarzać dane osobowe osób wnoszących sprawy z zakresu petycji w celu rozpatrzenia tych spraw, na podstawie Art. 6 ust. 1 lit. c ogólnego rozporządzenia o ochronie danych osobowych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50B26967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Dane osobowe osób wnoszących sprawy z zakresu petycji będziemy przechowywać przez okres do 25 lat.</w:t>
      </w:r>
    </w:p>
    <w:p w14:paraId="678282C9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Odbiorcami danych mogą być podmioty świadczące usługi pocztowe i informatyczne na rzecz Ministerstwa.</w:t>
      </w:r>
    </w:p>
    <w:p w14:paraId="14E04837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Osoby wnoszące sprawy z zakresu skarg, wniosków oraz petycji mają prawo do:</w:t>
      </w:r>
    </w:p>
    <w:p w14:paraId="7B3F2EBC" w14:textId="77777777" w:rsidR="00877BE4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żądania od administratora dostępu do danych osobowych oraz otrzymania ich kopii,</w:t>
      </w:r>
    </w:p>
    <w:p w14:paraId="41F0CA73" w14:textId="77777777" w:rsidR="00877BE4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sprostowania danych osobowych,</w:t>
      </w:r>
    </w:p>
    <w:p w14:paraId="4D9363D6" w14:textId="77777777" w:rsidR="00877BE4" w:rsidRDefault="00000000">
      <w:pPr>
        <w:pStyle w:val="Teksttreci20"/>
        <w:numPr>
          <w:ilvl w:val="0"/>
          <w:numId w:val="3"/>
        </w:numPr>
        <w:shd w:val="clear" w:color="auto" w:fill="auto"/>
        <w:tabs>
          <w:tab w:val="left" w:pos="1480"/>
        </w:tabs>
        <w:spacing w:line="240" w:lineRule="exact"/>
        <w:ind w:left="1120" w:firstLine="0"/>
      </w:pPr>
      <w:r>
        <w:t>wniesienia sprzeciwu wobec przetwarzania danych osobowych.</w:t>
      </w:r>
    </w:p>
    <w:p w14:paraId="2A69DC37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spacing w:line="240" w:lineRule="exact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3A31EACB" w14:textId="77777777" w:rsidR="00877BE4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59"/>
        </w:tabs>
        <w:ind w:left="760"/>
        <w:jc w:val="both"/>
      </w:pPr>
      <w:r>
        <w:t>Podanie danych osobowych jest wymogiem ustawowym.</w:t>
      </w:r>
    </w:p>
    <w:sectPr w:rsidR="00877BE4">
      <w:type w:val="continuous"/>
      <w:pgSz w:w="11900" w:h="16840"/>
      <w:pgMar w:top="1431" w:right="1379" w:bottom="1397" w:left="13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8F3C" w14:textId="77777777" w:rsidR="00B27CBB" w:rsidRDefault="00B27CBB">
      <w:r>
        <w:separator/>
      </w:r>
    </w:p>
  </w:endnote>
  <w:endnote w:type="continuationSeparator" w:id="0">
    <w:p w14:paraId="1C972ECD" w14:textId="77777777" w:rsidR="00B27CBB" w:rsidRDefault="00B2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A854" w14:textId="77777777" w:rsidR="00B27CBB" w:rsidRDefault="00B27CBB"/>
  </w:footnote>
  <w:footnote w:type="continuationSeparator" w:id="0">
    <w:p w14:paraId="477D691C" w14:textId="77777777" w:rsidR="00B27CBB" w:rsidRDefault="00B27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7C15"/>
    <w:multiLevelType w:val="multilevel"/>
    <w:tmpl w:val="F3BABE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780C96"/>
    <w:multiLevelType w:val="multilevel"/>
    <w:tmpl w:val="3488B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933FA7"/>
    <w:multiLevelType w:val="multilevel"/>
    <w:tmpl w:val="713C846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9344935">
    <w:abstractNumId w:val="0"/>
  </w:num>
  <w:num w:numId="2" w16cid:durableId="1179391346">
    <w:abstractNumId w:val="1"/>
  </w:num>
  <w:num w:numId="3" w16cid:durableId="45235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BE4"/>
    <w:rsid w:val="00452FB5"/>
    <w:rsid w:val="00877BE4"/>
    <w:rsid w:val="00B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6D15D"/>
  <w15:docId w15:val="{7CEBAA3F-2BF5-46E9-8DD3-69435B0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105ptKursywa">
    <w:name w:val="Tekst treści (2) + 10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06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60" w:after="46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80" w:line="232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ir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2022-07-28T12:45:00Z</dcterms:created>
  <dcterms:modified xsi:type="dcterms:W3CDTF">2022-07-28T12:46:00Z</dcterms:modified>
</cp:coreProperties>
</file>