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83158" w14:textId="19105125" w:rsidR="002414BC" w:rsidRDefault="00BE4027" w:rsidP="0090479C">
      <w:pPr>
        <w:pStyle w:val="Nagwek10"/>
        <w:keepNext/>
        <w:keepLines/>
        <w:shd w:val="clear" w:color="auto" w:fill="auto"/>
        <w:ind w:firstLine="560"/>
      </w:pPr>
      <w:bookmarkStart w:id="0" w:name="bookmark0"/>
      <w:r>
        <w:rPr>
          <w:rStyle w:val="Nagwek11"/>
        </w:rPr>
        <w:t xml:space="preserve"> </w:t>
      </w:r>
      <w:r>
        <w:t>Ministerstwo</w:t>
      </w:r>
      <w:bookmarkEnd w:id="0"/>
    </w:p>
    <w:p w14:paraId="7779E56A" w14:textId="77777777" w:rsidR="002414BC" w:rsidRDefault="00BE4027">
      <w:pPr>
        <w:pStyle w:val="Nagwek10"/>
        <w:keepNext/>
        <w:keepLines/>
        <w:shd w:val="clear" w:color="auto" w:fill="auto"/>
        <w:spacing w:after="135"/>
        <w:ind w:left="560"/>
        <w:jc w:val="left"/>
      </w:pPr>
      <w:bookmarkStart w:id="1" w:name="bookmark1"/>
      <w:r>
        <w:t>Klimatu i Środowiska</w:t>
      </w:r>
      <w:bookmarkEnd w:id="1"/>
    </w:p>
    <w:p w14:paraId="1A631BA8" w14:textId="77777777" w:rsidR="002414BC" w:rsidRDefault="00BE4027">
      <w:pPr>
        <w:pStyle w:val="Teksttreci30"/>
        <w:shd w:val="clear" w:color="auto" w:fill="auto"/>
        <w:spacing w:before="0" w:after="262"/>
        <w:ind w:left="560"/>
      </w:pPr>
      <w:r>
        <w:t>Departament Ochrony Przyrody</w:t>
      </w:r>
    </w:p>
    <w:p w14:paraId="6728B127" w14:textId="77777777" w:rsidR="002414BC" w:rsidRDefault="00BE4027">
      <w:pPr>
        <w:pStyle w:val="Teksttreci20"/>
        <w:shd w:val="clear" w:color="auto" w:fill="auto"/>
        <w:tabs>
          <w:tab w:val="left" w:pos="6048"/>
        </w:tabs>
        <w:spacing w:before="0" w:after="126"/>
      </w:pPr>
      <w:r>
        <w:t>DOP-WOŚ.053.1.2022.IŁ</w:t>
      </w:r>
      <w:r>
        <w:tab/>
        <w:t>Warszawa, dnia 09-06-2022 r.</w:t>
      </w:r>
    </w:p>
    <w:p w14:paraId="1F211D0E" w14:textId="77777777" w:rsidR="002414BC" w:rsidRDefault="00BE4027">
      <w:pPr>
        <w:pStyle w:val="Teksttreci40"/>
        <w:shd w:val="clear" w:color="auto" w:fill="auto"/>
        <w:spacing w:before="0" w:after="2674"/>
      </w:pPr>
      <w:r>
        <w:t>2093669</w:t>
      </w:r>
      <w:r>
        <w:rPr>
          <w:rStyle w:val="Teksttreci45pt"/>
        </w:rPr>
        <w:t>.</w:t>
      </w:r>
      <w:r>
        <w:t>7700133.6182559</w:t>
      </w:r>
    </w:p>
    <w:p w14:paraId="54646D8A" w14:textId="77777777" w:rsidR="002414BC" w:rsidRDefault="00BE4027">
      <w:pPr>
        <w:pStyle w:val="Teksttreci50"/>
        <w:shd w:val="clear" w:color="auto" w:fill="auto"/>
        <w:spacing w:before="0" w:after="155"/>
      </w:pPr>
      <w:r>
        <w:t>Szanowny Panie Prezesie,</w:t>
      </w:r>
    </w:p>
    <w:p w14:paraId="2BCB1D9A" w14:textId="77777777" w:rsidR="002414BC" w:rsidRDefault="00BE4027">
      <w:pPr>
        <w:pStyle w:val="Teksttreci20"/>
        <w:shd w:val="clear" w:color="auto" w:fill="auto"/>
        <w:spacing w:before="0" w:line="288" w:lineRule="exact"/>
        <w:ind w:firstLine="740"/>
      </w:pPr>
      <w:r>
        <w:t xml:space="preserve">odpowiadając na pismo z dnia 5 maja 2022 r., znak: L. dz. </w:t>
      </w:r>
      <w:r>
        <w:t>ŚIR/K/080/5/2022, dotyczące rozszerzenia odpowiedzialności Skarbu Państwa za szkody powodowane przez krukowate (kruki, wrony i gawrony), przedstawiam następujące informacje.</w:t>
      </w:r>
    </w:p>
    <w:p w14:paraId="2A3B67F3" w14:textId="77777777" w:rsidR="002414BC" w:rsidRDefault="00BE4027">
      <w:pPr>
        <w:pStyle w:val="Teksttreci20"/>
        <w:shd w:val="clear" w:color="auto" w:fill="auto"/>
        <w:spacing w:before="0" w:line="288" w:lineRule="exact"/>
        <w:ind w:firstLine="740"/>
      </w:pPr>
      <w:r>
        <w:t>Na podstawie art. 126 ust. 1 ustawy o ochronie przyrody (Dz. U. z 2022 r. poz. 916</w:t>
      </w:r>
      <w:r>
        <w:t>) Skarb Państwa odpowiada za szkody wyrządzone przez żubry, wilki, rysie, niedźwiedzie i bobry. Oględzin i szacowania szkód, a także ustalania wysokości odszkodowania i jego wypłaty dokonuje regionalny dyrektor ochrony środowiska, a na obszarze parku narod</w:t>
      </w:r>
      <w:r>
        <w:t>owego dyrektor tego parku. Zgodnie z art. 126 ust. 11 ustawy o ochronie przyrody, minister właściwy ds. środowiska w porozumieniu z ministrem właściwym do spraw rolnictwa i rybołówstwa określił w drodze rozporządzenia tryb postępowania przy szacowaniu szkó</w:t>
      </w:r>
      <w:r>
        <w:t xml:space="preserve">d oraz sposób wypłaty odszkodowania za szkody, o których mowa w ust. 1, a także wzory dokumentów dotyczących szacowania szkód i wyliczania odszkodowań oraz terminy zgłoszenia i szacowania szkody, kierując się potrzebą dokonywania oceny rzeczywistej szkody </w:t>
      </w:r>
      <w:r>
        <w:t>oraz przyjęcia wysokości wyceny szkody według cen rynkowych.</w:t>
      </w:r>
    </w:p>
    <w:p w14:paraId="440FA84C" w14:textId="77777777" w:rsidR="002414BC" w:rsidRDefault="00BE4027">
      <w:pPr>
        <w:pStyle w:val="Teksttreci20"/>
        <w:shd w:val="clear" w:color="auto" w:fill="auto"/>
        <w:spacing w:before="0" w:after="96" w:line="288" w:lineRule="exact"/>
        <w:ind w:firstLine="740"/>
      </w:pPr>
      <w:r>
        <w:t>Należy zauważyć, że niezbędnym elementem rozszerzenia listy gatunków, o których mowa w art. 126 ustawy o ochronie przyrody, jest wcześniejsze przygotowanie metodyk szacowania szkód dla konkretnyc</w:t>
      </w:r>
      <w:r>
        <w:t>h gatunków, gdyż zgodnie z art. 126 ust. 11 ustawy o ochronie przyrody, tryb postępowania przy szacowaniu szkód musi umożliwiać szacowanie szkód, dokonywanie wyliczeń odszkodowań, wskazywać terminy zgłoszenia i szacowania szkody „</w:t>
      </w:r>
      <w:r>
        <w:rPr>
          <w:rStyle w:val="Teksttreci2Kursywa"/>
        </w:rPr>
        <w:t>kierując się potrzebą doko</w:t>
      </w:r>
      <w:r>
        <w:rPr>
          <w:rStyle w:val="Teksttreci2Kursywa"/>
        </w:rPr>
        <w:t>nywania oceny rzeczywistej szkody oraz przyjęcia wysokości wyceny szkody według cen rynkowych</w:t>
      </w:r>
      <w:r>
        <w:t xml:space="preserve">”. Trudność opracowania obiektywnych metodyk oceny rzeczywistej szkody wynika z faktu, iż przy szacowaniu szkód wyrządzonych przez ptaki na polach uprawnych nawet </w:t>
      </w:r>
      <w:r>
        <w:t>zmiana warunków atmosferycznych (w szczególności wystąpienie opadów) może istotnie utrudnić, a nawet uniemożliwić, wskazanie gatunku odpowiedzialnego za spowodowanie szkód — głównie z uwagi na często znaczną rotację stad, a także obecność gatunków nieżeruj</w:t>
      </w:r>
      <w:r>
        <w:t>ących na zasiewach. Wymienione powyżej kwestie powodują, że oszacowanie szkody i udowodnienie, iż została ona wyrządzona przez konkretny gatunek objęty ochroną gatunkową, za którego wyrządzone szkody przysługuje odszkodowanie, jest niezwykle trudne, a w ni</w:t>
      </w:r>
      <w:r>
        <w:t>ektórych przypadkach może być niemożliwe. Warto w tym miejscu zauważyć, że szkody spowodowane przez gatunki obecnie wymienione w art. 126 ustawy o ochronie przyrody są stosunkowo trwałe, a ich skutki i zakres można ocenić nawet po upływie kilku, kilkunastu</w:t>
      </w:r>
      <w:r>
        <w:t xml:space="preserve"> dni.</w:t>
      </w:r>
    </w:p>
    <w:p w14:paraId="27B84F57" w14:textId="77777777" w:rsidR="002414BC" w:rsidRDefault="00BE4027">
      <w:pPr>
        <w:pStyle w:val="Teksttreci20"/>
        <w:shd w:val="clear" w:color="auto" w:fill="auto"/>
        <w:spacing w:before="0" w:after="339" w:line="293" w:lineRule="exact"/>
        <w:jc w:val="right"/>
      </w:pPr>
      <w:r>
        <w:t>Jednocześnie należy zauważyć, że na podstawie orzeczenia Trybunału Konstytucyjnego z 28 września 2015 r. sygn. akt K 20/14, obowiązująca regulacja w zakresie zasad odpowiedzialności</w:t>
      </w:r>
    </w:p>
    <w:p w14:paraId="64C88D60" w14:textId="77777777" w:rsidR="002414BC" w:rsidRDefault="00BE4027">
      <w:pPr>
        <w:pStyle w:val="Teksttreci60"/>
        <w:shd w:val="clear" w:color="auto" w:fill="auto"/>
        <w:spacing w:before="0"/>
        <w:ind w:right="80"/>
        <w:sectPr w:rsidR="002414BC">
          <w:footerReference w:type="default" r:id="rId6"/>
          <w:pgSz w:w="11900" w:h="16840"/>
          <w:pgMar w:top="1028" w:right="1380" w:bottom="567" w:left="1308" w:header="0" w:footer="3" w:gutter="0"/>
          <w:cols w:space="720"/>
          <w:noEndnote/>
          <w:titlePg/>
          <w:docGrid w:linePitch="360"/>
        </w:sectPr>
      </w:pPr>
      <w:r>
        <w:t xml:space="preserve">ul. Wawelska 52/54, 00-922 Warszawa; tel. (22) 36-92-479, faks (22) 36-91-159, </w:t>
      </w:r>
      <w:hyperlink r:id="rId7" w:history="1">
        <w:r>
          <w:rPr>
            <w:lang w:val="en-US" w:eastAsia="en-US" w:bidi="en-US"/>
          </w:rPr>
          <w:t>www.gov.pl/klimat</w:t>
        </w:r>
      </w:hyperlink>
      <w:r>
        <w:rPr>
          <w:lang w:val="en-US" w:eastAsia="en-US" w:bidi="en-US"/>
        </w:rPr>
        <w:br/>
      </w:r>
      <w:r>
        <w:t xml:space="preserve">Działamy zgodnie z EMAS </w:t>
      </w:r>
      <w:r>
        <w:t>- zarządzając instytucją dbamy o środowisko</w:t>
      </w:r>
    </w:p>
    <w:p w14:paraId="7CE494BB" w14:textId="77777777" w:rsidR="002414BC" w:rsidRDefault="00BE4027">
      <w:pPr>
        <w:pStyle w:val="Teksttreci20"/>
        <w:shd w:val="clear" w:color="auto" w:fill="auto"/>
        <w:spacing w:before="0" w:after="120" w:line="288" w:lineRule="exact"/>
      </w:pPr>
      <w:r>
        <w:lastRenderedPageBreak/>
        <w:t>Skarbu Państwa za szkody powodowane przez 5 gatunków zwierząt (żubry, wilki, niedźwiedzie, rysie i bobry) jest zgodna z art. 32 ust. 1 i art. 64 ust. 2 Konstytucji RP. Ponadto, w orzeczeniu z 21 lipca 2014 r. syg</w:t>
      </w:r>
      <w:r>
        <w:t>n. akt K 36/13 Trybunał Konstytucyjny opowiedział się przeciwko całkowitej automatyzacji refundacji szkód, zwracając uwagę, że działania odszkodowawcze Skarbu Państwa winny być powiązane z oceną działań prewencyjnych podejmowanych przez właścicieli i posia</w:t>
      </w:r>
      <w:r>
        <w:t>daczy mienia, w którym zaistniała szkoda. Trybunał Konstytucyjny wskazał również, że działania zapobiegawcze „</w:t>
      </w:r>
      <w:r>
        <w:rPr>
          <w:rStyle w:val="Teksttreci2Kursywa"/>
        </w:rPr>
        <w:t>pozwalają (...) z jednej strony na ochronę zagrożonych gatunków, które mogą swobodnie występować w formie dziko żyjącej, z drugiej zaś zapobiegają</w:t>
      </w:r>
      <w:r>
        <w:rPr>
          <w:rStyle w:val="Teksttreci2Kursywa"/>
        </w:rPr>
        <w:t xml:space="preserve"> powstawaniu szkód w gospodarce człowieka lub je minimalizują. W połączeniu z istniejącymi zasadami odpowiedzialności Skarbu Państwa za szkody wyrządzone przez określone gatunki zwierząt chronionych jest to rozwiązanie realizujące standardy konstytucyjne</w:t>
      </w:r>
      <w:r>
        <w:t>”.</w:t>
      </w:r>
    </w:p>
    <w:p w14:paraId="682AC99C" w14:textId="77777777" w:rsidR="002414BC" w:rsidRDefault="00BE4027">
      <w:pPr>
        <w:pStyle w:val="Teksttreci20"/>
        <w:shd w:val="clear" w:color="auto" w:fill="auto"/>
        <w:spacing w:before="0" w:after="0" w:line="288" w:lineRule="exact"/>
        <w:ind w:firstLine="680"/>
      </w:pPr>
      <w:r>
        <w:t>Obecnie w ramach działań prewencyjnych, na podstawie art. 56 ust. 2 pkt 2 ustawy o ochronie przyrody, regionalni dyrektorzy ochrony środowiska, na wniosek podmiotów, w których interesie jest zminimalizowanie szkód, wydają zezwolenia m.in. na płoszenie i n</w:t>
      </w:r>
      <w:r>
        <w:t>iepokojenie osobników gatunków objętych ochroną oraz na eliminację osobników gatunków objętych ochroną częściową. Generalny Dyrektor Ochrony Środowiska może wydać zezwolenie na eliminację osobników gatunków objętych ochroną ścisłą. Ww. pozwolenia są wydawa</w:t>
      </w:r>
      <w:r>
        <w:t>ne po spełnieniu wymagań określonych w art. 56 ust. 4 ustawy o ochronie przyrody, przy czym pozwolenia te nie mają charakteru nakazowego. Wnioskodawca może więc wykorzystać ewentualną, udzieloną derogację w całości lub w części, jednak nie ma takiego obowi</w:t>
      </w:r>
      <w:r>
        <w:t xml:space="preserve">ązku. W przypadku płoszenia wskazać należy, że niezwykle istotne jest dokładnie zaplanowanie takich działań i dopasowanie ich do warunków lokalnych. Zgodnie z publikacją: </w:t>
      </w:r>
      <w:proofErr w:type="spellStart"/>
      <w:r>
        <w:rPr>
          <w:rStyle w:val="Teksttreci2Kursywa"/>
        </w:rPr>
        <w:t>Review</w:t>
      </w:r>
      <w:proofErr w:type="spellEnd"/>
      <w:r>
        <w:rPr>
          <w:rStyle w:val="Teksttreci2Kursywa"/>
        </w:rPr>
        <w:t xml:space="preserve"> of </w:t>
      </w:r>
      <w:proofErr w:type="spellStart"/>
      <w:r>
        <w:rPr>
          <w:rStyle w:val="Teksttreci2Kursywa"/>
        </w:rPr>
        <w:t>international</w:t>
      </w:r>
      <w:proofErr w:type="spellEnd"/>
      <w:r>
        <w:rPr>
          <w:rStyle w:val="Teksttreci2Kursywa"/>
        </w:rPr>
        <w:t xml:space="preserve"> </w:t>
      </w:r>
      <w:proofErr w:type="spellStart"/>
      <w:r>
        <w:rPr>
          <w:rStyle w:val="Teksttreci2Kursywa"/>
        </w:rPr>
        <w:t>research</w:t>
      </w:r>
      <w:proofErr w:type="spellEnd"/>
      <w:r>
        <w:rPr>
          <w:rStyle w:val="Teksttreci2Kursywa"/>
        </w:rPr>
        <w:t xml:space="preserve"> </w:t>
      </w:r>
      <w:proofErr w:type="spellStart"/>
      <w:r>
        <w:rPr>
          <w:rStyle w:val="Teksttreci2Kursywa"/>
        </w:rPr>
        <w:t>literature</w:t>
      </w:r>
      <w:proofErr w:type="spellEnd"/>
      <w:r>
        <w:rPr>
          <w:rStyle w:val="Teksttreci2Kursywa"/>
        </w:rPr>
        <w:t xml:space="preserve"> </w:t>
      </w:r>
      <w:proofErr w:type="spellStart"/>
      <w:r>
        <w:rPr>
          <w:rStyle w:val="Teksttreci2Kursywa"/>
        </w:rPr>
        <w:t>regarding</w:t>
      </w:r>
      <w:proofErr w:type="spellEnd"/>
      <w:r>
        <w:rPr>
          <w:rStyle w:val="Teksttreci2Kursywa"/>
        </w:rPr>
        <w:t xml:space="preserve"> the </w:t>
      </w:r>
      <w:proofErr w:type="spellStart"/>
      <w:r>
        <w:rPr>
          <w:rStyle w:val="Teksttreci2Kursywa"/>
        </w:rPr>
        <w:t>effectiveness</w:t>
      </w:r>
      <w:proofErr w:type="spellEnd"/>
      <w:r>
        <w:rPr>
          <w:rStyle w:val="Teksttreci2Kursywa"/>
        </w:rPr>
        <w:t xml:space="preserve"> of </w:t>
      </w:r>
      <w:proofErr w:type="spellStart"/>
      <w:r>
        <w:rPr>
          <w:rStyle w:val="Teksttreci2Kursywa"/>
        </w:rPr>
        <w:t>auditory</w:t>
      </w:r>
      <w:proofErr w:type="spellEnd"/>
      <w:r>
        <w:rPr>
          <w:rStyle w:val="Teksttreci2Kursywa"/>
        </w:rPr>
        <w:t xml:space="preserve"> </w:t>
      </w:r>
      <w:proofErr w:type="spellStart"/>
      <w:r>
        <w:rPr>
          <w:rStyle w:val="Teksttreci2Kursywa"/>
        </w:rPr>
        <w:t>b</w:t>
      </w:r>
      <w:r>
        <w:rPr>
          <w:rStyle w:val="Teksttreci2Kursywa"/>
        </w:rPr>
        <w:t>ird</w:t>
      </w:r>
      <w:proofErr w:type="spellEnd"/>
      <w:r>
        <w:rPr>
          <w:rStyle w:val="Teksttreci2Kursywa"/>
        </w:rPr>
        <w:t xml:space="preserve"> </w:t>
      </w:r>
      <w:proofErr w:type="spellStart"/>
      <w:r>
        <w:rPr>
          <w:rStyle w:val="Teksttreci2Kursywa"/>
        </w:rPr>
        <w:t>scaring</w:t>
      </w:r>
      <w:proofErr w:type="spellEnd"/>
      <w:r>
        <w:rPr>
          <w:rStyle w:val="Teksttreci2Kursywa"/>
        </w:rPr>
        <w:t xml:space="preserve"> </w:t>
      </w:r>
      <w:proofErr w:type="spellStart"/>
      <w:r>
        <w:rPr>
          <w:rStyle w:val="Teksttreci2Kursywa"/>
        </w:rPr>
        <w:t>techniques</w:t>
      </w:r>
      <w:proofErr w:type="spellEnd"/>
      <w:r>
        <w:rPr>
          <w:rStyle w:val="Teksttreci2Kursywa"/>
        </w:rPr>
        <w:t xml:space="preserve"> and </w:t>
      </w:r>
      <w:proofErr w:type="spellStart"/>
      <w:r>
        <w:rPr>
          <w:rStyle w:val="Teksttreci2Kursywa"/>
        </w:rPr>
        <w:t>potential</w:t>
      </w:r>
      <w:proofErr w:type="spellEnd"/>
      <w:r>
        <w:rPr>
          <w:rStyle w:val="Teksttreci2Kursywa"/>
        </w:rPr>
        <w:t xml:space="preserve"> </w:t>
      </w:r>
      <w:proofErr w:type="spellStart"/>
      <w:r>
        <w:rPr>
          <w:rStyle w:val="Teksttreci2Kursywa"/>
        </w:rPr>
        <w:t>alternatives</w:t>
      </w:r>
      <w:proofErr w:type="spellEnd"/>
      <w:r>
        <w:t xml:space="preserve"> [2003. J. Bishop, H. </w:t>
      </w:r>
      <w:proofErr w:type="spellStart"/>
      <w:r>
        <w:t>McKay</w:t>
      </w:r>
      <w:proofErr w:type="spellEnd"/>
      <w:r>
        <w:t xml:space="preserve">, D. </w:t>
      </w:r>
      <w:proofErr w:type="spellStart"/>
      <w:r>
        <w:t>Parrott</w:t>
      </w:r>
      <w:proofErr w:type="spellEnd"/>
      <w:r>
        <w:t>, J. Allan] wśród urządzeń dźwiękowych największą sprawność w odstraszaniu ptaków odnotowano dla systemów wykorzystujących bioakustykę (przekazujących dźwięki o znaczen</w:t>
      </w:r>
      <w:r>
        <w:t xml:space="preserve">iu biologicznym np. dźwięki wzywania pomocy), ale o ich skuteczności decyduje wykorzystanie wezwań specyficznych dla danego gatunku oraz dostępności alternatywnych miejsc, do których gatunek ten może się przenieść. Ponadto pomimo początkowej skuteczności, </w:t>
      </w:r>
      <w:r>
        <w:t>ptaki potrafią się przyzwyczaić do dźwięków tych urządzeń (dłuższy efekt odstraszania można uzyskać tylko, gdy źródła dźwięków są często przenoszone, częstotliwość dźwięków jest dopasowywana odpowiednio do sytuacji i stosowane są uzupełniające techniki ods</w:t>
      </w:r>
      <w:r>
        <w:t>traszania ptaków).</w:t>
      </w:r>
    </w:p>
    <w:sectPr w:rsidR="002414BC">
      <w:pgSz w:w="11900" w:h="16840"/>
      <w:pgMar w:top="1431" w:right="1380" w:bottom="1431" w:left="13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6BA1" w14:textId="77777777" w:rsidR="00BE4027" w:rsidRDefault="00BE4027">
      <w:r>
        <w:separator/>
      </w:r>
    </w:p>
  </w:endnote>
  <w:endnote w:type="continuationSeparator" w:id="0">
    <w:p w14:paraId="372F18FA" w14:textId="77777777" w:rsidR="00BE4027" w:rsidRDefault="00BE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3871" w14:textId="77777777" w:rsidR="002414BC" w:rsidRDefault="00BE4027">
    <w:pPr>
      <w:rPr>
        <w:sz w:val="2"/>
        <w:szCs w:val="2"/>
      </w:rPr>
    </w:pPr>
    <w:r>
      <w:pict w14:anchorId="3E0F660B">
        <v:shapetype id="_x0000_t202" coordsize="21600,21600" o:spt="202" path="m,l,21600r21600,l21600,xe">
          <v:stroke joinstyle="miter"/>
          <v:path gradientshapeok="t" o:connecttype="rect"/>
        </v:shapetype>
        <v:shape id="_x0000_s1026" type="#_x0000_t202" style="position:absolute;margin-left:519.5pt;margin-top:794.7pt;width:4.3pt;height:6.95pt;z-index:-251658752;mso-wrap-style:none;mso-wrap-distance-left:5pt;mso-wrap-distance-right:5pt;mso-position-horizontal-relative:page;mso-position-vertical-relative:page" wrapcoords="0 0" filled="f" stroked="f">
          <v:textbox style="mso-fit-shape-to-text:t" inset="0,0,0,0">
            <w:txbxContent>
              <w:p w14:paraId="6FCA8F55" w14:textId="77777777" w:rsidR="002414BC" w:rsidRDefault="00BE4027">
                <w:pPr>
                  <w:pStyle w:val="Nagweklubstopka0"/>
                  <w:shd w:val="clear" w:color="auto" w:fill="auto"/>
                  <w:spacing w:line="240" w:lineRule="auto"/>
                </w:pPr>
                <w:r>
                  <w:rPr>
                    <w:rStyle w:val="Nagweklubstopka1"/>
                    <w:b/>
                    <w:bCs/>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5ACA" w14:textId="77777777" w:rsidR="00BE4027" w:rsidRDefault="00BE4027"/>
  </w:footnote>
  <w:footnote w:type="continuationSeparator" w:id="0">
    <w:p w14:paraId="297C9522" w14:textId="77777777" w:rsidR="00BE4027" w:rsidRDefault="00BE402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414BC"/>
    <w:rsid w:val="002414BC"/>
    <w:rsid w:val="0090479C"/>
    <w:rsid w:val="00A44140"/>
    <w:rsid w:val="00BE4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E9FEF"/>
  <w15:docId w15:val="{DF3C5B41-4864-4D32-9316-8A064AEA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z w:val="32"/>
      <w:szCs w:val="32"/>
      <w:u w:val="none"/>
    </w:rPr>
  </w:style>
  <w:style w:type="character" w:customStyle="1" w:styleId="Nagwek11">
    <w:name w:val="Nagłówek #1"/>
    <w:basedOn w:val="Nagwek1"/>
    <w:rPr>
      <w:rFonts w:ascii="Times New Roman" w:eastAsia="Times New Roman" w:hAnsi="Times New Roman" w:cs="Times New Roman"/>
      <w:b w:val="0"/>
      <w:bCs w:val="0"/>
      <w:i w:val="0"/>
      <w:iCs w:val="0"/>
      <w:smallCaps w:val="0"/>
      <w:strike w:val="0"/>
      <w:color w:val="63A86C"/>
      <w:spacing w:val="0"/>
      <w:w w:val="100"/>
      <w:position w:val="0"/>
      <w:sz w:val="32"/>
      <w:szCs w:val="32"/>
      <w:u w:val="none"/>
      <w:lang w:val="pl-PL" w:eastAsia="pl-PL" w:bidi="pl-PL"/>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28"/>
      <w:szCs w:val="28"/>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1"/>
      <w:szCs w:val="21"/>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18"/>
      <w:szCs w:val="18"/>
      <w:u w:val="none"/>
    </w:rPr>
  </w:style>
  <w:style w:type="character" w:customStyle="1" w:styleId="Teksttreci45pt">
    <w:name w:val="Tekst treści (4) + 5 pt"/>
    <w:basedOn w:val="Teksttreci4"/>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iCs/>
      <w:smallCaps w:val="0"/>
      <w:strike w:val="0"/>
      <w:sz w:val="21"/>
      <w:szCs w:val="21"/>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bCs/>
      <w:i w:val="0"/>
      <w:iCs w:val="0"/>
      <w:smallCaps w:val="0"/>
      <w:strike w:val="0"/>
      <w:sz w:val="20"/>
      <w:szCs w:val="20"/>
      <w:u w:val="none"/>
    </w:rPr>
  </w:style>
  <w:style w:type="character" w:customStyle="1" w:styleId="Nagweklubstopka1">
    <w:name w:val="Nagłówek lub stopka"/>
    <w:basedOn w:val="Nagweklubstopk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paragraph" w:customStyle="1" w:styleId="Nagwek10">
    <w:name w:val="Nagłówek #1"/>
    <w:basedOn w:val="Normalny"/>
    <w:link w:val="Nagwek1"/>
    <w:pPr>
      <w:shd w:val="clear" w:color="auto" w:fill="FFFFFF"/>
      <w:spacing w:line="354" w:lineRule="exact"/>
      <w:jc w:val="both"/>
      <w:outlineLvl w:val="0"/>
    </w:pPr>
    <w:rPr>
      <w:rFonts w:ascii="Times New Roman" w:eastAsia="Times New Roman" w:hAnsi="Times New Roman" w:cs="Times New Roman"/>
      <w:sz w:val="32"/>
      <w:szCs w:val="32"/>
    </w:rPr>
  </w:style>
  <w:style w:type="paragraph" w:customStyle="1" w:styleId="Teksttreci30">
    <w:name w:val="Tekst treści (3)"/>
    <w:basedOn w:val="Normalny"/>
    <w:link w:val="Teksttreci3"/>
    <w:pPr>
      <w:shd w:val="clear" w:color="auto" w:fill="FFFFFF"/>
      <w:spacing w:before="100" w:after="200" w:line="310" w:lineRule="exact"/>
    </w:pPr>
    <w:rPr>
      <w:rFonts w:ascii="Times New Roman" w:eastAsia="Times New Roman" w:hAnsi="Times New Roman" w:cs="Times New Roman"/>
      <w:sz w:val="28"/>
      <w:szCs w:val="28"/>
    </w:rPr>
  </w:style>
  <w:style w:type="paragraph" w:customStyle="1" w:styleId="Teksttreci20">
    <w:name w:val="Tekst treści (2)"/>
    <w:basedOn w:val="Normalny"/>
    <w:link w:val="Teksttreci2"/>
    <w:pPr>
      <w:shd w:val="clear" w:color="auto" w:fill="FFFFFF"/>
      <w:spacing w:before="200" w:after="100" w:line="232"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pPr>
      <w:shd w:val="clear" w:color="auto" w:fill="FFFFFF"/>
      <w:spacing w:before="100" w:after="2700" w:line="200" w:lineRule="exact"/>
      <w:jc w:val="both"/>
    </w:pPr>
    <w:rPr>
      <w:rFonts w:ascii="Times New Roman" w:eastAsia="Times New Roman" w:hAnsi="Times New Roman" w:cs="Times New Roman"/>
      <w:sz w:val="18"/>
      <w:szCs w:val="18"/>
    </w:rPr>
  </w:style>
  <w:style w:type="paragraph" w:customStyle="1" w:styleId="Teksttreci50">
    <w:name w:val="Tekst treści (5)"/>
    <w:basedOn w:val="Normalny"/>
    <w:link w:val="Teksttreci5"/>
    <w:pPr>
      <w:shd w:val="clear" w:color="auto" w:fill="FFFFFF"/>
      <w:spacing w:before="2700" w:after="200" w:line="232" w:lineRule="exact"/>
      <w:jc w:val="both"/>
    </w:pPr>
    <w:rPr>
      <w:rFonts w:ascii="Times New Roman" w:eastAsia="Times New Roman" w:hAnsi="Times New Roman" w:cs="Times New Roman"/>
      <w:i/>
      <w:iCs/>
      <w:sz w:val="21"/>
      <w:szCs w:val="21"/>
    </w:rPr>
  </w:style>
  <w:style w:type="paragraph" w:customStyle="1" w:styleId="Teksttreci60">
    <w:name w:val="Tekst treści (6)"/>
    <w:basedOn w:val="Normalny"/>
    <w:link w:val="Teksttreci6"/>
    <w:pPr>
      <w:shd w:val="clear" w:color="auto" w:fill="FFFFFF"/>
      <w:spacing w:before="320" w:line="269" w:lineRule="exact"/>
      <w:jc w:val="center"/>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pPr>
      <w:shd w:val="clear" w:color="auto" w:fill="FFFFFF"/>
      <w:spacing w:line="222" w:lineRule="exact"/>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pl/klim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852</Words>
  <Characters>5114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2022-06-24T09:55:00Z</dcterms:created>
  <dcterms:modified xsi:type="dcterms:W3CDTF">2022-06-24T10:02:00Z</dcterms:modified>
</cp:coreProperties>
</file>