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6CCA" w14:textId="791092D3" w:rsidR="000F634A" w:rsidRDefault="001949EB">
      <w:pPr>
        <w:pStyle w:val="Teksttreci20"/>
        <w:shd w:val="clear" w:color="auto" w:fill="auto"/>
        <w:ind w:firstLine="0"/>
        <w:sectPr w:rsidR="000F634A">
          <w:pgSz w:w="11900" w:h="16840"/>
          <w:pgMar w:top="1450" w:right="1400" w:bottom="2151" w:left="7731" w:header="0" w:footer="3" w:gutter="0"/>
          <w:cols w:space="720"/>
          <w:noEndnote/>
          <w:docGrid w:linePitch="360"/>
        </w:sectPr>
      </w:pPr>
      <w:r>
        <w:t>Warszawa, dnia 30-06-2022 r.</w:t>
      </w:r>
    </w:p>
    <w:p w14:paraId="76165AFE" w14:textId="0BDDA4AA" w:rsidR="000F634A" w:rsidRDefault="003C3DC1">
      <w:pPr>
        <w:spacing w:line="186" w:lineRule="exact"/>
        <w:rPr>
          <w:sz w:val="15"/>
          <w:szCs w:val="15"/>
        </w:rPr>
      </w:pPr>
      <w:r>
        <w:pict w14:anchorId="390D2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0.45pt;margin-top:-52.9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52ADCBC4" w14:textId="77777777" w:rsidR="000F634A" w:rsidRDefault="000F634A">
      <w:pPr>
        <w:rPr>
          <w:sz w:val="2"/>
          <w:szCs w:val="2"/>
        </w:rPr>
        <w:sectPr w:rsidR="000F634A">
          <w:type w:val="continuous"/>
          <w:pgSz w:w="11900" w:h="16840"/>
          <w:pgMar w:top="1428" w:right="0" w:bottom="1543" w:left="0" w:header="0" w:footer="3" w:gutter="0"/>
          <w:cols w:space="720"/>
          <w:noEndnote/>
          <w:docGrid w:linePitch="360"/>
        </w:sectPr>
      </w:pPr>
    </w:p>
    <w:p w14:paraId="706F0407" w14:textId="77777777" w:rsidR="000F634A" w:rsidRDefault="001949EB">
      <w:pPr>
        <w:pStyle w:val="Nagwek10"/>
        <w:keepNext/>
        <w:keepLines/>
        <w:shd w:val="clear" w:color="auto" w:fill="auto"/>
        <w:spacing w:after="562"/>
      </w:pPr>
      <w:bookmarkStart w:id="0" w:name="bookmark0"/>
      <w:r>
        <w:t>Minister Klimatu i Środowiska</w:t>
      </w:r>
      <w:bookmarkEnd w:id="0"/>
    </w:p>
    <w:p w14:paraId="6DFA7AF9" w14:textId="77777777" w:rsidR="000F634A" w:rsidRDefault="001949EB">
      <w:pPr>
        <w:pStyle w:val="Teksttreci20"/>
        <w:shd w:val="clear" w:color="auto" w:fill="auto"/>
        <w:ind w:firstLine="0"/>
        <w:jc w:val="both"/>
      </w:pPr>
      <w:r>
        <w:t>DLŁ-WKO.053.8.2022.APR</w:t>
      </w:r>
    </w:p>
    <w:p w14:paraId="3D4C9B2B" w14:textId="77777777" w:rsidR="000F634A" w:rsidRDefault="001949EB">
      <w:pPr>
        <w:pStyle w:val="Teksttreci30"/>
        <w:shd w:val="clear" w:color="auto" w:fill="auto"/>
        <w:spacing w:after="2205"/>
      </w:pPr>
      <w:r>
        <w:t>2050780</w:t>
      </w:r>
      <w:r>
        <w:rPr>
          <w:rStyle w:val="Teksttreci35pt"/>
        </w:rPr>
        <w:t>.</w:t>
      </w:r>
      <w:r>
        <w:t>7866566.6293846</w:t>
      </w:r>
    </w:p>
    <w:p w14:paraId="3EE98C13" w14:textId="77777777" w:rsidR="000F634A" w:rsidRDefault="001949EB">
      <w:pPr>
        <w:pStyle w:val="Teksttreci40"/>
        <w:shd w:val="clear" w:color="auto" w:fill="auto"/>
        <w:spacing w:before="0" w:after="382"/>
      </w:pPr>
      <w:r>
        <w:t>Szanowny Panie,</w:t>
      </w:r>
    </w:p>
    <w:p w14:paraId="20AF8B5F" w14:textId="77777777" w:rsidR="000F634A" w:rsidRDefault="001949EB">
      <w:pPr>
        <w:pStyle w:val="Teksttreci20"/>
        <w:shd w:val="clear" w:color="auto" w:fill="auto"/>
        <w:spacing w:after="200" w:line="379" w:lineRule="exact"/>
        <w:ind w:firstLine="0"/>
        <w:jc w:val="both"/>
      </w:pPr>
      <w:r>
        <w:t xml:space="preserve">odpowiadając na pismo z dnia 6 kwietnia 2022 r., w zakresie stanowiącym petycję w sprawie zmiany przepisów rozporządzenia Ministra Klimatu i Środowiska z dnia 18 stycznia 2021 r. </w:t>
      </w:r>
      <w:r>
        <w:rPr>
          <w:rStyle w:val="Teksttreci2Kursywa"/>
        </w:rPr>
        <w:t>w sprawie trybu składania i rozpatrywania wniosków o dzierżawę obwodów łowiec</w:t>
      </w:r>
      <w:r>
        <w:rPr>
          <w:rStyle w:val="Teksttreci2Kursywa"/>
        </w:rPr>
        <w:t>kich oraz kryteriów oceny tych wniosków i wnioskodawców</w:t>
      </w:r>
      <w:r>
        <w:t xml:space="preserve"> [(Dz. U. z 2021 r., poz.139), zwanego dalej: rozporządzeniem] w zakresie wprowadzenia mechanizmów zapewniających bezstronność i transparentność postępowania oraz udział przedstawicieli samorządu rolni</w:t>
      </w:r>
      <w:r>
        <w:t>czego i samorządu lokalnego informuję, że petycja została rozpatrzona negatywnie.</w:t>
      </w:r>
    </w:p>
    <w:p w14:paraId="09828685" w14:textId="77777777" w:rsidR="000F634A" w:rsidRDefault="001949EB">
      <w:pPr>
        <w:pStyle w:val="Teksttreci20"/>
        <w:shd w:val="clear" w:color="auto" w:fill="auto"/>
        <w:spacing w:line="379" w:lineRule="exact"/>
        <w:ind w:firstLine="0"/>
        <w:jc w:val="both"/>
      </w:pPr>
      <w:r>
        <w:t>W uzasadnieniu należy w pierwszej kolejności wskazać, że wprowadzony rozporządzeniem tryb rozpatrywania wniosków o dzierżawę obwodów łowieckich zakłada przeprowadzenie weryfi</w:t>
      </w:r>
      <w:r>
        <w:t xml:space="preserve">kacji i oceny złożonych wniosków i wnioskodawców przez co najmniej trzyosobowe komisje oceniające. Komisje te powoływane są w drodze uchwały przez zarząd okręgowy i składają się z łowczego okręgowego, członka Naczelnej Rady Łowieckiej z danego okręgu albo </w:t>
      </w:r>
      <w:r>
        <w:t>jego zastępcy albo delegata na krajowy zjazd delegatów, który otrzymał największą liczbę głosów oraz członka Polskiego Związku Łowieckiego wyznaczonego przez łowczego okręgowego. Dodatkowo, w pracach komisji na prawach jej członka mogą uczestniczyć przedst</w:t>
      </w:r>
      <w:r>
        <w:t>awiciele wydzierżawiającego oraz właściwej izby rolniczej. Rozporządzenie określa, że w komisjach tych mogą brać udział przedstawiciele właściwych terytorialnie izb rolniczych, jako podmioty posiadające wiedzę na temat lokalnych uwarunkowań i szkód łowieck</w:t>
      </w:r>
      <w:r>
        <w:t>ich, bez definiowania warunków ograniczających udział członka samorządu rolniczego w pracach komisji, zatem w ocenie organu aktualny przepis nie wymaga zmiany.</w:t>
      </w:r>
      <w:r>
        <w:br w:type="page"/>
      </w:r>
    </w:p>
    <w:p w14:paraId="6F6F48F9" w14:textId="77777777" w:rsidR="000F634A" w:rsidRDefault="001949EB">
      <w:pPr>
        <w:pStyle w:val="Teksttreci20"/>
        <w:shd w:val="clear" w:color="auto" w:fill="auto"/>
        <w:spacing w:line="379" w:lineRule="exact"/>
        <w:ind w:firstLine="0"/>
        <w:jc w:val="both"/>
      </w:pPr>
      <w:r>
        <w:lastRenderedPageBreak/>
        <w:t>W odniesieniu do postulatu włączenia przedstawicieli samorządów do prac komisji dokonującej oce</w:t>
      </w:r>
      <w:r>
        <w:t>ny wniosków i wnioskodawców należy podkreślić, że organy samorządu terytorialnego: wójt, burmistrz, prezydent miasta biorą udział w opiniowaniu rocznych planów łowieckich ustalanych na podstawie wiosennej inwentaryzacji zwierzyny dla każdego obwodu łowieck</w:t>
      </w:r>
      <w:r>
        <w:t>iego oraz są adresatami obowiązków informacyjnych nałożonych na dzierżawców i zarządców obwodów łowieckich (informowanie</w:t>
      </w:r>
    </w:p>
    <w:p w14:paraId="1B4F5C30" w14:textId="77777777" w:rsidR="000F634A" w:rsidRDefault="001949EB">
      <w:pPr>
        <w:pStyle w:val="Teksttreci20"/>
        <w:numPr>
          <w:ilvl w:val="0"/>
          <w:numId w:val="1"/>
        </w:numPr>
        <w:shd w:val="clear" w:color="auto" w:fill="auto"/>
        <w:tabs>
          <w:tab w:val="left" w:pos="241"/>
        </w:tabs>
        <w:spacing w:after="338" w:line="379" w:lineRule="exact"/>
        <w:ind w:firstLine="0"/>
        <w:jc w:val="both"/>
      </w:pPr>
      <w:r>
        <w:t xml:space="preserve">planowanych polowaniach zbiorowych). Wydaje się, że obecne uprawnienia samorządów wynikające z ustawy z dnia 13 października 1995 r. - </w:t>
      </w:r>
      <w:r>
        <w:rPr>
          <w:rStyle w:val="Teksttreci2Kursywa"/>
        </w:rPr>
        <w:t>Prawo łowieckie</w:t>
      </w:r>
      <w:r>
        <w:t xml:space="preserve"> (Dz. U. z 2022 r., poz. 1173), są wystarczające w kontekście zapewnienia realizacji potrzeb lokalnych społeczności w zakresie łowiectwa. Dlatego też tut. organ nie widzi uzasadnienia dla rozszerzenia składu komisji oceniających wnioski o dz</w:t>
      </w:r>
      <w:r>
        <w:t>ierżawy obwodu łowieckiego o przedstawicieli lokalnych samorządów.</w:t>
      </w:r>
    </w:p>
    <w:p w14:paraId="4E906E49" w14:textId="77777777" w:rsidR="000F634A" w:rsidRDefault="001949EB">
      <w:pPr>
        <w:pStyle w:val="Teksttreci20"/>
        <w:shd w:val="clear" w:color="auto" w:fill="auto"/>
        <w:spacing w:after="22"/>
        <w:ind w:firstLine="0"/>
        <w:jc w:val="both"/>
      </w:pPr>
      <w:r>
        <w:t>Reasumując, określony w rozporządzeniu skład komisji dokonującej oceny wniosków</w:t>
      </w:r>
    </w:p>
    <w:p w14:paraId="15E3BFFD" w14:textId="77777777" w:rsidR="000F634A" w:rsidRDefault="001949EB">
      <w:pPr>
        <w:pStyle w:val="Teksttreci20"/>
        <w:numPr>
          <w:ilvl w:val="0"/>
          <w:numId w:val="1"/>
        </w:numPr>
        <w:shd w:val="clear" w:color="auto" w:fill="auto"/>
        <w:tabs>
          <w:tab w:val="left" w:pos="241"/>
        </w:tabs>
        <w:spacing w:after="220" w:line="379" w:lineRule="exact"/>
        <w:ind w:firstLine="0"/>
        <w:jc w:val="both"/>
      </w:pPr>
      <w:r>
        <w:t xml:space="preserve">wnioskodawców w opinii organu daje największe gwarancje bezstronności, rzetelności i staranności przy </w:t>
      </w:r>
      <w:r>
        <w:t>rozpatrywaniu wniosków o dzierżawę obwodów łowieckich. Należy także wyjaśnić, że komisje oceniające są powoływane w drodze uchwały właściwego zarządu okręgowego Polskiego Związku Łowieckiego. Z uwagi na to, że nie ma przeszkód, aby uchwały takie były publi</w:t>
      </w:r>
      <w:r>
        <w:t>kowane na stronie internetowej danego zarządu okręgowego, nie ma potrzeby wprowadzania nowych przepisów w tym zakresie do rozporządzenia.</w:t>
      </w:r>
    </w:p>
    <w:p w14:paraId="5D48FBBD" w14:textId="77777777" w:rsidR="000F634A" w:rsidRDefault="001949EB">
      <w:pPr>
        <w:pStyle w:val="Teksttreci20"/>
        <w:shd w:val="clear" w:color="auto" w:fill="auto"/>
        <w:spacing w:after="220" w:line="379" w:lineRule="exact"/>
        <w:ind w:firstLine="0"/>
        <w:jc w:val="both"/>
      </w:pPr>
      <w:r>
        <w:t>Należy ponadto zaznaczyć, że rozporządzenie ustala kryteria oceny wnioskodawców w taki sposób, aby możliwym było dokon</w:t>
      </w:r>
      <w:r>
        <w:t>anie kompleksowej, rzetelnej i pozbawionej uznaniowości oceny wnioskodawców. Mając na uwadze, że brak jest możliwości dokonania - według jednakowych kryteriów - oceny kół łowieckich, które prowadziły dotychczas działalność łowiecką oraz kół łowieckich, któ</w:t>
      </w:r>
      <w:r>
        <w:t>re takiej działalności wcześniej nie prowadziły, rozporządzenie wprowadziło takie mechanizmy oceny, które pozwoliły nowo powstałym dzierżawcom obwodów łowieckich ubiegać się o wydzierżawienie obwodu równocześnie z innymi kategoriami dzierżawców.</w:t>
      </w:r>
    </w:p>
    <w:p w14:paraId="53EE6FA7" w14:textId="77777777" w:rsidR="000F634A" w:rsidRDefault="001949EB">
      <w:pPr>
        <w:pStyle w:val="Teksttreci20"/>
        <w:shd w:val="clear" w:color="auto" w:fill="auto"/>
        <w:spacing w:line="379" w:lineRule="exact"/>
        <w:ind w:firstLine="0"/>
        <w:jc w:val="both"/>
      </w:pPr>
      <w:r>
        <w:t>Rozporządz</w:t>
      </w:r>
      <w:r>
        <w:t>enie rozróżnia trzy kategorie wnioskodawców ubiegających się o dzierżawę obwodu łowieckiego oraz określa zróżnicowane kryteria ich oceny, pod kątem prowadzenia prawidłowej gospodarki łowieckiej i podejmowania działań mających na celu zwalczanie i zapobiega</w:t>
      </w:r>
      <w:r>
        <w:t>nie rozprzestrzenianiu się chorób zakaźnych zwierząt łownych. Ze względu na różnorodny charakter obwodów łowieckich - zróżnicowaną powierzchnię, rozróżnienie obwodów leśnych i obwodów polnych, stopień urbanizacji na danym terenie, powierzchnię i rodzaj upr</w:t>
      </w:r>
      <w:r>
        <w:t>aw rolnych oraz liczebność poszczególnych gatunków zwierząt łownych, a także różne doświadczenia, osiągnięcia i efekty prowadzenia gospodarki łowieckiej przez poszczególnych wnioskodawców, brak jest możliwości stworzenia jednolitego dla wszystkich rodzajów</w:t>
      </w:r>
      <w:r>
        <w:t xml:space="preserve"> wnioskodawców mechanizmu oceny, gwarantującego rzetelność tej oceny. Z tego wynika rozróżnienie na trzy kategorie wnioskodawców oraz odpowiednia ich punktacja.</w:t>
      </w:r>
    </w:p>
    <w:p w14:paraId="7D3E4C61" w14:textId="77777777" w:rsidR="000F634A" w:rsidRDefault="001949EB">
      <w:pPr>
        <w:pStyle w:val="Teksttreci20"/>
        <w:shd w:val="clear" w:color="auto" w:fill="auto"/>
        <w:spacing w:after="220" w:line="379" w:lineRule="exact"/>
        <w:ind w:firstLine="0"/>
        <w:jc w:val="both"/>
      </w:pPr>
      <w:r>
        <w:t>Jednocześnie podkreślenia wymaga fakt, że wnioski oceniane są na podstawie precyzyjnie określon</w:t>
      </w:r>
      <w:r>
        <w:t xml:space="preserve">ych </w:t>
      </w:r>
      <w:r>
        <w:lastRenderedPageBreak/>
        <w:t>kryteriów oceny, wynikających wprost z rozporządzenia, umożliwiających w sposób jednoznaczny przyporządkowanie punktacji w poszczególnych kryteriach. W związku z tym wynik konkursu zawsze będzie taki sam, bez względu na skład komisji oceniającej.</w:t>
      </w:r>
    </w:p>
    <w:p w14:paraId="5A0528F6" w14:textId="77777777" w:rsidR="000F634A" w:rsidRDefault="001949EB">
      <w:pPr>
        <w:pStyle w:val="Teksttreci20"/>
        <w:shd w:val="clear" w:color="auto" w:fill="auto"/>
        <w:spacing w:after="220" w:line="379" w:lineRule="exact"/>
        <w:ind w:firstLine="0"/>
        <w:jc w:val="both"/>
      </w:pPr>
      <w:r>
        <w:t>W odn</w:t>
      </w:r>
      <w:r>
        <w:t>iesieniu do postulatów dotyczących nowelizacji procedury ustalonej rozporządzeniem należy podkreślić, że Polski Związek Łowiecki jest zrzeszeniem osób fizycznych i prawnych, które prowadzą gospodarkę łowiecką poprzez hodowlę i pozyskiwanie zwierzyny oraz d</w:t>
      </w:r>
      <w:r>
        <w:t xml:space="preserve">ziałają na rzecz jej ochrony poprzez regulację liczebności populacji zwierząt łownych. Jako Zrzeszenie Polski Związek Łowiecki nie jest organem administracji publicznej, zatem nie jest możliwe zastosowanie wprost przepisów ustawy z dnia 14 czerwca 1960 r. </w:t>
      </w:r>
      <w:r>
        <w:t xml:space="preserve">- </w:t>
      </w:r>
      <w:r>
        <w:rPr>
          <w:rStyle w:val="Teksttreci2Kursywa"/>
        </w:rPr>
        <w:t>Kodeks postępowania administracyjnego</w:t>
      </w:r>
      <w:r>
        <w:t xml:space="preserve"> (Dz. U. z 2021 r., poz. 735, z </w:t>
      </w:r>
      <w:proofErr w:type="spellStart"/>
      <w:r>
        <w:t>późn</w:t>
      </w:r>
      <w:proofErr w:type="spellEnd"/>
      <w:r>
        <w:t>. zm.). Z tego powodu w treści rozporządzenia dookreślono istotne elementy postępowania, dotyczące składania, a także przekazywania wniosku o dzierżawę obwodu łowieckiego do właściw</w:t>
      </w:r>
      <w:r>
        <w:t>ego miejscowo organu Polskiego Związku Łowieckiego w terminie 7 dni, z jednoczesnym poinformowaniem wnioskodawcy, trybu analizy formalnej wniosku o dzierżawę obwodu łowieckiego wraz z wezwaniem do jego uzupełnienia, sposobu przeprowadzenia oceny dzierżawcó</w:t>
      </w:r>
      <w:r>
        <w:t>w, która dokonuje się według kryteriów i przypisanych im wartości punktowych szczegółowo określonych w przepisach § 4-6 rozporządzenia. W konsekwencji decyzja o wyborze wnioskodawcy, któremu komisja wydzierżawi dany obwód łowiecki zależy od ilości zebranyc</w:t>
      </w:r>
      <w:r>
        <w:t>h punktów. Zasady wyboru wnioskodawcy w oparciu o ilość zgromadzonych punktów określają przepisy § 7-12 rozporządzenia. W związku z powyższym, cały proces przebiega w sposób transparenty.</w:t>
      </w:r>
    </w:p>
    <w:p w14:paraId="13014BCC" w14:textId="77777777" w:rsidR="000F634A" w:rsidRDefault="001949EB">
      <w:pPr>
        <w:pStyle w:val="Teksttreci20"/>
        <w:shd w:val="clear" w:color="auto" w:fill="auto"/>
        <w:spacing w:after="238" w:line="379" w:lineRule="exact"/>
        <w:ind w:firstLine="0"/>
        <w:jc w:val="both"/>
      </w:pPr>
      <w:r>
        <w:t xml:space="preserve">W kontekście precyzyjnie dookreślonych w rozporządzeniu kryteriów i </w:t>
      </w:r>
      <w:r>
        <w:t>sposobu przyznawania punktacji w ramach oceny wniosków o dzierżawę obwodu łowieckiego, organ nie widział uzasadnienia dla wprowadzania trybu odwoławczego. Przy czym, do rozważenia pozostaje ewentualne uzupełnienie rozporządzenia o przepis nakładający obowi</w:t>
      </w:r>
      <w:r>
        <w:t>ązek poinformowania wnioskodawców po zakończeniu oceny wniosku o uzyskanej przez nich punktacji.</w:t>
      </w:r>
    </w:p>
    <w:p w14:paraId="33C59033" w14:textId="77777777" w:rsidR="000F634A" w:rsidRDefault="001949EB">
      <w:pPr>
        <w:pStyle w:val="Teksttreci40"/>
        <w:shd w:val="clear" w:color="auto" w:fill="auto"/>
        <w:spacing w:before="0" w:after="2800"/>
        <w:ind w:left="4720"/>
        <w:jc w:val="left"/>
      </w:pPr>
      <w:r>
        <w:t>Z wyrazami szacunku</w:t>
      </w:r>
    </w:p>
    <w:p w14:paraId="3D39CC1E" w14:textId="77777777" w:rsidR="000F634A" w:rsidRDefault="001949EB">
      <w:pPr>
        <w:pStyle w:val="Teksttreci50"/>
        <w:shd w:val="clear" w:color="auto" w:fill="auto"/>
        <w:spacing w:before="0"/>
      </w:pPr>
      <w:r>
        <w:rPr>
          <w:rStyle w:val="Teksttreci51"/>
          <w:b/>
          <w:bCs/>
        </w:rPr>
        <w:t>Do wiadomości:</w:t>
      </w:r>
    </w:p>
    <w:p w14:paraId="6D5881B3" w14:textId="77777777" w:rsidR="000F634A" w:rsidRDefault="001949EB">
      <w:pPr>
        <w:pStyle w:val="Teksttreci20"/>
        <w:shd w:val="clear" w:color="auto" w:fill="auto"/>
        <w:ind w:firstLine="0"/>
        <w:jc w:val="both"/>
      </w:pPr>
      <w:r>
        <w:t>Biuro Kontroli i Audytu w Ministerstwie Klimatu i Środowiska</w:t>
      </w:r>
    </w:p>
    <w:p w14:paraId="777491F5" w14:textId="77777777" w:rsidR="000F634A" w:rsidRDefault="001949EB">
      <w:pPr>
        <w:pStyle w:val="Teksttreci50"/>
        <w:shd w:val="clear" w:color="auto" w:fill="auto"/>
        <w:spacing w:before="0" w:after="270"/>
      </w:pPr>
      <w:r>
        <w:rPr>
          <w:rStyle w:val="Teksttreci51"/>
          <w:b/>
          <w:bCs/>
        </w:rPr>
        <w:t>Klauzula informacyjna:</w:t>
      </w:r>
    </w:p>
    <w:p w14:paraId="4E104D6D" w14:textId="77777777" w:rsidR="000F634A" w:rsidRDefault="001949EB">
      <w:pPr>
        <w:pStyle w:val="Teksttreci20"/>
        <w:shd w:val="clear" w:color="auto" w:fill="auto"/>
        <w:spacing w:after="276" w:line="245" w:lineRule="exact"/>
        <w:ind w:firstLine="0"/>
        <w:jc w:val="both"/>
      </w:pPr>
      <w:r>
        <w:t xml:space="preserve">Zgodnie z art. 13 ust. 1 i 2 </w:t>
      </w:r>
      <w:r>
        <w:t xml:space="preserve">ogólnego rozporządzenia o ochronie danych osobowych z dnia 27 kwietnia 2016 </w:t>
      </w:r>
      <w:r>
        <w:lastRenderedPageBreak/>
        <w:t>r. informujemy, że:</w:t>
      </w:r>
    </w:p>
    <w:p w14:paraId="62773E50" w14:textId="77777777" w:rsidR="000F634A" w:rsidRDefault="001949EB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Administratorem danych osobowych osób wnoszących sprawy z zakresu petycji jest Minister Klimatu i Środowiska z siedzibą w Warszawie ul. Wawelska 52/54, 00-922.</w:t>
      </w:r>
    </w:p>
    <w:p w14:paraId="139E7C99" w14:textId="77777777" w:rsidR="000F634A" w:rsidRDefault="001949EB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 xml:space="preserve">Kontakt z Inspektorem Ochrony Danych jest możliwy pod adresem email: </w:t>
      </w:r>
      <w:hyperlink r:id="rId8" w:history="1">
        <w:r>
          <w:rPr>
            <w:lang w:val="en-US" w:eastAsia="en-US" w:bidi="en-US"/>
          </w:rPr>
          <w:t>inspektor.ochrony.danych@klimat.gov.pl</w:t>
        </w:r>
      </w:hyperlink>
    </w:p>
    <w:p w14:paraId="421EC4E3" w14:textId="77777777" w:rsidR="000F634A" w:rsidRDefault="001949EB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Będziemy przetwarzać dane osobowe osób wnoszących sprawy z zakresu petycji w celu rozpatrzenia tych spraw, na podstawie Art. 6 ust. 1 lit. c ogólnego rozporządzenia o ochronie danych osobowych z dnia 27 kwietnia 2016 r. w związ</w:t>
      </w:r>
      <w:r>
        <w:t>ku z ustawą z dnia 11 lipca 2014 r. o petycjach oraz w celu spełnienia obowiązku archiwizacji dokumentów na podstawie ustawy z dnia 14 lipca 1983 r. o narodowym zasobie archiwalnym.</w:t>
      </w:r>
    </w:p>
    <w:p w14:paraId="317400FF" w14:textId="77777777" w:rsidR="000F634A" w:rsidRDefault="001949EB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Dane osobowe osób wnoszących sprawy z zakresu petycji będziemy przechowywa</w:t>
      </w:r>
      <w:r>
        <w:t>ć przez okres do 25 lat.</w:t>
      </w:r>
    </w:p>
    <w:p w14:paraId="4A5709E2" w14:textId="77777777" w:rsidR="000F634A" w:rsidRDefault="001949EB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Odbiorcami danych mogą być podmioty świadczące usługi pocztowe i informatyczne na rzecz Ministerstwa.</w:t>
      </w:r>
    </w:p>
    <w:p w14:paraId="0822F560" w14:textId="77777777" w:rsidR="000F634A" w:rsidRDefault="001949EB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Osoby wnoszące sprawy z zakresu skarg, wniosków oraz petycji mają prawo do:</w:t>
      </w:r>
    </w:p>
    <w:p w14:paraId="402C2849" w14:textId="77777777" w:rsidR="000F634A" w:rsidRDefault="001949EB">
      <w:pPr>
        <w:pStyle w:val="Teksttreci20"/>
        <w:numPr>
          <w:ilvl w:val="0"/>
          <w:numId w:val="3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 xml:space="preserve">żądania od administratora dostępu do danych </w:t>
      </w:r>
      <w:r>
        <w:t>osobowych oraz otrzymania ich kopii,</w:t>
      </w:r>
    </w:p>
    <w:p w14:paraId="79124C23" w14:textId="77777777" w:rsidR="000F634A" w:rsidRDefault="001949EB">
      <w:pPr>
        <w:pStyle w:val="Teksttreci20"/>
        <w:numPr>
          <w:ilvl w:val="0"/>
          <w:numId w:val="3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sprostowania danych osobowych,</w:t>
      </w:r>
    </w:p>
    <w:p w14:paraId="4DFFCFD4" w14:textId="77777777" w:rsidR="000F634A" w:rsidRDefault="001949EB">
      <w:pPr>
        <w:pStyle w:val="Teksttreci20"/>
        <w:numPr>
          <w:ilvl w:val="0"/>
          <w:numId w:val="3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wniesienia sprzeciwu wobec przetwarzania danych osobowych.</w:t>
      </w:r>
    </w:p>
    <w:p w14:paraId="69D4CE42" w14:textId="77777777" w:rsidR="000F634A" w:rsidRDefault="001949EB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Osoby wnoszące sprawy z zakresu skarg, wniosków oraz petycji mają prawo do wniesienia skargi do Prezesa Urzędu Ochrony Danych Oso</w:t>
      </w:r>
      <w:r>
        <w:t>bowych, jeśli uzna Pani/Pan, że przetwarzanie Pani/Pana danych osobowych narusza przepisy ogólnego rozporządzenia o ochronie danych osobowych z dnia 27 kwietnia 2016 r.</w:t>
      </w:r>
    </w:p>
    <w:p w14:paraId="23F99671" w14:textId="77777777" w:rsidR="000F634A" w:rsidRDefault="001949EB">
      <w:pPr>
        <w:pStyle w:val="Teksttreci20"/>
        <w:numPr>
          <w:ilvl w:val="0"/>
          <w:numId w:val="2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Podanie danych osobowych jest wymogiem ustawowym.</w:t>
      </w:r>
    </w:p>
    <w:sectPr w:rsidR="000F634A">
      <w:type w:val="continuous"/>
      <w:pgSz w:w="11900" w:h="16840"/>
      <w:pgMar w:top="1428" w:right="1380" w:bottom="1543" w:left="13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84E7" w14:textId="77777777" w:rsidR="001949EB" w:rsidRDefault="001949EB">
      <w:r>
        <w:separator/>
      </w:r>
    </w:p>
  </w:endnote>
  <w:endnote w:type="continuationSeparator" w:id="0">
    <w:p w14:paraId="106E1EA1" w14:textId="77777777" w:rsidR="001949EB" w:rsidRDefault="0019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868F" w14:textId="77777777" w:rsidR="001949EB" w:rsidRDefault="001949EB"/>
  </w:footnote>
  <w:footnote w:type="continuationSeparator" w:id="0">
    <w:p w14:paraId="4D53C225" w14:textId="77777777" w:rsidR="001949EB" w:rsidRDefault="001949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B51"/>
    <w:multiLevelType w:val="multilevel"/>
    <w:tmpl w:val="3F9244A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3134B6"/>
    <w:multiLevelType w:val="multilevel"/>
    <w:tmpl w:val="EA3CAB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52560F"/>
    <w:multiLevelType w:val="multilevel"/>
    <w:tmpl w:val="6F4AF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4929885">
    <w:abstractNumId w:val="0"/>
  </w:num>
  <w:num w:numId="2" w16cid:durableId="766462246">
    <w:abstractNumId w:val="2"/>
  </w:num>
  <w:num w:numId="3" w16cid:durableId="74811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34A"/>
    <w:rsid w:val="000F634A"/>
    <w:rsid w:val="001949EB"/>
    <w:rsid w:val="003C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44BDBF"/>
  <w15:docId w15:val="{E33234FD-D374-43A3-8581-B866162B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0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24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240" w:after="50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80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1272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2022-07-04T07:45:00Z</dcterms:created>
  <dcterms:modified xsi:type="dcterms:W3CDTF">2022-07-04T07:46:00Z</dcterms:modified>
</cp:coreProperties>
</file>