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59DC" w14:textId="77777777" w:rsidR="00B416B3" w:rsidRDefault="00FE1350">
      <w:pPr>
        <w:pStyle w:val="Nagwek10"/>
        <w:keepNext/>
        <w:keepLines/>
        <w:shd w:val="clear" w:color="auto" w:fill="auto"/>
        <w:spacing w:after="10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</w:p>
    <w:p w14:paraId="2EDD7EFF" w14:textId="14FFB97B" w:rsidR="00D07C98" w:rsidRDefault="00FE1350">
      <w:pPr>
        <w:pStyle w:val="Nagwek10"/>
        <w:keepNext/>
        <w:keepLines/>
        <w:shd w:val="clear" w:color="auto" w:fill="auto"/>
        <w:spacing w:after="106"/>
        <w:ind w:right="5880"/>
      </w:pPr>
      <w:r>
        <w:t>Klimatu i Środowiska</w:t>
      </w:r>
      <w:bookmarkEnd w:id="0"/>
    </w:p>
    <w:p w14:paraId="025DC625" w14:textId="77777777" w:rsidR="00D07C98" w:rsidRDefault="00FE1350">
      <w:pPr>
        <w:pStyle w:val="Nagwek20"/>
        <w:keepNext/>
        <w:keepLines/>
        <w:shd w:val="clear" w:color="auto" w:fill="auto"/>
        <w:spacing w:before="0" w:after="322"/>
        <w:ind w:left="580"/>
      </w:pPr>
      <w:bookmarkStart w:id="1" w:name="bookmark1"/>
      <w:r>
        <w:t>Departament Gospodarki Odpadami</w:t>
      </w:r>
      <w:bookmarkEnd w:id="1"/>
    </w:p>
    <w:p w14:paraId="6287342F" w14:textId="77777777" w:rsidR="00D07C98" w:rsidRDefault="00FE1350">
      <w:pPr>
        <w:pStyle w:val="Nagwek30"/>
        <w:keepNext/>
        <w:keepLines/>
        <w:shd w:val="clear" w:color="auto" w:fill="auto"/>
        <w:tabs>
          <w:tab w:val="left" w:pos="6096"/>
        </w:tabs>
        <w:spacing w:before="0" w:after="135"/>
      </w:pPr>
      <w:bookmarkStart w:id="2" w:name="bookmark2"/>
      <w:r>
        <w:t>DGO-WO.053.1.2022.UG</w:t>
      </w:r>
      <w:r>
        <w:tab/>
        <w:t>Warszawa, dnia 04-06-2022 r.</w:t>
      </w:r>
      <w:bookmarkEnd w:id="2"/>
    </w:p>
    <w:p w14:paraId="77E9D87F" w14:textId="77777777" w:rsidR="00D07C98" w:rsidRDefault="00FE1350">
      <w:pPr>
        <w:pStyle w:val="Teksttreci30"/>
        <w:shd w:val="clear" w:color="auto" w:fill="auto"/>
        <w:spacing w:before="0" w:after="3535"/>
      </w:pPr>
      <w:r>
        <w:t>2018229</w:t>
      </w:r>
      <w:r>
        <w:rPr>
          <w:rStyle w:val="Teksttreci35pt"/>
        </w:rPr>
        <w:t>.</w:t>
      </w:r>
      <w:r>
        <w:t>7709072.6151236</w:t>
      </w:r>
    </w:p>
    <w:p w14:paraId="612386C8" w14:textId="77777777" w:rsidR="00D07C98" w:rsidRDefault="00FE1350">
      <w:pPr>
        <w:pStyle w:val="Teksttreci40"/>
        <w:shd w:val="clear" w:color="auto" w:fill="auto"/>
        <w:spacing w:before="0" w:after="545"/>
      </w:pPr>
      <w:r>
        <w:t>Szanowny Panie,</w:t>
      </w:r>
    </w:p>
    <w:p w14:paraId="2AF6903B" w14:textId="77777777" w:rsidR="00D07C98" w:rsidRDefault="00FE1350">
      <w:pPr>
        <w:pStyle w:val="Teksttreci20"/>
        <w:shd w:val="clear" w:color="auto" w:fill="auto"/>
        <w:spacing w:before="0" w:after="96"/>
        <w:ind w:firstLine="720"/>
      </w:pPr>
      <w:r>
        <w:t xml:space="preserve">W nawiązaniu do pisma z dnia 15 marca 2022 roku dot. wprowadzenia przepisów </w:t>
      </w:r>
      <w:r>
        <w:t>wykonawczych określających szczegółowe kryteria uznania pozostałości powstających podczas produkcji stolarki budowlanej za produkt uboczny, uprzejmie dziękuję za przekazane informacje.</w:t>
      </w:r>
    </w:p>
    <w:p w14:paraId="5007FEA6" w14:textId="77777777" w:rsidR="00D07C98" w:rsidRDefault="00FE1350">
      <w:pPr>
        <w:pStyle w:val="Teksttreci20"/>
        <w:shd w:val="clear" w:color="auto" w:fill="auto"/>
        <w:spacing w:before="0" w:after="104" w:line="293" w:lineRule="exact"/>
        <w:ind w:firstLine="720"/>
      </w:pPr>
      <w:r>
        <w:t>Zgłoszony przez Pana postulat zostanie poddany analizie pod względem za</w:t>
      </w:r>
      <w:r>
        <w:t>sadności wykorzystania go przy ewentualnych kolejnych pracach legislacyjnych.</w:t>
      </w:r>
    </w:p>
    <w:p w14:paraId="5DC110A0" w14:textId="77777777" w:rsidR="00D07C98" w:rsidRDefault="00FE1350">
      <w:pPr>
        <w:pStyle w:val="Teksttreci20"/>
        <w:shd w:val="clear" w:color="auto" w:fill="auto"/>
        <w:spacing w:before="0"/>
        <w:ind w:firstLine="720"/>
      </w:pPr>
      <w:r>
        <w:t>Jednocześnie należy zwrócić uwagę, że przedmioty lub substancje powstające w wyniku procesu produkcyjnego, którego podstawowym celem nie jest ich produkcja, mogą zostać zakwalifi</w:t>
      </w:r>
      <w:r>
        <w:t>kowane jako produkt uboczny albo jako pozostałości poprodukcyjne będące odpadami. Zakwalifikowanie pozostałości poprodukcyjnych jako produkt uboczny zależy od spełnienia warunków uznania przedmiotu lub substancji za produkt uboczny określonych w art. 10 us</w:t>
      </w:r>
      <w:r>
        <w:t>tawy o odpadach</w:t>
      </w:r>
      <w:r>
        <w:rPr>
          <w:vertAlign w:val="superscript"/>
        </w:rPr>
        <w:footnoteReference w:id="1"/>
      </w:r>
      <w:r>
        <w:t>.</w:t>
      </w:r>
    </w:p>
    <w:p w14:paraId="52A7C0A9" w14:textId="77777777" w:rsidR="00D07C98" w:rsidRDefault="00FE1350">
      <w:pPr>
        <w:pStyle w:val="Teksttreci20"/>
        <w:shd w:val="clear" w:color="auto" w:fill="auto"/>
        <w:spacing w:before="0" w:after="0"/>
        <w:ind w:firstLine="720"/>
        <w:sectPr w:rsidR="00D07C98">
          <w:footerReference w:type="default" r:id="rId6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 xml:space="preserve">Zgodnie z art. 11 ww. ustawy o odpadach wytwórca przedmiotu lub substancji powstających w wyniku procesu produkcyjnego, którego podstawowym celem nie jest ich produkcja ma </w:t>
      </w:r>
      <w:r>
        <w:t>możliwość przedłożenia właściwemu marszałkowi zgłoszenia uznania przedmiotu lub substancji za produkt uboczny zawierającego informacje wskazujące na łączne spełnienie warunków określonych w art. 10 ww. ustawy, w tym szczegółowych warunków uznania danego pr</w:t>
      </w:r>
      <w:r>
        <w:t>zedmiotu lub substancji za produkt uboczny, o ile zostały określone w przepisach UE lub w przepisach krajowych. Brak przepisów unijnych i krajowych określających szczegółowe warunki uznania danego przedmiotu lub substancji za produkt uboczny nie stanowi za</w:t>
      </w:r>
      <w:r>
        <w:t>tem przesłanki do wydania przez właściwego marszałka województwa decyzji stwierdzającej niespełnienie warunków uznania za produkt uboczny. Co więcej, brak rozporządzenia określającego szczegółowe warunki uznania przedmiotu lub substancji za produkt uboczny</w:t>
      </w:r>
      <w:r>
        <w:t xml:space="preserve"> zapewnia większą elastyczność przy wskazywaniu przez wytwórcę danego przedmiotu lub substancji, że określone wykorzystanie powstałych pozostałości poprodukcyjnych nie doprowadzi do ogólnych negatywnych oddziaływań na środowisko, życie lub zdrowie ludzi.</w:t>
      </w:r>
    </w:p>
    <w:p w14:paraId="0896FAE0" w14:textId="77777777" w:rsidR="00D07C98" w:rsidRDefault="00FE1350">
      <w:pPr>
        <w:pStyle w:val="Teksttreci20"/>
        <w:shd w:val="clear" w:color="auto" w:fill="auto"/>
        <w:spacing w:before="0" w:after="120"/>
      </w:pPr>
      <w:r>
        <w:lastRenderedPageBreak/>
        <w:t>D</w:t>
      </w:r>
      <w:r>
        <w:t>odatkowo należy wskazać, że w obecnym stanie prawnym nie ma zakazu spalania odpadów z produkcji stolarki budowalnej w instalacjach eksploatowanych przez producentów stolarki budowlanej pod warunkiem dotrzymania odpowiednich wymogów. Odpady w postaci materi</w:t>
      </w:r>
      <w:r>
        <w:t>ałów drewnopochodnych zanieczyszczonych klejami, impregnatami czy powłokami ochronnymi mogą zostać wykorzystane w celach energetycznych, o ile instalacje służące do ich spalenia spełniają warunki określone dla spalarni i współspalarni odpadów (wynikające m</w:t>
      </w:r>
      <w:r>
        <w:t>.in. z ustawy o odpadach oraz z rozporządzenia w sprawie standardów emisyjnych dla niektórych rodzajów instalacji, źródeł spalania paliw oraz urządzeń spalania lub współspalania odpadów</w:t>
      </w:r>
      <w:r>
        <w:rPr>
          <w:vertAlign w:val="superscript"/>
        </w:rPr>
        <w:footnoteReference w:id="2"/>
      </w:r>
      <w:r>
        <w:t>).</w:t>
      </w:r>
    </w:p>
    <w:p w14:paraId="232310EF" w14:textId="77777777" w:rsidR="00D07C98" w:rsidRDefault="00FE1350">
      <w:pPr>
        <w:pStyle w:val="Teksttreci20"/>
        <w:shd w:val="clear" w:color="auto" w:fill="auto"/>
        <w:spacing w:before="0" w:after="555"/>
      </w:pPr>
      <w:r>
        <w:t>Jednocześnie uprzejmie informuję, że niniejsze pismo nie stanowi w</w:t>
      </w:r>
      <w:r>
        <w:t>iążącej wykładni prawa i nie jest wiążące dla organów administracji orzekających w sprawach indywidualnych.</w:t>
      </w:r>
    </w:p>
    <w:p w14:paraId="134D6516" w14:textId="77777777" w:rsidR="00D07C98" w:rsidRDefault="00FE1350">
      <w:pPr>
        <w:pStyle w:val="Teksttreci40"/>
        <w:shd w:val="clear" w:color="auto" w:fill="auto"/>
        <w:spacing w:before="0" w:after="0"/>
        <w:ind w:left="4720"/>
        <w:jc w:val="left"/>
      </w:pPr>
      <w:r>
        <w:t>Z poważaniem</w:t>
      </w:r>
    </w:p>
    <w:sectPr w:rsidR="00D07C98">
      <w:pgSz w:w="11900" w:h="16840"/>
      <w:pgMar w:top="1431" w:right="1380" w:bottom="1378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C9FF" w14:textId="77777777" w:rsidR="00FE1350" w:rsidRDefault="00FE1350">
      <w:r>
        <w:separator/>
      </w:r>
    </w:p>
  </w:endnote>
  <w:endnote w:type="continuationSeparator" w:id="0">
    <w:p w14:paraId="2C3CAEC4" w14:textId="77777777" w:rsidR="00FE1350" w:rsidRDefault="00FE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20D7" w14:textId="15CD2A99" w:rsidR="00D07C98" w:rsidRDefault="00B416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CE9FCFF" wp14:editId="66563F74">
              <wp:simplePos x="0" y="0"/>
              <wp:positionH relativeFrom="page">
                <wp:posOffset>6597650</wp:posOffset>
              </wp:positionH>
              <wp:positionV relativeFrom="page">
                <wp:posOffset>10092690</wp:posOffset>
              </wp:positionV>
              <wp:extent cx="64135" cy="146050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C026A" w14:textId="77777777" w:rsidR="00D07C98" w:rsidRDefault="00FE135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9F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5pt;margin-top:794.7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" filled="f" stroked="f">
              <v:textbox style="mso-fit-shape-to-text:t" inset="0,0,0,0">
                <w:txbxContent>
                  <w:p w14:paraId="616C026A" w14:textId="77777777" w:rsidR="00D07C98" w:rsidRDefault="00FE135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2AF2" w14:textId="77777777" w:rsidR="00FE1350" w:rsidRDefault="00FE1350">
      <w:r>
        <w:separator/>
      </w:r>
    </w:p>
  </w:footnote>
  <w:footnote w:type="continuationSeparator" w:id="0">
    <w:p w14:paraId="104C24BE" w14:textId="77777777" w:rsidR="00FE1350" w:rsidRDefault="00FE1350">
      <w:r>
        <w:continuationSeparator/>
      </w:r>
    </w:p>
  </w:footnote>
  <w:footnote w:id="1">
    <w:p w14:paraId="579B821A" w14:textId="77777777" w:rsidR="00D07C98" w:rsidRDefault="00FE1350">
      <w:pPr>
        <w:pStyle w:val="Stopka1"/>
        <w:shd w:val="clear" w:color="auto" w:fill="auto"/>
        <w:spacing w:after="303"/>
      </w:pPr>
      <w:r>
        <w:rPr>
          <w:vertAlign w:val="superscript"/>
        </w:rPr>
        <w:footnoteRef/>
      </w:r>
      <w:r>
        <w:t xml:space="preserve"> Ustawa z dnia 14 grudnia 2012 r. o odpadach (Dz.U. z 2022 r. poz. 699)</w:t>
      </w:r>
    </w:p>
    <w:p w14:paraId="03DAF385" w14:textId="77777777" w:rsidR="00D07C98" w:rsidRDefault="00FE1350">
      <w:pPr>
        <w:pStyle w:val="Stopka1"/>
        <w:shd w:val="clear" w:color="auto" w:fill="auto"/>
        <w:spacing w:after="0" w:line="269" w:lineRule="exact"/>
        <w:ind w:right="60"/>
        <w:jc w:val="center"/>
      </w:pPr>
      <w:r>
        <w:t xml:space="preserve">ul. Wawelska 52/54, 00-922 Warszawa; tel. (22) 36-92-262, faks (22) 36-92-795,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 xml:space="preserve">Działamy zgodnie z EMAS - zarządzając </w:t>
      </w:r>
      <w:r>
        <w:t>instytucją dbamy o środowisko</w:t>
      </w:r>
    </w:p>
  </w:footnote>
  <w:footnote w:id="2">
    <w:p w14:paraId="01BCE127" w14:textId="77777777" w:rsidR="00D07C98" w:rsidRDefault="00FE1350">
      <w:pPr>
        <w:pStyle w:val="Stopka1"/>
        <w:shd w:val="clear" w:color="auto" w:fill="auto"/>
        <w:spacing w:after="0" w:line="230" w:lineRule="exact"/>
      </w:pPr>
      <w:r>
        <w:rPr>
          <w:vertAlign w:val="superscript"/>
        </w:rPr>
        <w:footnoteRef/>
      </w:r>
      <w:r>
        <w:t xml:space="preserve"> Rozporządzenie Ministra Klimatu z dnia 24 września 2020 r. w sprawie standardów emisyjnych dla niektórych rodzajów instalacji, źródeł spalania paliw oraz urządzeń spalania lub współspalania odpadów (Dz. U. z 2020 r. poz. 186</w:t>
      </w:r>
      <w:r>
        <w:t>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98"/>
    <w:rsid w:val="00B416B3"/>
    <w:rsid w:val="00D07C98"/>
    <w:rsid w:val="00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52A3"/>
  <w15:docId w15:val="{7A3A8BE4-D734-4835-92FD-0F52DAB7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after="34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6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10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358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580" w:after="5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after="100" w:line="288" w:lineRule="exact"/>
      <w:ind w:firstLine="6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SOCJUSZ Marta</dc:creator>
  <cp:lastModifiedBy>SOCJUSZ Marta</cp:lastModifiedBy>
  <cp:revision>1</cp:revision>
  <dcterms:created xsi:type="dcterms:W3CDTF">2022-06-09T08:44:00Z</dcterms:created>
  <dcterms:modified xsi:type="dcterms:W3CDTF">2022-06-09T08:45:00Z</dcterms:modified>
</cp:coreProperties>
</file>