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F251" w14:textId="77777777" w:rsidR="00C57B31" w:rsidRDefault="00FA5758">
      <w:pPr>
        <w:pStyle w:val="Nagwek10"/>
        <w:keepNext/>
        <w:keepLines/>
        <w:shd w:val="clear" w:color="auto" w:fill="auto"/>
        <w:spacing w:after="103"/>
      </w:pPr>
      <w:bookmarkStart w:id="0" w:name="bookmark0"/>
      <w:r>
        <w:rPr>
          <w:rStyle w:val="Nagwek11"/>
        </w:rPr>
        <w:t xml:space="preserve"> </w:t>
      </w:r>
      <w:r>
        <w:t>Ministerstwo</w:t>
      </w:r>
    </w:p>
    <w:p w14:paraId="225E3E50" w14:textId="08588005" w:rsidR="00A84FB6" w:rsidRDefault="00FA5758">
      <w:pPr>
        <w:pStyle w:val="Nagwek10"/>
        <w:keepNext/>
        <w:keepLines/>
        <w:shd w:val="clear" w:color="auto" w:fill="auto"/>
        <w:spacing w:after="103"/>
      </w:pPr>
      <w:r>
        <w:rPr>
          <w:rStyle w:val="Nagwek12"/>
        </w:rPr>
        <w:t xml:space="preserve"> </w:t>
      </w:r>
      <w:r>
        <w:t>Klimatu i Środowiska</w:t>
      </w:r>
      <w:bookmarkEnd w:id="0"/>
    </w:p>
    <w:p w14:paraId="1489533D" w14:textId="77777777" w:rsidR="00A84FB6" w:rsidRDefault="00FA5758" w:rsidP="00C57B31">
      <w:pPr>
        <w:pStyle w:val="Nagwek20"/>
        <w:keepNext/>
        <w:keepLines/>
        <w:shd w:val="clear" w:color="auto" w:fill="auto"/>
        <w:spacing w:before="0" w:after="325"/>
        <w:jc w:val="left"/>
      </w:pPr>
      <w:bookmarkStart w:id="1" w:name="bookmark1"/>
      <w:r>
        <w:t>Departament Ciepłownictwa</w:t>
      </w:r>
      <w:bookmarkEnd w:id="1"/>
    </w:p>
    <w:p w14:paraId="734B0C45" w14:textId="77777777" w:rsidR="00A84FB6" w:rsidRDefault="00FA5758">
      <w:pPr>
        <w:pStyle w:val="Teksttreci20"/>
        <w:shd w:val="clear" w:color="auto" w:fill="auto"/>
        <w:spacing w:before="0" w:after="106"/>
        <w:ind w:firstLine="0"/>
      </w:pPr>
      <w:r>
        <w:pict w14:anchorId="65503866">
          <v:shapetype id="_x0000_t202" coordsize="21600,21600" o:spt="202" path="m,l,21600r21600,l21600,xe">
            <v:stroke joinstyle="miter"/>
            <v:path gradientshapeok="t" o:connecttype="rect"/>
          </v:shapetype>
          <v:shape id="_x0000_s2050" type="#_x0000_t202" style="position:absolute;margin-left:308.9pt;margin-top:1pt;width:150.5pt;height:14.5pt;z-index:-251658752;mso-wrap-distance-left:122.65pt;mso-wrap-distance-right:5pt;mso-position-horizontal-relative:margin" filled="f" stroked="f">
            <v:textbox style="mso-fit-shape-to-text:t" inset="0,0,0,0">
              <w:txbxContent>
                <w:p w14:paraId="35AC3F7C" w14:textId="77777777" w:rsidR="00A84FB6" w:rsidRDefault="00FA5758">
                  <w:pPr>
                    <w:pStyle w:val="Teksttreci20"/>
                    <w:shd w:val="clear" w:color="auto" w:fill="auto"/>
                    <w:spacing w:before="0" w:after="0"/>
                    <w:ind w:firstLine="0"/>
                  </w:pPr>
                  <w:r>
                    <w:rPr>
                      <w:rStyle w:val="Teksttreci2Exact"/>
                    </w:rPr>
                    <w:t>Warszawa, dnia 04-05-2022 r.</w:t>
                  </w:r>
                </w:p>
              </w:txbxContent>
            </v:textbox>
            <w10:wrap type="square" side="left" anchorx="margin"/>
          </v:shape>
        </w:pict>
      </w:r>
      <w:r>
        <w:t>DC-WKiC.053.1.2022.PB</w:t>
      </w:r>
    </w:p>
    <w:p w14:paraId="2122AD5A" w14:textId="77777777" w:rsidR="00A84FB6" w:rsidRDefault="00FA5758">
      <w:pPr>
        <w:pStyle w:val="Teksttreci30"/>
        <w:shd w:val="clear" w:color="auto" w:fill="auto"/>
        <w:spacing w:before="0"/>
        <w:sectPr w:rsidR="00A84FB6">
          <w:footerReference w:type="default" r:id="rId7"/>
          <w:pgSz w:w="11900" w:h="16840"/>
          <w:pgMar w:top="1028" w:right="6866" w:bottom="567" w:left="1308" w:header="0" w:footer="3" w:gutter="0"/>
          <w:cols w:space="720"/>
          <w:noEndnote/>
          <w:titlePg/>
          <w:docGrid w:linePitch="360"/>
        </w:sectPr>
      </w:pPr>
      <w:r>
        <w:t>1974492</w:t>
      </w:r>
      <w:r>
        <w:rPr>
          <w:rStyle w:val="Teksttreci35pt"/>
        </w:rPr>
        <w:t>.</w:t>
      </w:r>
      <w:r>
        <w:t>6973169.5972377</w:t>
      </w:r>
    </w:p>
    <w:p w14:paraId="4A6119F4" w14:textId="77777777" w:rsidR="00A84FB6" w:rsidRDefault="00A84FB6">
      <w:pPr>
        <w:spacing w:line="240" w:lineRule="exact"/>
        <w:rPr>
          <w:sz w:val="19"/>
          <w:szCs w:val="19"/>
        </w:rPr>
      </w:pPr>
    </w:p>
    <w:p w14:paraId="0A2D91B1" w14:textId="77777777" w:rsidR="00A84FB6" w:rsidRDefault="00A84FB6">
      <w:pPr>
        <w:spacing w:line="240" w:lineRule="exact"/>
        <w:rPr>
          <w:sz w:val="19"/>
          <w:szCs w:val="19"/>
        </w:rPr>
      </w:pPr>
    </w:p>
    <w:p w14:paraId="113AE3EF" w14:textId="77777777" w:rsidR="00A84FB6" w:rsidRDefault="00A84FB6">
      <w:pPr>
        <w:spacing w:line="240" w:lineRule="exact"/>
        <w:rPr>
          <w:sz w:val="19"/>
          <w:szCs w:val="19"/>
        </w:rPr>
      </w:pPr>
    </w:p>
    <w:p w14:paraId="1B46F6E2" w14:textId="77777777" w:rsidR="00A84FB6" w:rsidRDefault="00A84FB6">
      <w:pPr>
        <w:spacing w:line="240" w:lineRule="exact"/>
        <w:rPr>
          <w:sz w:val="19"/>
          <w:szCs w:val="19"/>
        </w:rPr>
      </w:pPr>
    </w:p>
    <w:p w14:paraId="0C79F247" w14:textId="77777777" w:rsidR="00A84FB6" w:rsidRDefault="00A84FB6">
      <w:pPr>
        <w:spacing w:line="240" w:lineRule="exact"/>
        <w:rPr>
          <w:sz w:val="19"/>
          <w:szCs w:val="19"/>
        </w:rPr>
      </w:pPr>
    </w:p>
    <w:p w14:paraId="3D504DC8" w14:textId="77777777" w:rsidR="00A84FB6" w:rsidRDefault="00A84FB6">
      <w:pPr>
        <w:spacing w:line="240" w:lineRule="exact"/>
        <w:rPr>
          <w:sz w:val="19"/>
          <w:szCs w:val="19"/>
        </w:rPr>
      </w:pPr>
    </w:p>
    <w:p w14:paraId="4CC4D024" w14:textId="77777777" w:rsidR="00A84FB6" w:rsidRDefault="00A84FB6">
      <w:pPr>
        <w:spacing w:line="240" w:lineRule="exact"/>
        <w:rPr>
          <w:sz w:val="19"/>
          <w:szCs w:val="19"/>
        </w:rPr>
      </w:pPr>
    </w:p>
    <w:p w14:paraId="3571D0CB" w14:textId="77777777" w:rsidR="00A84FB6" w:rsidRDefault="00A84FB6">
      <w:pPr>
        <w:spacing w:line="240" w:lineRule="exact"/>
        <w:rPr>
          <w:sz w:val="19"/>
          <w:szCs w:val="19"/>
        </w:rPr>
      </w:pPr>
    </w:p>
    <w:p w14:paraId="6A63BBCF" w14:textId="77777777" w:rsidR="00A84FB6" w:rsidRDefault="00A84FB6">
      <w:pPr>
        <w:spacing w:line="240" w:lineRule="exact"/>
        <w:rPr>
          <w:sz w:val="19"/>
          <w:szCs w:val="19"/>
        </w:rPr>
      </w:pPr>
    </w:p>
    <w:p w14:paraId="0F28D9A8" w14:textId="77777777" w:rsidR="00A84FB6" w:rsidRDefault="00A84FB6">
      <w:pPr>
        <w:spacing w:line="240" w:lineRule="exact"/>
        <w:rPr>
          <w:sz w:val="19"/>
          <w:szCs w:val="19"/>
        </w:rPr>
      </w:pPr>
    </w:p>
    <w:p w14:paraId="2D32B343" w14:textId="77777777" w:rsidR="00A84FB6" w:rsidRDefault="00A84FB6">
      <w:pPr>
        <w:spacing w:before="55" w:after="55" w:line="240" w:lineRule="exact"/>
        <w:rPr>
          <w:sz w:val="19"/>
          <w:szCs w:val="19"/>
        </w:rPr>
      </w:pPr>
    </w:p>
    <w:p w14:paraId="0D13D1C8" w14:textId="77777777" w:rsidR="00A84FB6" w:rsidRDefault="00A84FB6">
      <w:pPr>
        <w:rPr>
          <w:sz w:val="2"/>
          <w:szCs w:val="2"/>
        </w:rPr>
        <w:sectPr w:rsidR="00A84FB6">
          <w:type w:val="continuous"/>
          <w:pgSz w:w="11900" w:h="16840"/>
          <w:pgMar w:top="1028" w:right="0" w:bottom="567" w:left="0" w:header="0" w:footer="3" w:gutter="0"/>
          <w:cols w:space="720"/>
          <w:noEndnote/>
          <w:docGrid w:linePitch="360"/>
        </w:sectPr>
      </w:pPr>
    </w:p>
    <w:p w14:paraId="4C63A139" w14:textId="77777777" w:rsidR="00A84FB6" w:rsidRDefault="00FA5758">
      <w:pPr>
        <w:pStyle w:val="Teksttreci40"/>
        <w:shd w:val="clear" w:color="auto" w:fill="auto"/>
        <w:spacing w:after="1689"/>
        <w:ind w:left="5720" w:right="1300"/>
      </w:pPr>
      <w:r>
        <w:t xml:space="preserve">Izba Gospodarcza </w:t>
      </w:r>
      <w:r>
        <w:t>Ciepłownictwo Polskie</w:t>
      </w:r>
    </w:p>
    <w:p w14:paraId="252CF10F" w14:textId="77777777" w:rsidR="00A84FB6" w:rsidRDefault="00FA5758">
      <w:pPr>
        <w:pStyle w:val="Teksttreci50"/>
        <w:shd w:val="clear" w:color="auto" w:fill="auto"/>
        <w:spacing w:before="0" w:after="95"/>
        <w:ind w:firstLine="480"/>
      </w:pPr>
      <w:r>
        <w:t>Szanowni Panowie Prezesi,</w:t>
      </w:r>
    </w:p>
    <w:p w14:paraId="48288EC3" w14:textId="77777777" w:rsidR="00A84FB6" w:rsidRDefault="00FA5758">
      <w:pPr>
        <w:pStyle w:val="Teksttreci50"/>
        <w:shd w:val="clear" w:color="auto" w:fill="auto"/>
        <w:spacing w:before="0" w:line="288" w:lineRule="exact"/>
        <w:ind w:firstLine="480"/>
      </w:pPr>
      <w:r>
        <w:rPr>
          <w:rStyle w:val="Teksttreci5Bezkursywy"/>
        </w:rPr>
        <w:t xml:space="preserve">w związku z petycją złożoną przez Panów Prezesów pismem z dnia 9 lutego 2022 r., znak: IGCP/30/2020, która zawiera wniosek o </w:t>
      </w:r>
      <w:r>
        <w:t>„zmianę dotychczasowych zapisów art. 7 ust 11 ustawy Prawo energetyczne w części do</w:t>
      </w:r>
      <w:r>
        <w:t>tyczącej nie pobierania opłaty za przyłączenie do sieci ciepłowniczej na podstawie regulacji art. 7b ust 1 tej ustawy”,</w:t>
      </w:r>
      <w:r>
        <w:rPr>
          <w:rStyle w:val="Teksttreci5Bezkursywy"/>
        </w:rPr>
        <w:t xml:space="preserve"> uprzejmie informuje co następuje.</w:t>
      </w:r>
    </w:p>
    <w:p w14:paraId="56F99F29" w14:textId="77777777" w:rsidR="00A84FB6" w:rsidRDefault="00FA5758">
      <w:pPr>
        <w:pStyle w:val="Teksttreci20"/>
        <w:shd w:val="clear" w:color="auto" w:fill="auto"/>
        <w:spacing w:before="0" w:after="140" w:line="288" w:lineRule="exact"/>
        <w:ind w:firstLine="480"/>
        <w:jc w:val="both"/>
      </w:pPr>
      <w:r>
        <w:t xml:space="preserve">Po analizie przedstawionego problemu, biorąc pod uwagę argumenty wskazane przez Panów </w:t>
      </w:r>
      <w:r>
        <w:t xml:space="preserve">Prezesów, uznaję, że przepis art. 7 ust. 11 ustawy z dnia 10 kwietnia 1997 r. - Prawo energetyczne (Dz. U. z 2021 r. poz. 716 z </w:t>
      </w:r>
      <w:proofErr w:type="spellStart"/>
      <w:r>
        <w:t>późn</w:t>
      </w:r>
      <w:proofErr w:type="spellEnd"/>
      <w:r>
        <w:t>. zm.), należy pozostawić w dotychczasowym brzmieniu.</w:t>
      </w:r>
    </w:p>
    <w:p w14:paraId="415BDD4F" w14:textId="77777777" w:rsidR="00A84FB6" w:rsidRDefault="00FA5758">
      <w:pPr>
        <w:pStyle w:val="Teksttreci20"/>
        <w:shd w:val="clear" w:color="auto" w:fill="auto"/>
        <w:spacing w:before="0" w:after="140" w:line="288" w:lineRule="exact"/>
        <w:ind w:firstLine="480"/>
        <w:jc w:val="both"/>
      </w:pPr>
      <w:r>
        <w:t>Na moje stanowisko, przede wszystkim ma wpływ fakt, że jednym z podsta</w:t>
      </w:r>
      <w:r>
        <w:t>wowych celów wskazanym w Polityce energetycznej Polski do 2040 r. (dalej: „PEP2040”), jest możliwość zaspokajania do 2040 r. potrzeb cieplnych wszystkich gospodarstw domowych, jak również przemysłu, usług, obiektów komercyjnych i biurowych przez ciepło sys</w:t>
      </w:r>
      <w:r>
        <w:t>temowe oraz przez zero lub niskoemisyjne źródła ciepła. Taki model powinien zapewnić wysoką efektywność energetyczną zaopatrzenia w ciepło, poprawę komfortu życia obywateli i ograniczyć problem tzw. „niskiej emisji”. Zgodnie z PEP2040, dzięki powszechnym d</w:t>
      </w:r>
      <w:r>
        <w:t>ziałaniom proefektywnościowym, całkowite zapotrzebowanie na ciepło będzie spadać, jednak wzrastać powinna liczba odbiorców ciepła systemowego, co poprzez działanie efektu skali, ma bezpośredni wpływ na opłaty za dostawę ciepła ponoszone przez wszystkich pr</w:t>
      </w:r>
      <w:r>
        <w:t>zyłączonych do sieci ciepłowniczej odbiorców.</w:t>
      </w:r>
    </w:p>
    <w:p w14:paraId="7C45EB60" w14:textId="77777777" w:rsidR="00A84FB6" w:rsidRDefault="00FA5758">
      <w:pPr>
        <w:pStyle w:val="Teksttreci20"/>
        <w:shd w:val="clear" w:color="auto" w:fill="auto"/>
        <w:spacing w:before="0" w:after="1135" w:line="288" w:lineRule="exact"/>
        <w:ind w:firstLine="480"/>
        <w:jc w:val="both"/>
      </w:pPr>
      <w:r>
        <w:t>W związku z powyższym, omawiany przepis art. 7 ust. 11 ustawy - Prawo energetyczne powinien stanowić swojego rodzaju „bonus” i zachętę dla potencjalnych inwestorów, skłaniającą ich do wyboru ciepła systemowego,</w:t>
      </w:r>
      <w:r>
        <w:t xml:space="preserve"> jako efektywnego sposobu zaopatrzenia swoich obiektów w ciepło.</w:t>
      </w:r>
    </w:p>
    <w:p w14:paraId="2163AD40" w14:textId="77777777" w:rsidR="00A84FB6" w:rsidRDefault="00FA5758">
      <w:pPr>
        <w:pStyle w:val="Teksttreci60"/>
        <w:shd w:val="clear" w:color="auto" w:fill="auto"/>
        <w:spacing w:before="0"/>
        <w:ind w:right="20"/>
        <w:sectPr w:rsidR="00A84FB6">
          <w:type w:val="continuous"/>
          <w:pgSz w:w="11900" w:h="16840"/>
          <w:pgMar w:top="1028" w:right="1390" w:bottom="567" w:left="1361" w:header="0" w:footer="3" w:gutter="0"/>
          <w:cols w:space="720"/>
          <w:noEndnote/>
          <w:docGrid w:linePitch="360"/>
        </w:sectPr>
      </w:pPr>
      <w:r>
        <w:t xml:space="preserve">ul. Wawelska 52/54, 00-922 Warszawa; tel. (22) 695-82-81, </w:t>
      </w:r>
      <w:hyperlink r:id="rId8" w:history="1">
        <w:r>
          <w:rPr>
            <w:lang w:val="en-US" w:eastAsia="en-US" w:bidi="en-US"/>
          </w:rPr>
          <w:t>www.gov.pl/klimat</w:t>
        </w:r>
      </w:hyperlink>
      <w:r>
        <w:rPr>
          <w:lang w:val="en-US" w:eastAsia="en-US" w:bidi="en-US"/>
        </w:rPr>
        <w:br/>
      </w:r>
      <w:r>
        <w:t xml:space="preserve">Działamy zgodnie z EMAS - zarządzając </w:t>
      </w:r>
      <w:r>
        <w:t>instytucją dbamy o środowisko</w:t>
      </w:r>
    </w:p>
    <w:p w14:paraId="07FA2EF8" w14:textId="77777777" w:rsidR="00A84FB6" w:rsidRDefault="00FA5758">
      <w:pPr>
        <w:pStyle w:val="Teksttreci20"/>
        <w:shd w:val="clear" w:color="auto" w:fill="auto"/>
        <w:spacing w:before="0" w:after="136" w:line="288" w:lineRule="exact"/>
        <w:ind w:firstLine="480"/>
        <w:jc w:val="both"/>
      </w:pPr>
      <w:r>
        <w:lastRenderedPageBreak/>
        <w:t>Należy także wskazać, że zgodnie z art. 7 ust. 11 ustawy - Prawo energetyczne, nieodpłatne przyłączenie do sieci ciepłowniczej obiektu następuje dopiero po spełnieniu przez podmiot ubiegający się o przyłączenie do sieci warunk</w:t>
      </w:r>
      <w:r>
        <w:t>ów określonych w art. 7b ust. 1 tej ustawy:</w:t>
      </w:r>
    </w:p>
    <w:p w14:paraId="23E894D8" w14:textId="77777777" w:rsidR="00A84FB6" w:rsidRDefault="00FA5758">
      <w:pPr>
        <w:pStyle w:val="Teksttreci20"/>
        <w:numPr>
          <w:ilvl w:val="0"/>
          <w:numId w:val="1"/>
        </w:numPr>
        <w:shd w:val="clear" w:color="auto" w:fill="auto"/>
        <w:tabs>
          <w:tab w:val="left" w:pos="292"/>
        </w:tabs>
        <w:spacing w:before="0" w:after="144" w:line="293" w:lineRule="exact"/>
        <w:ind w:left="340"/>
      </w:pPr>
      <w:r>
        <w:t>podmiot ubiegający się o przyłączenie do sieci ciepłowniczej musi posiadać tytułu prawny do korzystania z obiektu planowanego do przyłączenia do sieci ciepłowniczej,</w:t>
      </w:r>
    </w:p>
    <w:p w14:paraId="2CA2F784" w14:textId="77777777" w:rsidR="00A84FB6" w:rsidRDefault="00FA5758">
      <w:pPr>
        <w:pStyle w:val="Teksttreci20"/>
        <w:numPr>
          <w:ilvl w:val="0"/>
          <w:numId w:val="1"/>
        </w:numPr>
        <w:shd w:val="clear" w:color="auto" w:fill="auto"/>
        <w:tabs>
          <w:tab w:val="left" w:pos="292"/>
        </w:tabs>
        <w:spacing w:before="0" w:after="136" w:line="288" w:lineRule="exact"/>
        <w:ind w:left="340"/>
      </w:pPr>
      <w:r>
        <w:t>obiekt jest zlokalizowany na terenie, na który</w:t>
      </w:r>
      <w:r>
        <w:t>m istnieją techniczne warunki dostarczania ciepła z systemu ciepłowniczego lub chłodniczego,</w:t>
      </w:r>
    </w:p>
    <w:p w14:paraId="02FE3CA7" w14:textId="77777777" w:rsidR="00A84FB6" w:rsidRDefault="00FA5758">
      <w:pPr>
        <w:pStyle w:val="Teksttreci20"/>
        <w:numPr>
          <w:ilvl w:val="0"/>
          <w:numId w:val="1"/>
        </w:numPr>
        <w:shd w:val="clear" w:color="auto" w:fill="auto"/>
        <w:tabs>
          <w:tab w:val="left" w:pos="292"/>
        </w:tabs>
        <w:spacing w:before="0" w:after="189" w:line="293" w:lineRule="exact"/>
        <w:ind w:left="340"/>
      </w:pPr>
      <w:r>
        <w:t>istnieją techniczne i ekonomiczne warunki przyłączenia obiektu do sieci ciepłowniczej i dostarczania ciepła z sieci ciepłowniczej do tego obiektu,</w:t>
      </w:r>
    </w:p>
    <w:p w14:paraId="6E6980E5" w14:textId="77777777" w:rsidR="00A84FB6" w:rsidRDefault="00FA5758">
      <w:pPr>
        <w:pStyle w:val="Teksttreci20"/>
        <w:numPr>
          <w:ilvl w:val="0"/>
          <w:numId w:val="1"/>
        </w:numPr>
        <w:shd w:val="clear" w:color="auto" w:fill="auto"/>
        <w:tabs>
          <w:tab w:val="left" w:pos="292"/>
        </w:tabs>
        <w:spacing w:before="0" w:after="95"/>
        <w:ind w:left="340"/>
      </w:pPr>
      <w:r>
        <w:t xml:space="preserve">obiekt nie </w:t>
      </w:r>
      <w:r>
        <w:t>jest przyłączony do sieci ciepłowniczej lub wyposażony w indywidualne źródło ciepła.</w:t>
      </w:r>
    </w:p>
    <w:p w14:paraId="6082D42B" w14:textId="77777777" w:rsidR="00A84FB6" w:rsidRDefault="00FA5758">
      <w:pPr>
        <w:pStyle w:val="Teksttreci20"/>
        <w:shd w:val="clear" w:color="auto" w:fill="auto"/>
        <w:spacing w:before="0" w:after="140" w:line="288" w:lineRule="exact"/>
        <w:ind w:firstLine="480"/>
        <w:jc w:val="both"/>
      </w:pPr>
      <w:r>
        <w:t>Nieodzownym w uzasadnieniu jest uwzględnienie faktu, że nakłady poniesione przez przedsiębiorstwo energetyczne na przyłączenie do sieci nowego odbiorcy, przeznaczone są na</w:t>
      </w:r>
      <w:r>
        <w:t xml:space="preserve"> budowę przyłącza oraz niezbędnej infrastruktury związanej z przyłączeniem obiektu do sieci ciepłowniczej, a elementy te jako środki trwałe stanowią wartość regulacyjną aktywów, która w całości jest podstawą ustalenia zwrotu z kapitału (kosztu kapitału) w </w:t>
      </w:r>
      <w:r>
        <w:t>taryfach dla ciepła przedsiębiorstw energetycznych, natomiast po przekazaniu nowego majątku do eksploatacji uwzględniane są koszty amortyzacji w kalkulowanej taryfie dla ciepła. Obydwie wielkości są składowymi planowanych przychodów stanowiących podstawę k</w:t>
      </w:r>
      <w:r>
        <w:t>alkulacji stawek opłat za usługi przesyłania i dystrybucji ujętych w taryfie dla ciepła, wpływając na wzrost tych przychodów.</w:t>
      </w:r>
    </w:p>
    <w:p w14:paraId="161253A9" w14:textId="77777777" w:rsidR="00A84FB6" w:rsidRDefault="00FA5758">
      <w:pPr>
        <w:pStyle w:val="Teksttreci20"/>
        <w:shd w:val="clear" w:color="auto" w:fill="auto"/>
        <w:spacing w:before="0" w:after="1445" w:line="288" w:lineRule="exact"/>
        <w:ind w:firstLine="480"/>
        <w:jc w:val="both"/>
      </w:pPr>
      <w:r>
        <w:t xml:space="preserve">Odnosząc się do podniesionej przez Panów Prezesów kwestii, iż regulacja zwarta w art. 7b ust. 1 w związku z art. 7 ust. 11 ustawy </w:t>
      </w:r>
      <w:r>
        <w:t>- Prawo energetyczne zwiększa ryzyko ekonomiczne przedsiębiorstw, zaznaczyć należy, że ewentualne ryzyko wstępuje zarówno po stronie przedsiębiorstwa energetycznego, jak i po stronie odbiorcy. Ryzyko to niweluje zawarta umowa o przyłączenie do sieci, a w p</w:t>
      </w:r>
      <w:r>
        <w:t>rzypadku sporu na jej tle, istnieje możliwość wystąpienia na drogę sądową, zarówno przez podmiot przyłączany jak i przez przedsiębiorstwo energetyczne.</w:t>
      </w:r>
    </w:p>
    <w:p w14:paraId="58202C4C" w14:textId="77777777" w:rsidR="00A84FB6" w:rsidRDefault="00FA5758">
      <w:pPr>
        <w:pStyle w:val="Teksttreci50"/>
        <w:shd w:val="clear" w:color="auto" w:fill="auto"/>
        <w:spacing w:before="0" w:after="0"/>
        <w:ind w:left="4720"/>
        <w:jc w:val="left"/>
      </w:pPr>
      <w:r>
        <w:t>Z poważaniem</w:t>
      </w:r>
    </w:p>
    <w:sectPr w:rsidR="00A84FB6">
      <w:pgSz w:w="11900" w:h="16840"/>
      <w:pgMar w:top="1431" w:right="1380" w:bottom="1431" w:left="13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7333" w14:textId="77777777" w:rsidR="00FA5758" w:rsidRDefault="00FA5758">
      <w:r>
        <w:separator/>
      </w:r>
    </w:p>
  </w:endnote>
  <w:endnote w:type="continuationSeparator" w:id="0">
    <w:p w14:paraId="3434A40E" w14:textId="77777777" w:rsidR="00FA5758" w:rsidRDefault="00FA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86C8" w14:textId="77777777" w:rsidR="00A84FB6" w:rsidRDefault="00FA5758">
    <w:pPr>
      <w:rPr>
        <w:sz w:val="2"/>
        <w:szCs w:val="2"/>
      </w:rPr>
    </w:pPr>
    <w:r>
      <w:pict w14:anchorId="03718948">
        <v:shapetype id="_x0000_t202" coordsize="21600,21600" o:spt="202" path="m,l,21600r21600,l21600,xe">
          <v:stroke joinstyle="miter"/>
          <v:path gradientshapeok="t" o:connecttype="rect"/>
        </v:shapetype>
        <v:shape id="_x0000_s1025" type="#_x0000_t202" style="position:absolute;margin-left:519.5pt;margin-top:794.7pt;width:4.3pt;height:6.95pt;z-index:-251658752;mso-wrap-style:none;mso-wrap-distance-left:5pt;mso-wrap-distance-right:5pt;mso-position-horizontal-relative:page;mso-position-vertical-relative:page" wrapcoords="0 0" filled="f" stroked="f">
          <v:textbox style="mso-fit-shape-to-text:t" inset="0,0,0,0">
            <w:txbxContent>
              <w:p w14:paraId="6F99F03F" w14:textId="77777777" w:rsidR="00A84FB6" w:rsidRDefault="00FA5758">
                <w:pPr>
                  <w:pStyle w:val="Nagweklubstopka0"/>
                  <w:shd w:val="clear" w:color="auto" w:fill="auto"/>
                  <w:spacing w:line="240" w:lineRule="auto"/>
                </w:pPr>
                <w:r>
                  <w:rPr>
                    <w:rStyle w:val="Nagweklubstopka1"/>
                    <w:b/>
                    <w:bCs/>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4645" w14:textId="77777777" w:rsidR="00FA5758" w:rsidRDefault="00FA5758"/>
  </w:footnote>
  <w:footnote w:type="continuationSeparator" w:id="0">
    <w:p w14:paraId="724950D8" w14:textId="77777777" w:rsidR="00FA5758" w:rsidRDefault="00FA57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F250C"/>
    <w:multiLevelType w:val="multilevel"/>
    <w:tmpl w:val="D0340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839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84FB6"/>
    <w:rsid w:val="00A84FB6"/>
    <w:rsid w:val="00C57B31"/>
    <w:rsid w:val="00FA5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F12E17"/>
  <w15:docId w15:val="{607E8AC4-87C5-4F52-A499-DCA0C140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
    <w:rPr>
      <w:rFonts w:ascii="Times New Roman" w:eastAsia="Times New Roman" w:hAnsi="Times New Roman" w:cs="Times New Roman"/>
      <w:b w:val="0"/>
      <w:bCs w:val="0"/>
      <w:i w:val="0"/>
      <w:iCs w:val="0"/>
      <w:smallCaps w:val="0"/>
      <w:strike w:val="0"/>
      <w:color w:val="79B569"/>
      <w:spacing w:val="0"/>
      <w:w w:val="100"/>
      <w:position w:val="0"/>
      <w:sz w:val="30"/>
      <w:szCs w:val="30"/>
      <w:u w:val="none"/>
      <w:lang w:val="pl-PL" w:eastAsia="pl-PL" w:bidi="pl-PL"/>
    </w:rPr>
  </w:style>
  <w:style w:type="character" w:customStyle="1" w:styleId="Nagwek12">
    <w:name w:val="Nagłówek #1"/>
    <w:basedOn w:val="Nagwek1"/>
    <w:rPr>
      <w:rFonts w:ascii="Times New Roman" w:eastAsia="Times New Roman" w:hAnsi="Times New Roman" w:cs="Times New Roman"/>
      <w:b w:val="0"/>
      <w:bCs w:val="0"/>
      <w:i w:val="0"/>
      <w:iCs w:val="0"/>
      <w:smallCaps w:val="0"/>
      <w:strike w:val="0"/>
      <w:color w:val="3A9A8F"/>
      <w:spacing w:val="0"/>
      <w:w w:val="100"/>
      <w:position w:val="0"/>
      <w:sz w:val="30"/>
      <w:szCs w:val="30"/>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1"/>
      <w:szCs w:val="21"/>
      <w:u w:val="none"/>
    </w:rPr>
  </w:style>
  <w:style w:type="character" w:customStyle="1" w:styleId="Teksttreci5Bezkursywy">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20"/>
      <w:szCs w:val="20"/>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pPr>
      <w:shd w:val="clear" w:color="auto" w:fill="FFFFFF"/>
      <w:spacing w:before="280" w:after="80" w:line="232" w:lineRule="exact"/>
      <w:ind w:hanging="340"/>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after="80" w:line="317" w:lineRule="exact"/>
      <w:outlineLvl w:val="0"/>
    </w:pPr>
    <w:rPr>
      <w:rFonts w:ascii="Times New Roman" w:eastAsia="Times New Roman" w:hAnsi="Times New Roman" w:cs="Times New Roman"/>
      <w:sz w:val="30"/>
      <w:szCs w:val="30"/>
    </w:rPr>
  </w:style>
  <w:style w:type="paragraph" w:customStyle="1" w:styleId="Nagwek20">
    <w:name w:val="Nagłówek #2"/>
    <w:basedOn w:val="Normalny"/>
    <w:link w:val="Nagwek2"/>
    <w:pPr>
      <w:shd w:val="clear" w:color="auto" w:fill="FFFFFF"/>
      <w:spacing w:before="80" w:after="280" w:line="288" w:lineRule="exact"/>
      <w:jc w:val="right"/>
      <w:outlineLvl w:val="1"/>
    </w:pPr>
    <w:rPr>
      <w:rFonts w:ascii="Times New Roman" w:eastAsia="Times New Roman" w:hAnsi="Times New Roman" w:cs="Times New Roman"/>
      <w:sz w:val="26"/>
      <w:szCs w:val="26"/>
    </w:rPr>
  </w:style>
  <w:style w:type="paragraph" w:customStyle="1" w:styleId="Teksttreci30">
    <w:name w:val="Tekst treści (3)"/>
    <w:basedOn w:val="Normalny"/>
    <w:link w:val="Teksttreci3"/>
    <w:pPr>
      <w:shd w:val="clear" w:color="auto" w:fill="FFFFFF"/>
      <w:spacing w:before="80" w:line="200" w:lineRule="exact"/>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after="1640" w:line="293" w:lineRule="exact"/>
    </w:pPr>
    <w:rPr>
      <w:rFonts w:ascii="Times New Roman" w:eastAsia="Times New Roman" w:hAnsi="Times New Roman" w:cs="Times New Roman"/>
      <w:b/>
      <w:bCs/>
      <w:sz w:val="22"/>
      <w:szCs w:val="22"/>
    </w:rPr>
  </w:style>
  <w:style w:type="paragraph" w:customStyle="1" w:styleId="Teksttreci50">
    <w:name w:val="Tekst treści (5)"/>
    <w:basedOn w:val="Normalny"/>
    <w:link w:val="Teksttreci5"/>
    <w:pPr>
      <w:shd w:val="clear" w:color="auto" w:fill="FFFFFF"/>
      <w:spacing w:before="1640" w:after="140" w:line="232" w:lineRule="exact"/>
      <w:jc w:val="both"/>
    </w:pPr>
    <w:rPr>
      <w:rFonts w:ascii="Times New Roman" w:eastAsia="Times New Roman" w:hAnsi="Times New Roman" w:cs="Times New Roman"/>
      <w:i/>
      <w:iCs/>
      <w:sz w:val="21"/>
      <w:szCs w:val="21"/>
    </w:rPr>
  </w:style>
  <w:style w:type="paragraph" w:customStyle="1" w:styleId="Teksttreci60">
    <w:name w:val="Tekst treści (6)"/>
    <w:basedOn w:val="Normalny"/>
    <w:link w:val="Teksttreci6"/>
    <w:pPr>
      <w:shd w:val="clear" w:color="auto" w:fill="FFFFFF"/>
      <w:spacing w:before="1120" w:line="269" w:lineRule="exact"/>
      <w:jc w:val="center"/>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pPr>
      <w:shd w:val="clear" w:color="auto" w:fill="FFFFFF"/>
      <w:spacing w:line="222" w:lineRule="exact"/>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3720</Characters>
  <Application>Microsoft Office Word</Application>
  <DocSecurity>0</DocSecurity>
  <Lines>31</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2022-05-05T10:08:00Z</dcterms:created>
  <dcterms:modified xsi:type="dcterms:W3CDTF">2022-05-05T10:09:00Z</dcterms:modified>
</cp:coreProperties>
</file>