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339B" w14:textId="07577210" w:rsidR="003A6903" w:rsidRDefault="00B06826">
      <w:pPr>
        <w:pStyle w:val="Nagwek10"/>
        <w:keepNext/>
        <w:keepLines/>
        <w:shd w:val="clear" w:color="auto" w:fill="auto"/>
      </w:pPr>
      <w:bookmarkStart w:id="0" w:name="bookmark0"/>
      <w:r>
        <w:t>Ministerstwo</w:t>
      </w:r>
      <w:bookmarkEnd w:id="0"/>
    </w:p>
    <w:p w14:paraId="4E7EAF61" w14:textId="40BF72CE" w:rsidR="003A6903" w:rsidRDefault="00B06826" w:rsidP="00124F1C">
      <w:pPr>
        <w:pStyle w:val="Nagwek10"/>
        <w:keepNext/>
        <w:keepLines/>
        <w:shd w:val="clear" w:color="auto" w:fill="auto"/>
        <w:spacing w:line="354" w:lineRule="atLeast"/>
      </w:pPr>
      <w:bookmarkStart w:id="1" w:name="bookmark1"/>
      <w:r>
        <w:t>Klimatu i Środowiska</w:t>
      </w:r>
      <w:bookmarkEnd w:id="1"/>
    </w:p>
    <w:p w14:paraId="6D1AEFA2" w14:textId="77777777" w:rsidR="003A6903" w:rsidRDefault="00B06826" w:rsidP="00124F1C">
      <w:pPr>
        <w:pStyle w:val="Teksttreci30"/>
        <w:shd w:val="clear" w:color="auto" w:fill="auto"/>
        <w:sectPr w:rsidR="003A6903">
          <w:footerReference w:type="default" r:id="rId6"/>
          <w:pgSz w:w="11900" w:h="16840"/>
          <w:pgMar w:top="1028" w:right="5628" w:bottom="567" w:left="1308" w:header="0" w:footer="3" w:gutter="0"/>
          <w:cols w:space="720"/>
          <w:noEndnote/>
          <w:titlePg/>
          <w:docGrid w:linePitch="360"/>
        </w:sectPr>
      </w:pPr>
      <w:r>
        <w:t>Departament Elektroenergetyki i Gazu</w:t>
      </w:r>
    </w:p>
    <w:p w14:paraId="3D67FA0F" w14:textId="77777777" w:rsidR="003A6903" w:rsidRDefault="003A6903">
      <w:pPr>
        <w:spacing w:before="4" w:after="4" w:line="240" w:lineRule="exact"/>
        <w:rPr>
          <w:sz w:val="19"/>
          <w:szCs w:val="19"/>
        </w:rPr>
      </w:pPr>
    </w:p>
    <w:p w14:paraId="58F0F3FB" w14:textId="77777777" w:rsidR="003A6903" w:rsidRDefault="003A6903">
      <w:pPr>
        <w:rPr>
          <w:sz w:val="2"/>
          <w:szCs w:val="2"/>
        </w:rPr>
        <w:sectPr w:rsidR="003A6903">
          <w:type w:val="continuous"/>
          <w:pgSz w:w="11900" w:h="16840"/>
          <w:pgMar w:top="1028" w:right="0" w:bottom="567" w:left="0" w:header="0" w:footer="3" w:gutter="0"/>
          <w:cols w:space="720"/>
          <w:noEndnote/>
          <w:docGrid w:linePitch="360"/>
        </w:sectPr>
      </w:pPr>
    </w:p>
    <w:p w14:paraId="2ECCB88E" w14:textId="77777777" w:rsidR="003A6903" w:rsidRDefault="00B06826">
      <w:pPr>
        <w:pStyle w:val="Teksttreci20"/>
        <w:shd w:val="clear" w:color="auto" w:fill="auto"/>
        <w:sectPr w:rsidR="003A6903">
          <w:type w:val="continuous"/>
          <w:pgSz w:w="11900" w:h="16840"/>
          <w:pgMar w:top="1028" w:right="1404" w:bottom="567" w:left="7486" w:header="0" w:footer="3" w:gutter="0"/>
          <w:cols w:space="720"/>
          <w:noEndnote/>
          <w:docGrid w:linePitch="360"/>
        </w:sectPr>
      </w:pPr>
      <w:r>
        <w:pict w14:anchorId="33CD91C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304.8pt;margin-top:65.85pt;width:126.7pt;height:15.05pt;z-index:-251658752;mso-wrap-distance-left:5pt;mso-wrap-distance-right:178.1pt;mso-position-horizontal-relative:margin;mso-position-vertical-relative:margin" filled="f" stroked="f">
            <v:textbox style="mso-fit-shape-to-text:t" inset="0,0,0,0">
              <w:txbxContent>
                <w:p w14:paraId="072DCB37" w14:textId="77777777" w:rsidR="003A6903" w:rsidRDefault="00B06826">
                  <w:pPr>
                    <w:pStyle w:val="Teksttreci20"/>
                    <w:shd w:val="clear" w:color="auto" w:fill="auto"/>
                  </w:pPr>
                  <w:r>
                    <w:rPr>
                      <w:rStyle w:val="Teksttreci2Exact"/>
                    </w:rPr>
                    <w:t>DELG-WG.053.1.2022.MK</w:t>
                  </w:r>
                </w:p>
              </w:txbxContent>
            </v:textbox>
            <w10:wrap type="square" side="right" anchorx="margin" anchory="margin"/>
          </v:shape>
        </w:pict>
      </w:r>
      <w:r>
        <w:t>Warszawa, dnia 17-06-2022 r.</w:t>
      </w:r>
    </w:p>
    <w:p w14:paraId="7ED0E74A" w14:textId="77777777" w:rsidR="003A6903" w:rsidRDefault="003A6903">
      <w:pPr>
        <w:spacing w:line="61" w:lineRule="exact"/>
        <w:rPr>
          <w:sz w:val="5"/>
          <w:szCs w:val="5"/>
        </w:rPr>
      </w:pPr>
    </w:p>
    <w:p w14:paraId="2F45FB91" w14:textId="77777777" w:rsidR="003A6903" w:rsidRDefault="003A6903">
      <w:pPr>
        <w:rPr>
          <w:sz w:val="2"/>
          <w:szCs w:val="2"/>
        </w:rPr>
        <w:sectPr w:rsidR="003A6903">
          <w:type w:val="continuous"/>
          <w:pgSz w:w="11900" w:h="16840"/>
          <w:pgMar w:top="1028" w:right="0" w:bottom="567" w:left="0" w:header="0" w:footer="3" w:gutter="0"/>
          <w:cols w:space="720"/>
          <w:noEndnote/>
          <w:docGrid w:linePitch="360"/>
        </w:sectPr>
      </w:pPr>
    </w:p>
    <w:p w14:paraId="2AD0C2EB" w14:textId="77777777" w:rsidR="003A6903" w:rsidRDefault="00B06826">
      <w:pPr>
        <w:pStyle w:val="Teksttreci40"/>
        <w:shd w:val="clear" w:color="auto" w:fill="auto"/>
        <w:spacing w:after="3297"/>
      </w:pPr>
      <w:r>
        <w:t>1968275</w:t>
      </w:r>
      <w:r>
        <w:rPr>
          <w:rStyle w:val="Teksttreci45pt"/>
        </w:rPr>
        <w:t>.</w:t>
      </w:r>
      <w:r>
        <w:t>7508018.6222061</w:t>
      </w:r>
    </w:p>
    <w:p w14:paraId="25D271A9" w14:textId="77777777" w:rsidR="003A6903" w:rsidRDefault="00B06826">
      <w:pPr>
        <w:pStyle w:val="Teksttreci50"/>
        <w:shd w:val="clear" w:color="auto" w:fill="auto"/>
        <w:spacing w:before="0" w:after="90"/>
      </w:pPr>
      <w:r>
        <w:t>Szanowny Panie,</w:t>
      </w:r>
    </w:p>
    <w:p w14:paraId="155F3464" w14:textId="77777777" w:rsidR="003A6903" w:rsidRDefault="00B06826">
      <w:pPr>
        <w:pStyle w:val="Teksttreci20"/>
        <w:shd w:val="clear" w:color="auto" w:fill="auto"/>
        <w:spacing w:after="140" w:line="317" w:lineRule="exact"/>
        <w:jc w:val="both"/>
      </w:pPr>
      <w:r>
        <w:t>w odpowiedzi na pismo z dnia 4 stycznia 2022 r. zawierające prośbę o interpretację prz</w:t>
      </w:r>
      <w:r>
        <w:t xml:space="preserve">episów ustawy z dnia 10 kwietnia 1997 r. - </w:t>
      </w:r>
      <w:r>
        <w:rPr>
          <w:rStyle w:val="Teksttreci2115ptKursywa"/>
        </w:rPr>
        <w:t>Prawo energetyczne</w:t>
      </w:r>
      <w:r>
        <w:t xml:space="preserve"> (Dz.U. z 2021 r. poz. 716 ze zm.), informuję co następuje.</w:t>
      </w:r>
    </w:p>
    <w:p w14:paraId="0069AB8F" w14:textId="77777777" w:rsidR="003A6903" w:rsidRDefault="00B06826">
      <w:pPr>
        <w:pStyle w:val="Teksttreci20"/>
        <w:shd w:val="clear" w:color="auto" w:fill="auto"/>
        <w:spacing w:after="140" w:line="317" w:lineRule="exact"/>
        <w:jc w:val="both"/>
      </w:pPr>
      <w:r>
        <w:t xml:space="preserve">Zgodnie z art. 62b ustawy - </w:t>
      </w:r>
      <w:r>
        <w:rPr>
          <w:rStyle w:val="Teksttreci2115ptKursywa"/>
        </w:rPr>
        <w:t>Prawo energetyczne,</w:t>
      </w:r>
      <w:r>
        <w:t xml:space="preserve"> ochroną taryfową objęci są obecnie - co najmniej do dnia 31 grudnia 2023 r. - odbiorcy </w:t>
      </w:r>
      <w:r>
        <w:t>w gospodarstwach domowych oraz odbiorcy realizujący zadania z zakresu użyteczności publicznej (m.in. szpitale, szkoły czy przedszkola). W efekcie wprowadzonego w 2016 r. rozwiązania polegającego na stopniowym znoszeniu obowiązku opracowywania przez przedsi</w:t>
      </w:r>
      <w:r>
        <w:t>ębiorstwa energetyczne i przedkładania do Prezesa Urzędu Regulacji Energetyki (dalej: „Prezes URE”) taryf na ceny gazu ziemnego, odbiorcy będący przedsiębiorcami nie podlegają już takiej ochronie. Celem tego było dostosowanie polskiego prawa do przepisów u</w:t>
      </w:r>
      <w:r>
        <w:t>nijnych oraz wykonanie wyroku Trybunału Sprawiedliwości Unii Europejskiej (dalej: „TSUE”) dotyczącego administracyjnej kontroli cen paliw gazowych w Polsce.</w:t>
      </w:r>
    </w:p>
    <w:p w14:paraId="70E74E82" w14:textId="77777777" w:rsidR="003A6903" w:rsidRDefault="00B06826">
      <w:pPr>
        <w:pStyle w:val="Teksttreci20"/>
        <w:shd w:val="clear" w:color="auto" w:fill="auto"/>
        <w:spacing w:after="140" w:line="317" w:lineRule="exact"/>
        <w:jc w:val="both"/>
      </w:pPr>
      <w:r>
        <w:t>Objęcie aktualnie ochroną taryfową przedsiębiorców, którzy zapewniają swoim pracownikom miejsce zam</w:t>
      </w:r>
      <w:r>
        <w:t xml:space="preserve">ieszkania i są, w związku z tym, stroną umowy na dostarczanie paliw gazowych, uznane mogłoby zostać przez Komisję Europejską za niedozwoloną pomoc publiczną. Jak wynika bowiem z art. 107 Traktatu o funkcjonowaniu Unii Europejskiej </w:t>
      </w:r>
      <w:r>
        <w:rPr>
          <w:rStyle w:val="Teksttreci2115ptKursywa"/>
        </w:rPr>
        <w:t xml:space="preserve">„pomoc przyznawana przez </w:t>
      </w:r>
      <w:r>
        <w:rPr>
          <w:rStyle w:val="Teksttreci2115ptKursywa"/>
        </w:rPr>
        <w:t>państwo członkowskie lub przy użyciu zasobów państwowych w jakiejkolwiek formie, która zakłóca lub grozi zakłóceniem konkurencji poprzez sprzyjanie niektórym przedsiębiorstwom lub produkcji niektórych towarów, jest niezgodna z rynkiem wewnętrznym w zakresi</w:t>
      </w:r>
      <w:r>
        <w:rPr>
          <w:rStyle w:val="Teksttreci2115ptKursywa"/>
        </w:rPr>
        <w:t>e, w jakim wpływa na wymianę handlową między państwami członkowskimi</w:t>
      </w:r>
      <w:r>
        <w:t>”. Ujęcie w katalogu podmiotów objętych ochroną taryfową przedsiębiorców, wiązałoby się z ryzykiem skierowania przez Komisję Europejską do TSUE skargi przeciwko Polsce.</w:t>
      </w:r>
    </w:p>
    <w:p w14:paraId="74BBCEF4" w14:textId="77777777" w:rsidR="003A6903" w:rsidRDefault="00B06826">
      <w:pPr>
        <w:pStyle w:val="Teksttreci20"/>
        <w:shd w:val="clear" w:color="auto" w:fill="auto"/>
        <w:spacing w:after="439" w:line="317" w:lineRule="exact"/>
        <w:jc w:val="both"/>
      </w:pPr>
      <w:r>
        <w:t>W świetle powyższeg</w:t>
      </w:r>
      <w:r>
        <w:t>o, ceny gazu ziemnego, dla odbiorców niebędących gospodarstwami domowymi lub instytucjami pożytku publicznego, ustalane są niezależnie przez przedsiębiorstwa energetyczne bez ingerencji organów administracji publicznej. Przyjęte</w:t>
      </w:r>
    </w:p>
    <w:p w14:paraId="63FF6D49" w14:textId="77777777" w:rsidR="003A6903" w:rsidRDefault="00B06826">
      <w:pPr>
        <w:pStyle w:val="Teksttreci60"/>
        <w:shd w:val="clear" w:color="auto" w:fill="auto"/>
        <w:spacing w:before="0"/>
        <w:ind w:right="20"/>
        <w:sectPr w:rsidR="003A6903">
          <w:type w:val="continuous"/>
          <w:pgSz w:w="11900" w:h="16840"/>
          <w:pgMar w:top="1028" w:right="1385" w:bottom="567" w:left="1356" w:header="0" w:footer="3" w:gutter="0"/>
          <w:cols w:space="720"/>
          <w:noEndnote/>
          <w:docGrid w:linePitch="360"/>
        </w:sectPr>
      </w:pPr>
      <w:r>
        <w:t xml:space="preserve">ul. Wawelska 52/54, 00-922 Warszawa; tel. (22) 369-10-55, </w:t>
      </w:r>
      <w:hyperlink r:id="rId7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</w:t>
      </w:r>
      <w:r>
        <w:t>ją dbamy o środowisko</w:t>
      </w:r>
    </w:p>
    <w:p w14:paraId="59107318" w14:textId="77777777" w:rsidR="003A6903" w:rsidRDefault="00B06826">
      <w:pPr>
        <w:pStyle w:val="Teksttreci20"/>
        <w:shd w:val="clear" w:color="auto" w:fill="auto"/>
        <w:spacing w:after="124" w:line="322" w:lineRule="exact"/>
        <w:jc w:val="both"/>
      </w:pPr>
      <w:r>
        <w:lastRenderedPageBreak/>
        <w:t>rozwiązanie miało na celu promowanie konkurencji na rynku oraz bezpośrednio wynika z konieczności zapewnienia pełnej skuteczności przepisów europejskich w Polsce.</w:t>
      </w:r>
    </w:p>
    <w:p w14:paraId="671C36EF" w14:textId="77777777" w:rsidR="003A6903" w:rsidRDefault="00B06826">
      <w:pPr>
        <w:pStyle w:val="Teksttreci20"/>
        <w:shd w:val="clear" w:color="auto" w:fill="auto"/>
        <w:spacing w:after="124" w:line="317" w:lineRule="exact"/>
        <w:jc w:val="both"/>
      </w:pPr>
      <w:r>
        <w:t xml:space="preserve">Abstrahując od tego, czy przedsiębiorstwo może zostać objęte ochroną taryfową, należy również zauważyć, że nie wydaje się możliwe, aby hotel pracowniczy można było traktować jak gospodarstwo domowe, o którym mowa w art. 3 pkt 13b ustawy - </w:t>
      </w:r>
      <w:r>
        <w:rPr>
          <w:rStyle w:val="Teksttreci2115ptKursywa"/>
        </w:rPr>
        <w:t>Prawo energetyczn</w:t>
      </w:r>
      <w:r>
        <w:rPr>
          <w:rStyle w:val="Teksttreci2115ptKursywa"/>
        </w:rPr>
        <w:t xml:space="preserve">e. </w:t>
      </w:r>
      <w:r>
        <w:t xml:space="preserve">Ustawa nie precyzuje, co należy rozumieć pod pojęciem „gospodarstwo domowe”, jednak posługują się nim inne akty normatywne. Zgodnie na przykład z art. 2 pkt 3 ustawy z dnia 24 lutego 2022 r. </w:t>
      </w:r>
      <w:r>
        <w:rPr>
          <w:rStyle w:val="Teksttreci2115ptKursywa"/>
        </w:rPr>
        <w:t>o wsparciu gospodarstw domowych w ponoszeniu kosztów związanyc</w:t>
      </w:r>
      <w:r>
        <w:rPr>
          <w:rStyle w:val="Teksttreci2115ptKursywa"/>
        </w:rPr>
        <w:t>h ze zmianą standardu nadawania naziemnej telewizji cyfrowej</w:t>
      </w:r>
      <w:r>
        <w:t xml:space="preserve"> (Dz.U. poz. 501), przez gospodarstwo domowe należy rozumieć „</w:t>
      </w:r>
      <w:r>
        <w:rPr>
          <w:rStyle w:val="Teksttreci2115ptKursywa"/>
        </w:rPr>
        <w:t xml:space="preserve">zespół osób mieszkających i </w:t>
      </w:r>
      <w:r>
        <w:rPr>
          <w:rStyle w:val="PogrubienieTeksttreci2115ptKursywa"/>
        </w:rPr>
        <w:t xml:space="preserve">utrzymujących się wspólnie </w:t>
      </w:r>
      <w:r>
        <w:rPr>
          <w:rStyle w:val="Teksttreci2115ptKursywa"/>
        </w:rPr>
        <w:t xml:space="preserve">albo jedną osobę </w:t>
      </w:r>
      <w:r>
        <w:rPr>
          <w:rStyle w:val="PogrubienieTeksttreci2115ptKursywa"/>
        </w:rPr>
        <w:t>utrzymującą się samodzielnie</w:t>
      </w:r>
      <w:r>
        <w:rPr>
          <w:rStyle w:val="Teksttreci2115ptKursywa"/>
        </w:rPr>
        <w:t>, gdy miejsce zamieszkania tych os</w:t>
      </w:r>
      <w:r>
        <w:rPr>
          <w:rStyle w:val="Teksttreci2115ptKursywa"/>
        </w:rPr>
        <w:t>ób znajduje się na terytorium Rzeczypospolitej Polskiej</w:t>
      </w:r>
      <w:r>
        <w:t>’. W świetle tej definicji, hotel pracowniczy nie jest gospodarstwem domowym, ponieważ osoby go zamieszkujące nie ponoszą kosztów związanych z mediami, które - jak wynika z pisma - opłacane się przez o</w:t>
      </w:r>
      <w:r>
        <w:t>kreślone przedsiębiorstwa, co w efekcie oznacza, że osoby te nie utrzymują się wspólnie/samodzielnie.</w:t>
      </w:r>
    </w:p>
    <w:p w14:paraId="40745926" w14:textId="77777777" w:rsidR="003A6903" w:rsidRDefault="00B06826">
      <w:pPr>
        <w:pStyle w:val="Teksttreci50"/>
        <w:shd w:val="clear" w:color="auto" w:fill="auto"/>
        <w:spacing w:before="0" w:after="116" w:line="312" w:lineRule="exact"/>
      </w:pPr>
      <w:r>
        <w:rPr>
          <w:rStyle w:val="Teksttreci511ptBezkursywy"/>
        </w:rPr>
        <w:t xml:space="preserve">Na kwestie samodzielnego/wspólnego utrzymywania się osób zamieszkujących gospodarstwo domowe uwagę zwraca również definicja gospodarstwa domowego zawarta </w:t>
      </w:r>
      <w:r>
        <w:rPr>
          <w:rStyle w:val="Teksttreci511ptBezkursywy"/>
        </w:rPr>
        <w:t xml:space="preserve">w słowniku PWN. Zgodnie z nią jest to </w:t>
      </w:r>
      <w:r>
        <w:t xml:space="preserve">„zespół osób razem zamieszkujących i </w:t>
      </w:r>
      <w:r>
        <w:rPr>
          <w:rStyle w:val="Teksttreci5Pogrubienie"/>
          <w:i/>
          <w:iCs/>
        </w:rPr>
        <w:t>wspólnie utrzymujących się</w:t>
      </w:r>
      <w:r>
        <w:t>, w większości połączonych więzami biologicznymi i stanowiących rodziny, choć do gospodarstw domowych zalicza się również osoby niespokrewnione, ale wspóln</w:t>
      </w:r>
      <w:r>
        <w:t xml:space="preserve">ie zamieszkujące i </w:t>
      </w:r>
      <w:r>
        <w:rPr>
          <w:rStyle w:val="Teksttreci5Pogrubienie"/>
          <w:i/>
          <w:iCs/>
        </w:rPr>
        <w:t>utrzymujące się</w:t>
      </w:r>
      <w:r>
        <w:t xml:space="preserve">, osoby samotne, </w:t>
      </w:r>
      <w:r>
        <w:rPr>
          <w:rStyle w:val="Teksttreci5Pogrubienie"/>
          <w:i/>
          <w:iCs/>
        </w:rPr>
        <w:t xml:space="preserve">utrzymujące się samodzielnie </w:t>
      </w:r>
      <w:r>
        <w:t>to jednoosobowe gospodarstwa domowe</w:t>
      </w:r>
      <w:r>
        <w:rPr>
          <w:rStyle w:val="Teksttreci511ptBezkursywy"/>
        </w:rPr>
        <w:t>”.</w:t>
      </w:r>
    </w:p>
    <w:p w14:paraId="4A8CD6FA" w14:textId="77777777" w:rsidR="003A6903" w:rsidRDefault="00B06826">
      <w:pPr>
        <w:pStyle w:val="Teksttreci20"/>
        <w:shd w:val="clear" w:color="auto" w:fill="auto"/>
        <w:spacing w:after="178" w:line="317" w:lineRule="exact"/>
        <w:jc w:val="both"/>
      </w:pPr>
      <w:r>
        <w:t>Jednocześnie należy podkreślić, że Minister Klimatu i Środowiska nie jest organem uprawnionym do dokonywania wiążącej interpretacji przepi</w:t>
      </w:r>
      <w:r>
        <w:t>sów prawa, która mogłaby stanowić źródło uprawnień lub obowiązków dla podmiotu zwracającego się z zapytaniem o taką interpretację. Może jedynie zająć stanowisko, które nie jest wiążące dla innych organów administracji.</w:t>
      </w:r>
    </w:p>
    <w:p w14:paraId="18201C4D" w14:textId="77777777" w:rsidR="003A6903" w:rsidRDefault="00B06826">
      <w:pPr>
        <w:pStyle w:val="Teksttreci70"/>
        <w:shd w:val="clear" w:color="auto" w:fill="auto"/>
        <w:spacing w:before="0" w:after="936"/>
        <w:ind w:left="4720"/>
      </w:pPr>
      <w:r>
        <w:t>Z poważaniem</w:t>
      </w:r>
    </w:p>
    <w:p w14:paraId="22EA6388" w14:textId="77777777" w:rsidR="003A6903" w:rsidRDefault="00B06826">
      <w:pPr>
        <w:pStyle w:val="Teksttreci20"/>
        <w:shd w:val="clear" w:color="auto" w:fill="auto"/>
        <w:spacing w:line="250" w:lineRule="exact"/>
        <w:ind w:left="4720" w:right="1020"/>
      </w:pPr>
      <w:r>
        <w:t>Departament Elektroenerg</w:t>
      </w:r>
      <w:r>
        <w:t>etyki i Gazu / - podpisany cyfrowo/</w:t>
      </w:r>
    </w:p>
    <w:sectPr w:rsidR="003A6903">
      <w:pgSz w:w="11900" w:h="16840"/>
      <w:pgMar w:top="1436" w:right="1385" w:bottom="1436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0D36" w14:textId="77777777" w:rsidR="00B06826" w:rsidRDefault="00B06826">
      <w:r>
        <w:separator/>
      </w:r>
    </w:p>
  </w:endnote>
  <w:endnote w:type="continuationSeparator" w:id="0">
    <w:p w14:paraId="3EE608BA" w14:textId="77777777" w:rsidR="00B06826" w:rsidRDefault="00B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E21C" w14:textId="77777777" w:rsidR="003A6903" w:rsidRDefault="00B06826">
    <w:pPr>
      <w:rPr>
        <w:sz w:val="2"/>
        <w:szCs w:val="2"/>
      </w:rPr>
    </w:pPr>
    <w:r>
      <w:pict w14:anchorId="2DF0BA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148BE70" w14:textId="77777777" w:rsidR="003A6903" w:rsidRDefault="00B0682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B2AF" w14:textId="77777777" w:rsidR="00B06826" w:rsidRDefault="00B06826"/>
  </w:footnote>
  <w:footnote w:type="continuationSeparator" w:id="0">
    <w:p w14:paraId="78D31284" w14:textId="77777777" w:rsidR="00B06826" w:rsidRDefault="00B068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903"/>
    <w:rsid w:val="00124F1C"/>
    <w:rsid w:val="003A6903"/>
    <w:rsid w:val="00B0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C3177B5"/>
  <w15:docId w15:val="{F5C42B41-C44E-49E8-B258-F903695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B367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115ptKursywa">
    <w:name w:val="Tekst treści (2) + 11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5ptKursywa">
    <w:name w:val="Pogrubienie;Tekst treści (2) + 11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11ptBezkursywy">
    <w:name w:val="Tekst treści (5) + 11 pt;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Pogrubienie">
    <w:name w:val="Tekst treści (5) + Pogrubienie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34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340" w:after="140" w:line="25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40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20" w:after="94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klim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2022-06-22T14:05:00Z</dcterms:created>
  <dcterms:modified xsi:type="dcterms:W3CDTF">2022-06-22T14:05:00Z</dcterms:modified>
</cp:coreProperties>
</file>