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5E90" w14:textId="1B99EE95" w:rsidR="00273779" w:rsidRDefault="00D64F67">
      <w:pPr>
        <w:pStyle w:val="Teksttreci20"/>
        <w:shd w:val="clear" w:color="auto" w:fill="auto"/>
        <w:ind w:firstLine="0"/>
        <w:sectPr w:rsidR="00273779">
          <w:pgSz w:w="11900" w:h="16840"/>
          <w:pgMar w:top="1450" w:right="1400" w:bottom="1815" w:left="7731" w:header="0" w:footer="3" w:gutter="0"/>
          <w:cols w:space="720"/>
          <w:noEndnote/>
          <w:docGrid w:linePitch="360"/>
        </w:sectPr>
      </w:pPr>
      <w:r>
        <w:t>Warszawa, dnia 18-03-2022 r.</w:t>
      </w:r>
    </w:p>
    <w:p w14:paraId="39DDA802" w14:textId="7B629401" w:rsidR="00273779" w:rsidRDefault="00080C28">
      <w:pPr>
        <w:spacing w:line="186" w:lineRule="exact"/>
        <w:rPr>
          <w:sz w:val="15"/>
          <w:szCs w:val="15"/>
        </w:rPr>
      </w:pPr>
      <w:r>
        <w:pict w14:anchorId="12C24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1.25pt;margin-top:-58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07832B92" w14:textId="77777777" w:rsidR="00273779" w:rsidRDefault="00273779">
      <w:pPr>
        <w:rPr>
          <w:sz w:val="2"/>
          <w:szCs w:val="2"/>
        </w:rPr>
        <w:sectPr w:rsidR="00273779">
          <w:type w:val="continuous"/>
          <w:pgSz w:w="11900" w:h="16840"/>
          <w:pgMar w:top="1431" w:right="0" w:bottom="1469" w:left="0" w:header="0" w:footer="3" w:gutter="0"/>
          <w:cols w:space="720"/>
          <w:noEndnote/>
          <w:docGrid w:linePitch="360"/>
        </w:sectPr>
      </w:pPr>
    </w:p>
    <w:p w14:paraId="4E2B4785" w14:textId="77777777" w:rsidR="00273779" w:rsidRDefault="00D64F67">
      <w:pPr>
        <w:pStyle w:val="Nagwek10"/>
        <w:keepNext/>
        <w:keepLines/>
        <w:shd w:val="clear" w:color="auto" w:fill="auto"/>
        <w:spacing w:after="542"/>
      </w:pPr>
      <w:bookmarkStart w:id="0" w:name="bookmark0"/>
      <w:r>
        <w:t>Minister Klimatu i Środowiska</w:t>
      </w:r>
      <w:bookmarkEnd w:id="0"/>
    </w:p>
    <w:p w14:paraId="6D639E18" w14:textId="77777777" w:rsidR="00273779" w:rsidRDefault="00D64F67">
      <w:pPr>
        <w:pStyle w:val="Teksttreci20"/>
        <w:shd w:val="clear" w:color="auto" w:fill="auto"/>
        <w:ind w:firstLine="0"/>
        <w:jc w:val="both"/>
      </w:pPr>
      <w:r>
        <w:t>DLŁ-WKO.053.2.2022.APR</w:t>
      </w:r>
    </w:p>
    <w:p w14:paraId="21B4E453" w14:textId="77777777" w:rsidR="00273779" w:rsidRDefault="00D64F67">
      <w:pPr>
        <w:pStyle w:val="Teksttreci30"/>
        <w:shd w:val="clear" w:color="auto" w:fill="auto"/>
        <w:spacing w:after="3374"/>
      </w:pPr>
      <w:r>
        <w:t>1922771</w:t>
      </w:r>
      <w:r>
        <w:rPr>
          <w:rStyle w:val="Teksttreci35pt"/>
        </w:rPr>
        <w:t>.</w:t>
      </w:r>
      <w:r>
        <w:t>7154861.5730268</w:t>
      </w:r>
    </w:p>
    <w:p w14:paraId="33A80351" w14:textId="77777777" w:rsidR="00273779" w:rsidRDefault="00D64F67">
      <w:pPr>
        <w:pStyle w:val="Teksttreci40"/>
        <w:shd w:val="clear" w:color="auto" w:fill="auto"/>
        <w:spacing w:before="0" w:after="262"/>
      </w:pPr>
      <w:r>
        <w:t xml:space="preserve">Szanowny Panie, </w:t>
      </w:r>
      <w:r>
        <w:rPr>
          <w:rStyle w:val="Teksttreci2"/>
          <w:i w:val="0"/>
          <w:iCs w:val="0"/>
        </w:rPr>
        <w:t xml:space="preserve">w odpowiedzi na petycję z dnia 14 grudnia 2021 r., przekazaną do tut. organu w dniu 12 stycznia 2022 r. zgodnie z art. 6 ust. 1 ustawy z dnia 11 lipca 2014 r. </w:t>
      </w:r>
      <w:r>
        <w:rPr>
          <w:rStyle w:val="Teksttreci2Kursywa"/>
          <w:i/>
          <w:iCs/>
        </w:rPr>
        <w:t>o petycjach</w:t>
      </w:r>
      <w:r>
        <w:rPr>
          <w:rStyle w:val="Teksttreci2"/>
          <w:i w:val="0"/>
          <w:iCs w:val="0"/>
        </w:rPr>
        <w:t xml:space="preserve"> (Dz. U. z 2018 r., poz. 870) przez Ministerstwo Rolnictwa i Rozwoju Wsi, zawierającą </w:t>
      </w:r>
      <w:r>
        <w:rPr>
          <w:rStyle w:val="Teksttreci2"/>
          <w:i w:val="0"/>
          <w:iCs w:val="0"/>
        </w:rPr>
        <w:t xml:space="preserve">prośbę o zmianę ustawy z dnia 3 lutego 1995 r. </w:t>
      </w:r>
      <w:r>
        <w:rPr>
          <w:rStyle w:val="Teksttreci2Kursywa"/>
          <w:i/>
          <w:iCs/>
        </w:rPr>
        <w:t>o ochronie gruntów rolnych i leśnych</w:t>
      </w:r>
      <w:r>
        <w:rPr>
          <w:rStyle w:val="Teksttreci2"/>
          <w:i w:val="0"/>
          <w:iCs w:val="0"/>
        </w:rPr>
        <w:t xml:space="preserve"> (Dz. U. z 2021 r. poz.2163 z </w:t>
      </w:r>
      <w:proofErr w:type="spellStart"/>
      <w:r>
        <w:rPr>
          <w:rStyle w:val="Teksttreci2"/>
          <w:i w:val="0"/>
          <w:iCs w:val="0"/>
        </w:rPr>
        <w:t>późn</w:t>
      </w:r>
      <w:proofErr w:type="spellEnd"/>
      <w:r>
        <w:rPr>
          <w:rStyle w:val="Teksttreci2"/>
          <w:i w:val="0"/>
          <w:iCs w:val="0"/>
        </w:rPr>
        <w:t>. zm. ), zwanej dalej „</w:t>
      </w:r>
      <w:proofErr w:type="spellStart"/>
      <w:r>
        <w:rPr>
          <w:rStyle w:val="Teksttreci2"/>
          <w:i w:val="0"/>
          <w:iCs w:val="0"/>
        </w:rPr>
        <w:t>u.o.g.r.l</w:t>
      </w:r>
      <w:proofErr w:type="spellEnd"/>
      <w:r>
        <w:rPr>
          <w:rStyle w:val="Teksttreci2"/>
          <w:i w:val="0"/>
          <w:iCs w:val="0"/>
        </w:rPr>
        <w:t>.”, w zakresie umożliwienia rolnikowi, który posiada własny las, samodzielnego decydowania o jego wycince i</w:t>
      </w:r>
      <w:r>
        <w:rPr>
          <w:rStyle w:val="Teksttreci2"/>
          <w:i w:val="0"/>
          <w:iCs w:val="0"/>
        </w:rPr>
        <w:t xml:space="preserve"> przekształceniu na grunt rolny, bez konieczności uzyskania decyzji starosty informuję, że petycja została rozpatrzona negatywnie.</w:t>
      </w:r>
    </w:p>
    <w:p w14:paraId="4F9418FC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W uzasadnieniu należy wskazać, że zgodnie z art. 3 ust. 2 </w:t>
      </w:r>
      <w:proofErr w:type="spellStart"/>
      <w:r>
        <w:t>u.o.g.r.l</w:t>
      </w:r>
      <w:proofErr w:type="spellEnd"/>
      <w:r>
        <w:t xml:space="preserve">. </w:t>
      </w:r>
      <w:r>
        <w:rPr>
          <w:rStyle w:val="Teksttreci21"/>
        </w:rPr>
        <w:t>„Ochrona gruntów leśnych polega na:</w:t>
      </w:r>
    </w:p>
    <w:p w14:paraId="7F8F5E39" w14:textId="77777777" w:rsidR="00273779" w:rsidRDefault="00D64F67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line="379" w:lineRule="exact"/>
        <w:ind w:left="760"/>
        <w:jc w:val="both"/>
      </w:pPr>
      <w:r>
        <w:rPr>
          <w:rStyle w:val="Teksttreci21"/>
        </w:rPr>
        <w:t>ograniczaniu przezna</w:t>
      </w:r>
      <w:r>
        <w:rPr>
          <w:rStyle w:val="Teksttreci21"/>
        </w:rPr>
        <w:t>czania ich na cele nieleśne lub nierolnicze;</w:t>
      </w:r>
    </w:p>
    <w:p w14:paraId="3A1EB960" w14:textId="77777777" w:rsidR="00273779" w:rsidRDefault="00D64F67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line="379" w:lineRule="exact"/>
        <w:ind w:left="760"/>
        <w:jc w:val="both"/>
      </w:pPr>
      <w:r>
        <w:t>zapobieganiu procesom degradacji i dewastacji gruntów leśnych oraz szkodom w drzewostanach i produkcji leśnej, powstającym wskutek działalności nieleśnej i ruchów masowych ziemi;</w:t>
      </w:r>
    </w:p>
    <w:p w14:paraId="47BA7DB4" w14:textId="77777777" w:rsidR="00273779" w:rsidRDefault="00D64F67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line="379" w:lineRule="exact"/>
        <w:ind w:left="760"/>
        <w:jc w:val="both"/>
      </w:pPr>
      <w:r>
        <w:t xml:space="preserve">przywracaniu wartości użytkowej </w:t>
      </w:r>
      <w:r>
        <w:t>gruntom, które utraciły charakter gruntów leśnych wskutek działalności nieleśnej;</w:t>
      </w:r>
    </w:p>
    <w:p w14:paraId="58753676" w14:textId="77777777" w:rsidR="00273779" w:rsidRDefault="00D64F67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line="379" w:lineRule="exact"/>
        <w:ind w:left="760"/>
        <w:jc w:val="both"/>
      </w:pPr>
      <w:r>
        <w:t>poprawianiu ich wartości użytkowej oraz zapobieganiu obniżania ich produkcyjności;</w:t>
      </w:r>
    </w:p>
    <w:p w14:paraId="23B71F11" w14:textId="77777777" w:rsidR="00273779" w:rsidRDefault="00D64F67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line="379" w:lineRule="exact"/>
        <w:ind w:left="760"/>
        <w:jc w:val="both"/>
      </w:pPr>
      <w:r>
        <w:t>ograniczaniu zmian naturalnego ukształtowania powierzchni ziemi”.</w:t>
      </w:r>
      <w:r>
        <w:br w:type="page"/>
      </w:r>
    </w:p>
    <w:p w14:paraId="432F8C9E" w14:textId="77777777" w:rsidR="00273779" w:rsidRDefault="00D64F67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lastRenderedPageBreak/>
        <w:t xml:space="preserve">Z </w:t>
      </w:r>
      <w:r>
        <w:t>przytoczonej definicji ustawowej wynika, że celem przedmiotowej ustawy jest m.in. ograniczenie przeznaczenia gruntów leśnych na cele nieleśne. Możliwość nieograniczonej i nieobwarowanej żadnymi warunkami zmiany przeznaczenia gruntów leśnych na cele rolnicz</w:t>
      </w:r>
      <w:r>
        <w:t xml:space="preserve">e stałaby zatem w sprzeczności z podstawowymi celami </w:t>
      </w:r>
      <w:proofErr w:type="spellStart"/>
      <w:r>
        <w:t>u.o.g.r.l</w:t>
      </w:r>
      <w:proofErr w:type="spellEnd"/>
      <w:r>
        <w:t>.</w:t>
      </w:r>
    </w:p>
    <w:p w14:paraId="12326125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Procedura jaka ma zastosowanie w przypadku zmiany przeznaczenia gruntu leśnego na cele nieleśne, została określona w </w:t>
      </w:r>
      <w:proofErr w:type="spellStart"/>
      <w:r>
        <w:t>u.o.g.r.l</w:t>
      </w:r>
      <w:proofErr w:type="spellEnd"/>
      <w:r>
        <w:t>. Podkreślić należy, że wyłączenie gruntu leśnego z produkcji wyma</w:t>
      </w:r>
      <w:r>
        <w:t xml:space="preserve">ga co do zasady zmiany przeznaczenia tego gruntu w miejscowym planie zagospodarowania przestrzennego na cele nieleśne. Wyłączenie z produkcji gruntów leśnych może nastąpić po wydaniu decyzji zezwalających na takie wyłączenie. Zgodnie z art. 12 ust. 1 </w:t>
      </w:r>
      <w:proofErr w:type="spellStart"/>
      <w:r>
        <w:t>u.o.g</w:t>
      </w:r>
      <w:r>
        <w:t>.r.l</w:t>
      </w:r>
      <w:proofErr w:type="spellEnd"/>
      <w:r>
        <w:t>. „Osoba, która uzyskała zezwolenie na wyłączenie gruntów z produkcji, jest obowiązana uiścić należność i opłaty roczne, a w odniesieniu do gruntów leśnych - także jednorazowe odszkodowanie w razie dokonania przedwczesnego wyrębu drzewostanu. Obowiązek</w:t>
      </w:r>
      <w:r>
        <w:t xml:space="preserve"> taki powstaje od dnia faktycznego wyłączenia gruntów z produkcji.”. Z powyższego wynika, że </w:t>
      </w:r>
      <w:proofErr w:type="spellStart"/>
      <w:r>
        <w:t>u.o.g.r.l</w:t>
      </w:r>
      <w:proofErr w:type="spellEnd"/>
      <w:r>
        <w:t xml:space="preserve">. przewiduje długotrwałą procedurę zmiany gruntu leśnego na cele nieleśne, z którą wiąże się również ponoszenie kosztów. Wynika ona m.in. ze wspomnianego </w:t>
      </w:r>
      <w:r>
        <w:t xml:space="preserve">już celu ustawy, jakim jest konieczność ochrony gruntów leśnych przed ich nadmiernym przeznaczaniem na cele nieleśne. </w:t>
      </w:r>
      <w:r>
        <w:rPr>
          <w:rStyle w:val="Teksttreci21"/>
        </w:rPr>
        <w:t xml:space="preserve">Przewidując tak rozbudowaną procedurę, powiązaną </w:t>
      </w:r>
      <w:r>
        <w:t xml:space="preserve">również z ponoszeniem kosztów, ustawodawca chciał osiągnąć rezultat w postaci zachowania </w:t>
      </w:r>
      <w:r>
        <w:t>jak</w:t>
      </w:r>
    </w:p>
    <w:p w14:paraId="31C57074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>największej części zasobów leśnych kraju. Właściciel gruntu leśnego musi zdawać sobie sprawę, że jego</w:t>
      </w:r>
    </w:p>
    <w:p w14:paraId="7E77EBD4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>prawo własności staje się w pewien sposób prawem ograniczonym m.in. z tego powodu, że właściciel</w:t>
      </w:r>
    </w:p>
    <w:p w14:paraId="599F0E1D" w14:textId="77777777" w:rsidR="00273779" w:rsidRDefault="00D64F67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nie może zmienić charakteru gruntu w sposób łatwy, sz</w:t>
      </w:r>
      <w:r>
        <w:t>ybki i bez ponoszenia kosztów.</w:t>
      </w:r>
    </w:p>
    <w:p w14:paraId="45ED502B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Odnosząc się wprost do treści petycji w szczególności należy zauważyć, że art. 13 ust. 2 ustawy z dnia 28 września 1991 r. </w:t>
      </w:r>
      <w:r>
        <w:rPr>
          <w:rStyle w:val="Teksttreci2Kursywa"/>
        </w:rPr>
        <w:t>o lasach</w:t>
      </w:r>
      <w:r>
        <w:t xml:space="preserve"> (Dz. U. z 2021 r., poz. 1275, z </w:t>
      </w:r>
      <w:proofErr w:type="spellStart"/>
      <w:r>
        <w:t>późn</w:t>
      </w:r>
      <w:proofErr w:type="spellEnd"/>
      <w:r>
        <w:t xml:space="preserve">. zm.), zwanej dalej „ustawą o lasach”, przewiduje, że </w:t>
      </w:r>
      <w:r>
        <w:rPr>
          <w:rStyle w:val="Teksttreci21"/>
        </w:rPr>
        <w:t>„Z</w:t>
      </w:r>
      <w:r>
        <w:rPr>
          <w:rStyle w:val="Teksttreci21"/>
        </w:rPr>
        <w:t>miana lasu na użytek rolny jest dopuszczalna w przypadkach szczególnie uzasadnionych potrzeb właścicieli lasów.</w:t>
      </w:r>
      <w:r>
        <w:t>”. Art. 13 ust. 3 pkt 2 ustawy o lasach stanowi, że „W sprawach, o których mowa w ust. 2 w stosunku do lasów niestanowiących własności Skarbu</w:t>
      </w:r>
    </w:p>
    <w:p w14:paraId="3C294F19" w14:textId="77777777" w:rsidR="00273779" w:rsidRDefault="00D64F67">
      <w:pPr>
        <w:pStyle w:val="Teksttreci20"/>
        <w:shd w:val="clear" w:color="auto" w:fill="auto"/>
        <w:spacing w:after="384" w:line="379" w:lineRule="exact"/>
        <w:ind w:firstLine="0"/>
        <w:jc w:val="both"/>
      </w:pPr>
      <w:r>
        <w:rPr>
          <w:rStyle w:val="Teksttreci21"/>
        </w:rPr>
        <w:t>Pań</w:t>
      </w:r>
      <w:r>
        <w:rPr>
          <w:rStyle w:val="Teksttreci21"/>
        </w:rPr>
        <w:t>stwa decyzję wydaje starosta na wniosek właściciela lasu.</w:t>
      </w:r>
      <w:r>
        <w:t xml:space="preserve"> ”. Przepis art. 13 ust. 2 ustawy o lasach, dotyczący dopuszczalności i podstaw dokonania zmiany lasu na użytek rolny, ustanawia wyjątek w stosunku do reguł wynikających z </w:t>
      </w:r>
      <w:proofErr w:type="spellStart"/>
      <w:r>
        <w:t>u.o.g.r.l</w:t>
      </w:r>
      <w:proofErr w:type="spellEnd"/>
      <w:r>
        <w:t>.</w:t>
      </w:r>
    </w:p>
    <w:p w14:paraId="17CC44E1" w14:textId="77777777" w:rsidR="00273779" w:rsidRDefault="00D64F67">
      <w:pPr>
        <w:pStyle w:val="Teksttreci20"/>
        <w:shd w:val="clear" w:color="auto" w:fill="auto"/>
        <w:spacing w:line="374" w:lineRule="exact"/>
        <w:ind w:firstLine="0"/>
        <w:jc w:val="both"/>
      </w:pPr>
      <w:r>
        <w:t xml:space="preserve">W orzecznictwie </w:t>
      </w:r>
      <w:r>
        <w:t>podkreśla się, że pojęcie „szczególnie uzasadnionych potrzeb” nie zostało przez ustawodawcę w ustawie o lasach zdefiniowane. Ocena czy w sprawie zainicjowanej wnioskiem o zmianę lasu na użytek rolny istnieją takie uzasadnione potrzeby - należy do organu. T</w:t>
      </w:r>
      <w:r>
        <w:t xml:space="preserve">rzeba przy tym zwrócić uwagę na fakt, że </w:t>
      </w:r>
      <w:r>
        <w:rPr>
          <w:rStyle w:val="Teksttreci21"/>
        </w:rPr>
        <w:t xml:space="preserve">ocena taka nie może być dowolna. Organ wydając decyzję, która oparta jest </w:t>
      </w:r>
      <w:r>
        <w:t>na uznaniu administracyjnym winien, po uprzednim wyczerpującym zgromadzeniu materiału</w:t>
      </w:r>
    </w:p>
    <w:p w14:paraId="127B3A91" w14:textId="77777777" w:rsidR="00273779" w:rsidRDefault="00D64F67">
      <w:pPr>
        <w:pStyle w:val="Teksttreci20"/>
        <w:shd w:val="clear" w:color="auto" w:fill="auto"/>
        <w:ind w:firstLine="0"/>
        <w:jc w:val="both"/>
      </w:pPr>
      <w:r>
        <w:t>dowodowego, dokonać jego starannej oceny i wyważyć potr</w:t>
      </w:r>
      <w:r>
        <w:t xml:space="preserve">zeby właściciela lasu w kontekście oceny, czy </w:t>
      </w:r>
      <w:r>
        <w:lastRenderedPageBreak/>
        <w:t>mają one charakter „szczególnie uzasadniony”, przemawiający za zmianą przeznaczenia lasu.</w:t>
      </w:r>
    </w:p>
    <w:p w14:paraId="1C828373" w14:textId="77777777" w:rsidR="00273779" w:rsidRDefault="00D64F67">
      <w:pPr>
        <w:pStyle w:val="Teksttreci20"/>
        <w:shd w:val="clear" w:color="auto" w:fill="auto"/>
        <w:spacing w:after="376" w:line="374" w:lineRule="exact"/>
        <w:ind w:firstLine="0"/>
        <w:jc w:val="both"/>
      </w:pPr>
      <w:r>
        <w:t>W tym zakresie organ winien przeprowadzić dodatkowe postępowanie wyjaśniające celem ustalenia sytuacji życiowej wnioskod</w:t>
      </w:r>
      <w:r>
        <w:t>awców, w szczególności w kontekście ich bytu materialnego i rodzinnego (wyrok Wojewódzkiego Sądu Administracyjnego w Rzeszowie z dnia 11 stycznia 2018 r. sygn. akt. II SA/</w:t>
      </w:r>
      <w:proofErr w:type="spellStart"/>
      <w:r>
        <w:t>Rz</w:t>
      </w:r>
      <w:proofErr w:type="spellEnd"/>
      <w:r>
        <w:t xml:space="preserve"> 1254/17).</w:t>
      </w:r>
    </w:p>
    <w:p w14:paraId="55F9A426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>Ponadto, sądy zauważają, że zmiana lasu na użytek rolny jest dopuszczaln</w:t>
      </w:r>
      <w:r>
        <w:t>a tylko wtedy, gdy właściciel</w:t>
      </w:r>
    </w:p>
    <w:p w14:paraId="651B29AF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>lub inny podmiot z nim zrównany wykaże, że wystąpiły szczególnie uzasadnione potrzeby.</w:t>
      </w:r>
    </w:p>
    <w:p w14:paraId="5E1AFD48" w14:textId="77777777" w:rsidR="00273779" w:rsidRDefault="00D64F67">
      <w:pPr>
        <w:pStyle w:val="Teksttreci20"/>
        <w:shd w:val="clear" w:color="auto" w:fill="auto"/>
        <w:spacing w:line="379" w:lineRule="exact"/>
        <w:ind w:firstLine="0"/>
        <w:jc w:val="both"/>
      </w:pPr>
      <w:r>
        <w:t>Jest to przesłanka, która musi bezwzględnie wystąpić, a ciężar dowodowy wykazania, że zaistniały</w:t>
      </w:r>
    </w:p>
    <w:p w14:paraId="4C73A3C6" w14:textId="77777777" w:rsidR="00273779" w:rsidRDefault="00D64F67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rPr>
          <w:rStyle w:val="Teksttreci21"/>
        </w:rPr>
        <w:t>szczególnie uzasadnione potrzeby, spoczywa</w:t>
      </w:r>
      <w:r>
        <w:rPr>
          <w:rStyle w:val="Teksttreci21"/>
        </w:rPr>
        <w:t xml:space="preserve"> na właścicielu.</w:t>
      </w:r>
      <w:r>
        <w:t xml:space="preserve"> Zaistnienie tej przesłanki podlega ocenie organu rozpoznającego wniosek. Nie wystarcza przy tym wykazanie uzasadnionych potrzeb po stronie właściciela, konieczne jest wykazanie ich szczególnego charakteru. Jest to zatem przesłanka kwalifik</w:t>
      </w:r>
      <w:r>
        <w:t>owana, (wyrok Wojewódzkiego Sądu Administracyjnego w Łodzi z dnia 7 grudnia 2017 r. sygn. akt. II SA/</w:t>
      </w:r>
      <w:proofErr w:type="spellStart"/>
      <w:r>
        <w:t>Łd</w:t>
      </w:r>
      <w:proofErr w:type="spellEnd"/>
      <w:r>
        <w:t xml:space="preserve"> 766/17).</w:t>
      </w:r>
    </w:p>
    <w:p w14:paraId="0B5EBCFF" w14:textId="77777777" w:rsidR="00273779" w:rsidRDefault="00D64F67">
      <w:pPr>
        <w:pStyle w:val="Teksttreci20"/>
        <w:shd w:val="clear" w:color="auto" w:fill="auto"/>
        <w:spacing w:after="614" w:line="379" w:lineRule="exact"/>
        <w:ind w:firstLine="0"/>
        <w:jc w:val="both"/>
      </w:pPr>
      <w:r>
        <w:t xml:space="preserve">Mając na uwadze przytoczone wyjaśnienia, z których wynika, że obowiązujące przepisy </w:t>
      </w:r>
      <w:proofErr w:type="spellStart"/>
      <w:r>
        <w:t>u.o.g.r.l</w:t>
      </w:r>
      <w:proofErr w:type="spellEnd"/>
      <w:r>
        <w:t xml:space="preserve">. oraz ustawy </w:t>
      </w:r>
      <w:r>
        <w:rPr>
          <w:rStyle w:val="Teksttreci2Kursywa"/>
        </w:rPr>
        <w:t>o lasach,</w:t>
      </w:r>
      <w:r>
        <w:t xml:space="preserve"> w zakresie zmiany przeznaczenia gruntu leśnego na użytek rolny, zostały ukształtowane w sposób, który pozwala zarówno na zapewnienie realizacji podstawowych celów </w:t>
      </w:r>
      <w:proofErr w:type="spellStart"/>
      <w:r>
        <w:t>u.o.g.r.l</w:t>
      </w:r>
      <w:proofErr w:type="spellEnd"/>
      <w:r>
        <w:t>., jak i praw właścicieli lasów w zakresie zmiany lasu na użytek rolny na podstawie</w:t>
      </w:r>
      <w:r>
        <w:t xml:space="preserve"> zgody właściwego organu w sytuacji zaistnienia szczególnie uzasadnionych potrzeb właścicieli lasów, Minister Klimatu i Środowiska nie widzi potrzeby zmiany ustawy - </w:t>
      </w:r>
      <w:proofErr w:type="spellStart"/>
      <w:r>
        <w:t>u.o.g.r.l</w:t>
      </w:r>
      <w:proofErr w:type="spellEnd"/>
      <w:r>
        <w:t xml:space="preserve"> w zakresie wskazanym w petycji.</w:t>
      </w:r>
    </w:p>
    <w:p w14:paraId="4C8542DA" w14:textId="77777777" w:rsidR="00273779" w:rsidRDefault="00D64F67">
      <w:pPr>
        <w:pStyle w:val="Teksttreci40"/>
        <w:shd w:val="clear" w:color="auto" w:fill="auto"/>
        <w:spacing w:before="0" w:after="2398" w:line="787" w:lineRule="exact"/>
        <w:ind w:left="4720" w:right="2540"/>
        <w:jc w:val="left"/>
      </w:pPr>
      <w:r>
        <w:t xml:space="preserve">Z wyrazami szacunku </w:t>
      </w:r>
      <w:r>
        <w:rPr>
          <w:rStyle w:val="Teksttreci412pt"/>
          <w:i/>
          <w:iCs/>
        </w:rPr>
        <w:t>Z up. Ministra</w:t>
      </w:r>
    </w:p>
    <w:p w14:paraId="2F627239" w14:textId="77777777" w:rsidR="00273779" w:rsidRDefault="00D64F67">
      <w:pPr>
        <w:pStyle w:val="Teksttreci50"/>
        <w:shd w:val="clear" w:color="auto" w:fill="auto"/>
        <w:spacing w:before="0"/>
      </w:pPr>
      <w:r>
        <w:rPr>
          <w:rStyle w:val="Teksttreci51"/>
          <w:b/>
          <w:bCs/>
        </w:rPr>
        <w:t>Do wiadomości</w:t>
      </w:r>
      <w:r>
        <w:rPr>
          <w:rStyle w:val="Teksttreci51"/>
          <w:b/>
          <w:bCs/>
        </w:rPr>
        <w:t>:</w:t>
      </w:r>
    </w:p>
    <w:p w14:paraId="6EC4C40E" w14:textId="77777777" w:rsidR="00273779" w:rsidRDefault="00D64F67">
      <w:pPr>
        <w:pStyle w:val="Teksttreci20"/>
        <w:numPr>
          <w:ilvl w:val="0"/>
          <w:numId w:val="2"/>
        </w:numPr>
        <w:shd w:val="clear" w:color="auto" w:fill="auto"/>
        <w:tabs>
          <w:tab w:val="left" w:pos="350"/>
        </w:tabs>
        <w:spacing w:line="240" w:lineRule="exact"/>
        <w:ind w:firstLine="0"/>
        <w:jc w:val="both"/>
      </w:pPr>
      <w:r>
        <w:t>Ministerstwo Rolnictwa i Rozwoju Wsi;</w:t>
      </w:r>
    </w:p>
    <w:p w14:paraId="0DA234A4" w14:textId="77777777" w:rsidR="00273779" w:rsidRDefault="00D64F67">
      <w:pPr>
        <w:pStyle w:val="Teksttreci20"/>
        <w:numPr>
          <w:ilvl w:val="0"/>
          <w:numId w:val="2"/>
        </w:numPr>
        <w:shd w:val="clear" w:color="auto" w:fill="auto"/>
        <w:tabs>
          <w:tab w:val="left" w:pos="350"/>
        </w:tabs>
        <w:spacing w:line="240" w:lineRule="exact"/>
        <w:ind w:firstLine="0"/>
        <w:jc w:val="both"/>
      </w:pPr>
      <w:r>
        <w:t>Biuro Kontroli i Audytu w Ministerstwie Klimatu.</w:t>
      </w:r>
    </w:p>
    <w:p w14:paraId="22CA2C41" w14:textId="77777777" w:rsidR="00273779" w:rsidRDefault="00D64F67">
      <w:pPr>
        <w:pStyle w:val="Teksttreci50"/>
        <w:shd w:val="clear" w:color="auto" w:fill="auto"/>
        <w:spacing w:before="0" w:after="290" w:line="232" w:lineRule="exact"/>
      </w:pPr>
      <w:r>
        <w:rPr>
          <w:rStyle w:val="Teksttreci51"/>
          <w:b/>
          <w:bCs/>
        </w:rPr>
        <w:t>Klauzula informacyjna:</w:t>
      </w:r>
    </w:p>
    <w:p w14:paraId="411087B0" w14:textId="77777777" w:rsidR="00273779" w:rsidRDefault="00D64F67">
      <w:pPr>
        <w:pStyle w:val="Teksttreci20"/>
        <w:shd w:val="clear" w:color="auto" w:fill="auto"/>
        <w:spacing w:after="293" w:line="245" w:lineRule="exact"/>
        <w:ind w:firstLine="0"/>
        <w:jc w:val="both"/>
      </w:pPr>
      <w:r>
        <w:t xml:space="preserve">Zgodnie z art. 13 ust. 1 i 2 ogólnego rozporządzenia o ochronie danych osobowych z dnia 27 kwietnia 2016 </w:t>
      </w:r>
      <w:r>
        <w:lastRenderedPageBreak/>
        <w:t>r. informujemy, że:</w:t>
      </w:r>
    </w:p>
    <w:p w14:paraId="32324F1E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4" w:lineRule="exact"/>
        <w:ind w:left="760"/>
        <w:jc w:val="both"/>
      </w:pPr>
      <w:r>
        <w:t>Administratorem dan</w:t>
      </w:r>
      <w:r>
        <w:t>ych osobowych osób wnoszących sprawy z zakresu petycji jest Minister Klimatu i Środowiska z siedzibą w Warszawie ul. Wawelska 52/54, 00-922.</w:t>
      </w:r>
    </w:p>
    <w:p w14:paraId="4F12061E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0" w:lineRule="exact"/>
        <w:ind w:left="76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01818D09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0" w:lineRule="exact"/>
        <w:ind w:left="760"/>
        <w:jc w:val="both"/>
      </w:pPr>
      <w:r>
        <w:t>Będziemy przetwarzać dane osobowe osób wnoszących sprawy z zakresu petycji w celu rozpat</w:t>
      </w:r>
      <w:r>
        <w:t>rzenia tych spraw, na podstawie Art. 6 ust. 1 lit. c ogólnego rozporządzenia o ochronie danych osobowych z dnia 27 kwietnia 2016 r. w związku z ustawą z dnia 11 lipca 2014 r. o petycjach oraz w celu spełnienia obowiązku archiwizacji dokumentów na podstawie</w:t>
      </w:r>
      <w:r>
        <w:t xml:space="preserve"> ustawy z dnia 14 lipca 1983 r. o narodowym zasobie archiwalnym.</w:t>
      </w:r>
    </w:p>
    <w:p w14:paraId="620C4778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0" w:lineRule="exact"/>
        <w:ind w:left="760"/>
        <w:jc w:val="both"/>
      </w:pPr>
      <w:r>
        <w:t>Dane osobowe osób wnoszących sprawy z zakresu petycji będziemy przechowywać przez okres do 25 lat.</w:t>
      </w:r>
    </w:p>
    <w:p w14:paraId="0C1E9F17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0" w:lineRule="exact"/>
        <w:ind w:left="760"/>
        <w:jc w:val="both"/>
      </w:pPr>
      <w:r>
        <w:t>Odbiorcami danych mogą być podmioty świadczące usługi pocztowe i informatyczne na rzecz Mini</w:t>
      </w:r>
      <w:r>
        <w:t>sterstwa.</w:t>
      </w:r>
    </w:p>
    <w:p w14:paraId="0DC9E1CB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0" w:lineRule="exact"/>
        <w:ind w:left="760"/>
        <w:jc w:val="both"/>
      </w:pPr>
      <w:r>
        <w:t>Osoby wnoszące sprawy z zakresu skarg, wniosków oraz petycji mają prawo do:</w:t>
      </w:r>
    </w:p>
    <w:p w14:paraId="14E7D136" w14:textId="77777777" w:rsidR="00273779" w:rsidRDefault="00D64F67">
      <w:pPr>
        <w:pStyle w:val="Teksttreci20"/>
        <w:numPr>
          <w:ilvl w:val="0"/>
          <w:numId w:val="4"/>
        </w:numPr>
        <w:shd w:val="clear" w:color="auto" w:fill="auto"/>
        <w:tabs>
          <w:tab w:val="left" w:pos="1482"/>
        </w:tabs>
        <w:spacing w:line="250" w:lineRule="exact"/>
        <w:ind w:left="1120" w:firstLine="0"/>
      </w:pPr>
      <w:r>
        <w:t>żądania od administratora dostępu do danych osobowych oraz otrzymania ich kopii,</w:t>
      </w:r>
    </w:p>
    <w:p w14:paraId="1C51BB64" w14:textId="77777777" w:rsidR="00273779" w:rsidRDefault="00D64F67">
      <w:pPr>
        <w:pStyle w:val="Teksttreci20"/>
        <w:numPr>
          <w:ilvl w:val="0"/>
          <w:numId w:val="4"/>
        </w:numPr>
        <w:shd w:val="clear" w:color="auto" w:fill="auto"/>
        <w:tabs>
          <w:tab w:val="left" w:pos="1482"/>
        </w:tabs>
        <w:spacing w:line="250" w:lineRule="exact"/>
        <w:ind w:left="1120" w:firstLine="0"/>
      </w:pPr>
      <w:r>
        <w:t>sprostowania danych osobowych,</w:t>
      </w:r>
    </w:p>
    <w:p w14:paraId="068EBCB4" w14:textId="77777777" w:rsidR="00273779" w:rsidRDefault="00D64F67">
      <w:pPr>
        <w:pStyle w:val="Teksttreci20"/>
        <w:numPr>
          <w:ilvl w:val="0"/>
          <w:numId w:val="4"/>
        </w:numPr>
        <w:shd w:val="clear" w:color="auto" w:fill="auto"/>
        <w:tabs>
          <w:tab w:val="left" w:pos="1482"/>
        </w:tabs>
        <w:spacing w:line="250" w:lineRule="exact"/>
        <w:ind w:left="1120" w:firstLine="0"/>
      </w:pPr>
      <w:r>
        <w:t>wniesienia sprzeciwu wobec przetwarzania danych osobowych.</w:t>
      </w:r>
    </w:p>
    <w:p w14:paraId="2CEA02E9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0" w:lineRule="exact"/>
        <w:ind w:left="760"/>
        <w:jc w:val="both"/>
      </w:pPr>
      <w:r>
        <w:t>Osoby wnoszące sprawy z zakresu skarg, wniosków oraz petycji mają prawo do wniesienia skargi do Prezesa Urzędu Ochrony Danych Osobowych, jeśli uzna Pani/Pan, że przetwarzanie Pani/Pana danych osobowych narusza przepisy ogólnego rozporządzenia o ochronie d</w:t>
      </w:r>
      <w:r>
        <w:t>anych osobowych z dnia 27 kwietnia 2016 r.</w:t>
      </w:r>
    </w:p>
    <w:p w14:paraId="287E5CFE" w14:textId="77777777" w:rsidR="00273779" w:rsidRDefault="00D64F67">
      <w:pPr>
        <w:pStyle w:val="Teksttreci20"/>
        <w:numPr>
          <w:ilvl w:val="0"/>
          <w:numId w:val="3"/>
        </w:numPr>
        <w:shd w:val="clear" w:color="auto" w:fill="auto"/>
        <w:tabs>
          <w:tab w:val="left" w:pos="755"/>
        </w:tabs>
        <w:spacing w:line="250" w:lineRule="exact"/>
        <w:ind w:left="760"/>
        <w:jc w:val="both"/>
      </w:pPr>
      <w:r>
        <w:t>Podanie danych osobowych jest wymogiem ustawowym.</w:t>
      </w:r>
    </w:p>
    <w:sectPr w:rsidR="00273779">
      <w:type w:val="continuous"/>
      <w:pgSz w:w="11900" w:h="16840"/>
      <w:pgMar w:top="1431" w:right="1381" w:bottom="1469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ABD1" w14:textId="77777777" w:rsidR="00D64F67" w:rsidRDefault="00D64F67">
      <w:r>
        <w:separator/>
      </w:r>
    </w:p>
  </w:endnote>
  <w:endnote w:type="continuationSeparator" w:id="0">
    <w:p w14:paraId="00BEE33B" w14:textId="77777777" w:rsidR="00D64F67" w:rsidRDefault="00D6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4C44" w14:textId="77777777" w:rsidR="00D64F67" w:rsidRDefault="00D64F67"/>
  </w:footnote>
  <w:footnote w:type="continuationSeparator" w:id="0">
    <w:p w14:paraId="3C554F62" w14:textId="77777777" w:rsidR="00D64F67" w:rsidRDefault="00D64F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15BC"/>
    <w:multiLevelType w:val="multilevel"/>
    <w:tmpl w:val="161A5F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8C15FD"/>
    <w:multiLevelType w:val="multilevel"/>
    <w:tmpl w:val="A00A1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5935DF"/>
    <w:multiLevelType w:val="multilevel"/>
    <w:tmpl w:val="D0E0A1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122E6"/>
    <w:multiLevelType w:val="multilevel"/>
    <w:tmpl w:val="2E68C88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779"/>
    <w:rsid w:val="00080C28"/>
    <w:rsid w:val="00273779"/>
    <w:rsid w:val="00D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B78A8C"/>
  <w15:docId w15:val="{5FEB5CC9-DD4A-4C92-AAE2-33819BAF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2pt">
    <w:name w:val="Tekst treści (4) + 12 p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4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400" w:after="66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960" w:line="24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1141</Words>
  <Characters>6849</Characters>
  <Application>Microsoft Office Word</Application>
  <DocSecurity>0</DocSecurity>
  <Lines>57</Lines>
  <Paragraphs>15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2022-03-22T10:52:00Z</dcterms:created>
  <dcterms:modified xsi:type="dcterms:W3CDTF">2022-03-22T10:52:00Z</dcterms:modified>
</cp:coreProperties>
</file>