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7BB0A" w14:textId="77777777" w:rsidR="00C22DE3" w:rsidRDefault="00081B57">
      <w:pPr>
        <w:pStyle w:val="Teksttreci20"/>
        <w:shd w:val="clear" w:color="auto" w:fill="auto"/>
        <w:ind w:firstLine="0"/>
        <w:sectPr w:rsidR="00C22DE3">
          <w:footerReference w:type="default" r:id="rId7"/>
          <w:pgSz w:w="11900" w:h="16840"/>
          <w:pgMar w:top="1521" w:right="1673" w:bottom="1932" w:left="7597" w:header="0" w:footer="3" w:gutter="0"/>
          <w:cols w:space="720"/>
          <w:noEndnote/>
          <w:titlePg/>
          <w:docGrid w:linePitch="360"/>
        </w:sectPr>
      </w:pPr>
      <w:r>
        <w:pict w14:anchorId="7D16A4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-247.9pt;margin-top:0;width:64.8pt;height:71.75pt;z-index:-125829376;mso-wrap-distance-left:5pt;mso-wrap-distance-right:183.1pt;mso-position-horizontal-relative:margin;mso-position-vertical-relative:margin" wrapcoords="0 0 21600 0 21600 21600 0 21600 0 0">
            <v:imagedata r:id="rId8" o:title="image1"/>
            <w10:wrap type="square" side="right" anchorx="margin" anchory="margin"/>
          </v:shape>
        </w:pict>
      </w:r>
      <w:r>
        <w:rPr>
          <w:rStyle w:val="Teksttreci21"/>
        </w:rPr>
        <w:t>Warszawa, dnia 15-03-2022 r.</w:t>
      </w:r>
    </w:p>
    <w:p w14:paraId="592F755A" w14:textId="77777777" w:rsidR="00C22DE3" w:rsidRDefault="00C22DE3">
      <w:pPr>
        <w:spacing w:line="144" w:lineRule="exact"/>
        <w:rPr>
          <w:sz w:val="12"/>
          <w:szCs w:val="12"/>
        </w:rPr>
      </w:pPr>
    </w:p>
    <w:p w14:paraId="0CB5EE51" w14:textId="77777777" w:rsidR="00C22DE3" w:rsidRDefault="00C22DE3">
      <w:pPr>
        <w:rPr>
          <w:sz w:val="2"/>
          <w:szCs w:val="2"/>
        </w:rPr>
        <w:sectPr w:rsidR="00C22DE3">
          <w:type w:val="continuous"/>
          <w:pgSz w:w="11900" w:h="16840"/>
          <w:pgMar w:top="1559" w:right="0" w:bottom="1931" w:left="0" w:header="0" w:footer="3" w:gutter="0"/>
          <w:cols w:space="720"/>
          <w:noEndnote/>
          <w:docGrid w:linePitch="360"/>
        </w:sectPr>
      </w:pPr>
    </w:p>
    <w:p w14:paraId="3A844D21" w14:textId="77777777" w:rsidR="00C22DE3" w:rsidRDefault="00081B57">
      <w:pPr>
        <w:pStyle w:val="Nagwek10"/>
        <w:keepNext/>
        <w:keepLines/>
        <w:shd w:val="clear" w:color="auto" w:fill="auto"/>
        <w:spacing w:after="213"/>
      </w:pPr>
      <w:bookmarkStart w:id="0" w:name="bookmark0"/>
      <w:r>
        <w:rPr>
          <w:rStyle w:val="Nagwek11"/>
          <w:b/>
          <w:bCs/>
        </w:rPr>
        <w:t>Minister Klimatu i Środowiska</w:t>
      </w:r>
      <w:bookmarkEnd w:id="0"/>
    </w:p>
    <w:p w14:paraId="008FAB35" w14:textId="77777777" w:rsidR="00C22DE3" w:rsidRDefault="00081B57">
      <w:pPr>
        <w:pStyle w:val="Teksttreci20"/>
        <w:shd w:val="clear" w:color="auto" w:fill="auto"/>
        <w:ind w:firstLine="0"/>
      </w:pPr>
      <w:r>
        <w:rPr>
          <w:rStyle w:val="Teksttreci21"/>
        </w:rPr>
        <w:t>DLŁ-WK0.053.1.2022.AP</w:t>
      </w:r>
    </w:p>
    <w:p w14:paraId="22A7B6EB" w14:textId="77777777" w:rsidR="00C22DE3" w:rsidRDefault="00081B57">
      <w:pPr>
        <w:pStyle w:val="Teksttreci30"/>
        <w:shd w:val="clear" w:color="auto" w:fill="auto"/>
        <w:sectPr w:rsidR="00C22DE3">
          <w:type w:val="continuous"/>
          <w:pgSz w:w="11900" w:h="16840"/>
          <w:pgMar w:top="1559" w:right="6818" w:bottom="1931" w:left="1486" w:header="0" w:footer="3" w:gutter="0"/>
          <w:cols w:space="720"/>
          <w:noEndnote/>
          <w:docGrid w:linePitch="360"/>
        </w:sectPr>
      </w:pPr>
      <w:r>
        <w:rPr>
          <w:rStyle w:val="Teksttreci31"/>
          <w:b/>
          <w:bCs/>
        </w:rPr>
        <w:t>1901260</w:t>
      </w:r>
      <w:r>
        <w:rPr>
          <w:rStyle w:val="Teksttreci3Corbel"/>
          <w:b/>
          <w:bCs/>
        </w:rPr>
        <w:t>.</w:t>
      </w:r>
      <w:r>
        <w:rPr>
          <w:rStyle w:val="Teksttreci31"/>
          <w:b/>
          <w:bCs/>
        </w:rPr>
        <w:t>7093095.5708167</w:t>
      </w:r>
    </w:p>
    <w:p w14:paraId="172124B9" w14:textId="77777777" w:rsidR="00C22DE3" w:rsidRDefault="00C22DE3">
      <w:pPr>
        <w:spacing w:line="240" w:lineRule="exact"/>
        <w:rPr>
          <w:sz w:val="19"/>
          <w:szCs w:val="19"/>
        </w:rPr>
      </w:pPr>
    </w:p>
    <w:p w14:paraId="6D8A99E5" w14:textId="77777777" w:rsidR="00C22DE3" w:rsidRDefault="00C22DE3">
      <w:pPr>
        <w:spacing w:before="114" w:after="114" w:line="240" w:lineRule="exact"/>
        <w:rPr>
          <w:sz w:val="19"/>
          <w:szCs w:val="19"/>
        </w:rPr>
      </w:pPr>
    </w:p>
    <w:p w14:paraId="793ECFBA" w14:textId="77777777" w:rsidR="00C22DE3" w:rsidRDefault="00C22DE3">
      <w:pPr>
        <w:rPr>
          <w:sz w:val="2"/>
          <w:szCs w:val="2"/>
        </w:rPr>
        <w:sectPr w:rsidR="00C22DE3">
          <w:type w:val="continuous"/>
          <w:pgSz w:w="11900" w:h="16840"/>
          <w:pgMar w:top="1421" w:right="0" w:bottom="2002" w:left="0" w:header="0" w:footer="3" w:gutter="0"/>
          <w:cols w:space="720"/>
          <w:noEndnote/>
          <w:docGrid w:linePitch="360"/>
        </w:sectPr>
      </w:pPr>
    </w:p>
    <w:p w14:paraId="79B3F998" w14:textId="77777777" w:rsidR="00C22DE3" w:rsidRDefault="00081B57">
      <w:pPr>
        <w:pStyle w:val="Teksttreci20"/>
        <w:shd w:val="clear" w:color="auto" w:fill="auto"/>
        <w:ind w:left="5620" w:firstLine="0"/>
      </w:pPr>
      <w:r>
        <w:rPr>
          <w:rStyle w:val="Teksttreci21"/>
        </w:rPr>
        <w:t>Prezes Zarządu</w:t>
      </w:r>
    </w:p>
    <w:p w14:paraId="087B3322" w14:textId="77777777" w:rsidR="00C22DE3" w:rsidRDefault="00081B57">
      <w:pPr>
        <w:pStyle w:val="Teksttreci20"/>
        <w:shd w:val="clear" w:color="auto" w:fill="auto"/>
        <w:spacing w:after="740"/>
        <w:ind w:left="5620" w:firstLine="0"/>
      </w:pPr>
      <w:r>
        <w:rPr>
          <w:rStyle w:val="Teksttreci21"/>
        </w:rPr>
        <w:t>Kółka Rolniczego Targowa Górka</w:t>
      </w:r>
    </w:p>
    <w:p w14:paraId="79655D04" w14:textId="77777777" w:rsidR="00C22DE3" w:rsidRDefault="00081B57">
      <w:pPr>
        <w:pStyle w:val="Teksttreci20"/>
        <w:shd w:val="clear" w:color="auto" w:fill="auto"/>
        <w:ind w:left="5620" w:firstLine="0"/>
      </w:pPr>
      <w:r>
        <w:rPr>
          <w:rStyle w:val="Teksttreci21"/>
        </w:rPr>
        <w:t>Członek Zarządu</w:t>
      </w:r>
    </w:p>
    <w:p w14:paraId="40AE4F19" w14:textId="77777777" w:rsidR="00C22DE3" w:rsidRDefault="00081B57">
      <w:pPr>
        <w:pStyle w:val="Teksttreci20"/>
        <w:shd w:val="clear" w:color="auto" w:fill="auto"/>
        <w:spacing w:after="740"/>
        <w:ind w:left="5620" w:firstLine="0"/>
      </w:pPr>
      <w:r>
        <w:rPr>
          <w:rStyle w:val="Teksttreci21"/>
        </w:rPr>
        <w:t>Kółka Rolniczego Targowa Górka</w:t>
      </w:r>
    </w:p>
    <w:p w14:paraId="7A1D5A9B" w14:textId="77777777" w:rsidR="00C22DE3" w:rsidRDefault="00081B57">
      <w:pPr>
        <w:pStyle w:val="Teksttreci20"/>
        <w:shd w:val="clear" w:color="auto" w:fill="auto"/>
        <w:ind w:left="5620" w:firstLine="0"/>
      </w:pPr>
      <w:r>
        <w:rPr>
          <w:rStyle w:val="Teksttreci21"/>
        </w:rPr>
        <w:t>Członek Zarządu</w:t>
      </w:r>
    </w:p>
    <w:p w14:paraId="5329D50F" w14:textId="77777777" w:rsidR="00C22DE3" w:rsidRDefault="00081B57">
      <w:pPr>
        <w:pStyle w:val="Teksttreci20"/>
        <w:shd w:val="clear" w:color="auto" w:fill="auto"/>
        <w:spacing w:after="540"/>
        <w:ind w:left="5620" w:firstLine="0"/>
      </w:pPr>
      <w:r>
        <w:rPr>
          <w:rStyle w:val="Teksttreci21"/>
        </w:rPr>
        <w:t>Kółka Rolniczego Targowa Górka</w:t>
      </w:r>
    </w:p>
    <w:p w14:paraId="06DF77E5" w14:textId="77777777" w:rsidR="00C22DE3" w:rsidRDefault="00081B57">
      <w:pPr>
        <w:pStyle w:val="Teksttreci40"/>
        <w:shd w:val="clear" w:color="auto" w:fill="auto"/>
        <w:spacing w:before="0" w:after="266"/>
      </w:pPr>
      <w:r>
        <w:rPr>
          <w:rStyle w:val="Teksttreci41"/>
          <w:i/>
          <w:iCs/>
        </w:rPr>
        <w:t>Szanowni Panowie,</w:t>
      </w:r>
    </w:p>
    <w:p w14:paraId="46073EB1" w14:textId="77777777" w:rsidR="00C22DE3" w:rsidRDefault="00081B57">
      <w:pPr>
        <w:pStyle w:val="Teksttreci20"/>
        <w:shd w:val="clear" w:color="auto" w:fill="auto"/>
        <w:spacing w:after="120" w:line="365" w:lineRule="exact"/>
        <w:ind w:firstLine="0"/>
        <w:jc w:val="both"/>
      </w:pPr>
      <w:r>
        <w:rPr>
          <w:rStyle w:val="Teksttreci21"/>
        </w:rPr>
        <w:t>w odpowiedzi na petycję z dnia 7 grudnia 2021 roku skierowaną do Ministerstwa Rolnictwa i Rozwoju</w:t>
      </w:r>
      <w:r>
        <w:rPr>
          <w:rStyle w:val="Teksttreci21"/>
        </w:rPr>
        <w:t xml:space="preserve"> Wsi (przekazaną do tut. organu pismem z dnia 22 grudnia 2021 roku, znak: </w:t>
      </w:r>
      <w:r>
        <w:rPr>
          <w:rStyle w:val="Teksttreci21"/>
          <w:lang w:val="en-US" w:eastAsia="en-US" w:bidi="en-US"/>
        </w:rPr>
        <w:t>DHZ.hzg.057.</w:t>
      </w:r>
      <w:r>
        <w:rPr>
          <w:rStyle w:val="Teksttreci21"/>
        </w:rPr>
        <w:t>3.2021 - wpływ 29 grudnia 2021 roku), dotyczącą ograniczenia populacji dzików, jeleni i bobrów w województwie wielkopolskim, uprzejmie informuję, że petycja została rozpa</w:t>
      </w:r>
      <w:r>
        <w:rPr>
          <w:rStyle w:val="Teksttreci21"/>
        </w:rPr>
        <w:t>trzona negatywnie.</w:t>
      </w:r>
    </w:p>
    <w:p w14:paraId="1EFCF67A" w14:textId="77777777" w:rsidR="00C22DE3" w:rsidRDefault="00081B57">
      <w:pPr>
        <w:pStyle w:val="Teksttreci20"/>
        <w:shd w:val="clear" w:color="auto" w:fill="auto"/>
        <w:spacing w:after="120" w:line="365" w:lineRule="exact"/>
        <w:ind w:firstLine="0"/>
        <w:jc w:val="both"/>
      </w:pPr>
      <w:r>
        <w:rPr>
          <w:rStyle w:val="Teksttreci21"/>
        </w:rPr>
        <w:t>Obecnie w całym kraju prowadzony jest bardzo intensywny odstrzał dzików zgodnie z Rekomendacją Międzyresortowego zespołu ds. łagodzenia skutków związanych z wystąpieniem przypadków afrykańskiego pomoru świń (zwany dalej „MZ ds. ASF”) prz</w:t>
      </w:r>
      <w:r>
        <w:rPr>
          <w:rStyle w:val="Teksttreci21"/>
        </w:rPr>
        <w:t>ekazaną do realizacji przez ministra właściwego ds. środowiska. Odstrzał ma na celu maksymalne obniżenie liczebności populacji dzika z uwagi na fakt, że niższa liczebność tych zwierząt przyczynia się do zmniejszenia tempa rozprzestrzeniania się wirusa afry</w:t>
      </w:r>
      <w:r>
        <w:rPr>
          <w:rStyle w:val="Teksttreci21"/>
        </w:rPr>
        <w:t>kańskiego pomoru świń w środowisku.</w:t>
      </w:r>
    </w:p>
    <w:p w14:paraId="6988688E" w14:textId="77777777" w:rsidR="00C22DE3" w:rsidRDefault="00081B57">
      <w:pPr>
        <w:pStyle w:val="Teksttreci20"/>
        <w:shd w:val="clear" w:color="auto" w:fill="auto"/>
        <w:spacing w:after="104" w:line="365" w:lineRule="exact"/>
        <w:ind w:firstLine="0"/>
        <w:jc w:val="both"/>
      </w:pPr>
      <w:r>
        <w:rPr>
          <w:rStyle w:val="Teksttreci21"/>
        </w:rPr>
        <w:t xml:space="preserve">Odstrzał dzików wynikający z rocznych planów łowieckich uzupełniony jest odstrzałem sanitarnym wynikającym z przepisów weterynaryjnych. Minister właściwy ds. środowiska monitoruje stan realizacji odstrzału dzików w </w:t>
      </w:r>
      <w:r>
        <w:rPr>
          <w:rStyle w:val="Teksttreci21"/>
        </w:rPr>
        <w:t>skali kraju, a raporty dotyczące pozyskanych dzików są przekazywane do tut. resortu w cyklu miesięcznym. Ponadto, Polski Związek Łowiecki wdrożył i realizuje wraz z Zespołem Interdyscyplinarnym "Ogólnopolski skoordynowany program zwalczania ASF poprzez ods</w:t>
      </w:r>
      <w:r>
        <w:rPr>
          <w:rStyle w:val="Teksttreci21"/>
        </w:rPr>
        <w:t>trzał poszukiwanie padłych dzików i ich szczątków w ramach polowań zbiorowych." W ramach</w:t>
      </w:r>
      <w:r>
        <w:rPr>
          <w:rStyle w:val="Teksttreci21"/>
        </w:rPr>
        <w:br w:type="page"/>
      </w:r>
      <w:r>
        <w:rPr>
          <w:rStyle w:val="Teksttreci21"/>
        </w:rPr>
        <w:lastRenderedPageBreak/>
        <w:t>organizowanych polowań zbiorowych od 25 października 2021 r. do 2 stycznia 2022 r. odstrzelono ponad 19 tys. dzików i odnaleziono 118 dzików padłych.</w:t>
      </w:r>
    </w:p>
    <w:p w14:paraId="311FFF4E" w14:textId="77777777" w:rsidR="00C22DE3" w:rsidRDefault="00081B57">
      <w:pPr>
        <w:pStyle w:val="Teksttreci20"/>
        <w:shd w:val="clear" w:color="auto" w:fill="auto"/>
        <w:spacing w:after="96" w:line="360" w:lineRule="exact"/>
        <w:ind w:firstLine="0"/>
        <w:jc w:val="both"/>
      </w:pPr>
      <w:r>
        <w:rPr>
          <w:rStyle w:val="Teksttreci21"/>
        </w:rPr>
        <w:t>Odnosząc się do k</w:t>
      </w:r>
      <w:r>
        <w:rPr>
          <w:rStyle w:val="Teksttreci21"/>
        </w:rPr>
        <w:t>onieczności obniżenia liczebności populacji jeleni informuję, że limity odstrzałów tego gatunku określane są w rocznych planach łowieckich opracowywanych na każdy łowiecki rok gospodarczy przez dzierżawców i zarządców obwodów łowieckich na podstawie wiosen</w:t>
      </w:r>
      <w:r>
        <w:rPr>
          <w:rStyle w:val="Teksttreci21"/>
        </w:rPr>
        <w:t>nej inwentaryzacji zwierzyny. Plany przed ostatecznym zatwierdzeniem opiniowane są przez wójta, burmistrza lub prezydenta miasta i właściwą terytorialnie izbę rolniczą. W przypadku nadmiernego zagęszczenia zwierzyny zagrażającego trwałości upraw rolnych or</w:t>
      </w:r>
      <w:r>
        <w:rPr>
          <w:rStyle w:val="Teksttreci21"/>
        </w:rPr>
        <w:t>gany te mogą wnioskować o podniesienie limitów odstrzałów danego gatunku na dany łowiecki rok gospodarczy.</w:t>
      </w:r>
    </w:p>
    <w:p w14:paraId="33922682" w14:textId="77777777" w:rsidR="00C22DE3" w:rsidRDefault="00081B57">
      <w:pPr>
        <w:pStyle w:val="Teksttreci20"/>
        <w:shd w:val="clear" w:color="auto" w:fill="auto"/>
        <w:spacing w:after="100" w:line="365" w:lineRule="exact"/>
        <w:ind w:firstLine="0"/>
        <w:jc w:val="both"/>
      </w:pPr>
      <w:r>
        <w:rPr>
          <w:rStyle w:val="Teksttreci21"/>
        </w:rPr>
        <w:t>Działaniem mającym na celu zapobieżenie istniejącym zagrożeniom jest redukcja populacji zwierząt na większym obszarze. Decyzja o redukcji populacji l</w:t>
      </w:r>
      <w:r>
        <w:rPr>
          <w:rStyle w:val="Teksttreci21"/>
        </w:rPr>
        <w:t xml:space="preserve">eży w kompetencjach sejmiku województwa. Zgodnie z przepisem art. 33a ust. 1 ustawy z dnia 21 sierpnia 1997 r. </w:t>
      </w:r>
      <w:r>
        <w:rPr>
          <w:rStyle w:val="Teksttreci2Kursywa"/>
        </w:rPr>
        <w:t>o ochronie zwierząt</w:t>
      </w:r>
      <w:r>
        <w:rPr>
          <w:rStyle w:val="Teksttreci21"/>
        </w:rPr>
        <w:t xml:space="preserve"> (Dz. U. z 2022 r., poz. 572), który stanowi, iż w przypadku gdy zwierzęta stanowią nadzwyczajne zagrożenie dla życia, zdrowia</w:t>
      </w:r>
      <w:r>
        <w:rPr>
          <w:rStyle w:val="Teksttreci21"/>
        </w:rPr>
        <w:t xml:space="preserve"> lub gospodarki człowieka, w tym gospodarki łowieckiej, dopuszcza się podjęcie działań mających na celu ograniczenie populacji tych zwierząt. Z kolei art. 33a ust. 2 tejże ustawy stanowi, iż sejmik województwa, po zasięgnięciu opinii regionalnej rady ochro</w:t>
      </w:r>
      <w:r>
        <w:rPr>
          <w:rStyle w:val="Teksttreci21"/>
        </w:rPr>
        <w:t>ny przyrody, organizacji społecznej, której statutowym celem jest ochrona zwierząt, oraz Polskiego Związku Łowieckiego, określi, w drodze uchwały, miejsce, warunki, czas i sposoby ograniczenia populacji zwierząt, o których mowa w ust. 1.</w:t>
      </w:r>
    </w:p>
    <w:p w14:paraId="08DC1488" w14:textId="77777777" w:rsidR="00C22DE3" w:rsidRDefault="00081B57">
      <w:pPr>
        <w:pStyle w:val="Teksttreci20"/>
        <w:shd w:val="clear" w:color="auto" w:fill="auto"/>
        <w:spacing w:after="104" w:line="365" w:lineRule="exact"/>
        <w:ind w:firstLine="0"/>
        <w:jc w:val="both"/>
      </w:pPr>
      <w:r>
        <w:rPr>
          <w:rStyle w:val="Teksttreci21"/>
        </w:rPr>
        <w:t xml:space="preserve">Brzmienie </w:t>
      </w:r>
      <w:r>
        <w:rPr>
          <w:rStyle w:val="Teksttreci21"/>
        </w:rPr>
        <w:t>przywołanego przepisu wskazuje jednoznacznie na to, że jeśli zostanie spełniona przesłanka nadzwyczajnego zagrożenia dla życia, zdrowia lub gospodarki człowieka przez zwierzęta, wydanie stosownej uchwały jest obowiązkiem sejmiku województwa.</w:t>
      </w:r>
    </w:p>
    <w:p w14:paraId="7E0C6DEF" w14:textId="77777777" w:rsidR="00C22DE3" w:rsidRDefault="00081B57">
      <w:pPr>
        <w:pStyle w:val="Teksttreci20"/>
        <w:shd w:val="clear" w:color="auto" w:fill="auto"/>
        <w:spacing w:after="116" w:line="360" w:lineRule="exact"/>
        <w:ind w:firstLine="0"/>
        <w:jc w:val="both"/>
      </w:pPr>
      <w:r>
        <w:rPr>
          <w:rStyle w:val="Teksttreci21"/>
        </w:rPr>
        <w:t>W zakresie ogr</w:t>
      </w:r>
      <w:r>
        <w:rPr>
          <w:rStyle w:val="Teksttreci21"/>
        </w:rPr>
        <w:t xml:space="preserve">aniczenia populacji bobrów informuję, że bóbr europejski </w:t>
      </w:r>
      <w:proofErr w:type="spellStart"/>
      <w:r>
        <w:rPr>
          <w:rStyle w:val="Teksttreci21"/>
        </w:rPr>
        <w:t>Castorfiber</w:t>
      </w:r>
      <w:proofErr w:type="spellEnd"/>
      <w:r>
        <w:rPr>
          <w:rStyle w:val="Teksttreci21"/>
        </w:rPr>
        <w:t xml:space="preserve"> objęty jest ochroną częściową na mocy rozporządzenia Ministra Środowiska z dnia 16 grudnia 2016 r. w </w:t>
      </w:r>
      <w:r>
        <w:rPr>
          <w:rStyle w:val="Teksttreci2Kursywa"/>
        </w:rPr>
        <w:t>sprawie ochrony gatunkowej zwierząt</w:t>
      </w:r>
      <w:r>
        <w:rPr>
          <w:rStyle w:val="Teksttreci21"/>
        </w:rPr>
        <w:t xml:space="preserve"> (Dz. U. z 2016 r. poz. 2183). Ponadto, bóbr europe</w:t>
      </w:r>
      <w:r>
        <w:rPr>
          <w:rStyle w:val="Teksttreci21"/>
        </w:rPr>
        <w:t xml:space="preserve">jski podlega ochronie na podstawie dwóch europejskich aktów prawnych. Pierwszym jest Konwencja z dnia 19 września 1979 r. </w:t>
      </w:r>
      <w:r>
        <w:rPr>
          <w:rStyle w:val="Teksttreci2Kursywa"/>
        </w:rPr>
        <w:t xml:space="preserve">o ochronie gatunków dzikiej flory i fauny europejskiej oraz ich siedlisk - Konwencja Berneńska </w:t>
      </w:r>
      <w:r>
        <w:rPr>
          <w:rStyle w:val="Teksttreci21"/>
        </w:rPr>
        <w:t>(Dz. U. z 1996 r., Nr 58, poz. 263), gd</w:t>
      </w:r>
      <w:r>
        <w:rPr>
          <w:rStyle w:val="Teksttreci21"/>
        </w:rPr>
        <w:t>zie bóbr umieszczony jest w III załączniku, obejmującym chronione gatunki fauny. Zgodnie z art. 7 Konwencji, strony powinny regulować przepisami wszelką eksploatację dzikiej fauny wymienionej w załączniku III tak, aby populacja nie była zagrożona. Drugim j</w:t>
      </w:r>
      <w:r>
        <w:rPr>
          <w:rStyle w:val="Teksttreci21"/>
        </w:rPr>
        <w:t xml:space="preserve">est dyrektywa 92/43/EWG z dnia 21 maja 1992 r. w </w:t>
      </w:r>
      <w:r>
        <w:rPr>
          <w:rStyle w:val="Teksttreci2Kursywa"/>
        </w:rPr>
        <w:t>sprawie ochrony siedlisk naturalnych oraz dzikiej fauny i flory - Dyrektywa Siedliskowa,</w:t>
      </w:r>
      <w:r>
        <w:rPr>
          <w:rStyle w:val="Teksttreci21"/>
        </w:rPr>
        <w:t xml:space="preserve"> gdzie bóbr został umieszczony w załączniku II, określającym gatunki roślin i zwierząt będące przedmiotem zainteresowan</w:t>
      </w:r>
      <w:r>
        <w:rPr>
          <w:rStyle w:val="Teksttreci21"/>
        </w:rPr>
        <w:t>ia Wspólnoty, których ochrona wymaga wyznaczenia specjalnych obszarów ochrony, jak również w załączniku IV, gdzie ujęto gatunki zwierząt i roślin, będące przedmiotem zainteresowania Wspólnoty, które wymagają ścisłej ochrony. Wobec powyższego, nie jest możl</w:t>
      </w:r>
      <w:r>
        <w:rPr>
          <w:rStyle w:val="Teksttreci21"/>
        </w:rPr>
        <w:t>iwe skrócenie okresu ochronnego tego gatunku.</w:t>
      </w:r>
    </w:p>
    <w:p w14:paraId="3DE2636F" w14:textId="77777777" w:rsidR="00C22DE3" w:rsidRDefault="00081B57">
      <w:pPr>
        <w:pStyle w:val="Teksttreci20"/>
        <w:shd w:val="clear" w:color="auto" w:fill="auto"/>
        <w:spacing w:after="120" w:line="365" w:lineRule="exact"/>
        <w:ind w:firstLine="0"/>
        <w:jc w:val="both"/>
      </w:pPr>
      <w:r>
        <w:rPr>
          <w:rStyle w:val="Teksttreci21"/>
        </w:rPr>
        <w:t xml:space="preserve">Należy przy tym wskazać, że fakt objęcia ochroną nie uniemożliwia podejmowania działań w stosunku do ww. </w:t>
      </w:r>
      <w:r>
        <w:rPr>
          <w:rStyle w:val="Teksttreci21"/>
        </w:rPr>
        <w:lastRenderedPageBreak/>
        <w:t xml:space="preserve">gatunku. Na podstawie art. 56 ust. 2 pkt 1 ustawy </w:t>
      </w:r>
      <w:r>
        <w:rPr>
          <w:rStyle w:val="Teksttreci22"/>
        </w:rPr>
        <w:t xml:space="preserve">z </w:t>
      </w:r>
      <w:r>
        <w:rPr>
          <w:rStyle w:val="Teksttreci21"/>
        </w:rPr>
        <w:t xml:space="preserve">dnia 16 kwietnia 2004 r. </w:t>
      </w:r>
      <w:r>
        <w:rPr>
          <w:rStyle w:val="Teksttreci2Kursywa"/>
        </w:rPr>
        <w:t xml:space="preserve">o ochronie przyrody </w:t>
      </w:r>
      <w:r>
        <w:rPr>
          <w:rStyle w:val="Teksttreci21"/>
        </w:rPr>
        <w:t xml:space="preserve">(Dz. U. </w:t>
      </w:r>
      <w:r>
        <w:rPr>
          <w:rStyle w:val="Teksttreci21"/>
        </w:rPr>
        <w:t xml:space="preserve">z 2021 r. poz. 1098, z </w:t>
      </w:r>
      <w:proofErr w:type="spellStart"/>
      <w:r>
        <w:rPr>
          <w:rStyle w:val="Teksttreci21"/>
        </w:rPr>
        <w:t>późn</w:t>
      </w:r>
      <w:proofErr w:type="spellEnd"/>
      <w:r>
        <w:rPr>
          <w:rStyle w:val="Teksttreci21"/>
        </w:rPr>
        <w:t>. zm.), regionalni dyrektorzy ochrony środowiska, na wniosek podmiotów, w których interesie jest np. zminimalizowanie szkód, wydają zezwolenia m.in. na płoszenie i niepokojenie, umyślne zabijanie bobrów, a także na niszczenie sie</w:t>
      </w:r>
      <w:r>
        <w:rPr>
          <w:rStyle w:val="Teksttreci21"/>
        </w:rPr>
        <w:t>dlisk oraz usuwanie żeremi i tam budowanych przez ten gatunek. Zezwolenia z zakresu ochrony gatunkowej mogą być wydane zgodnie z art. 56 ust. 4 ww. ustawy w przypadku braku rozwiązań alternatywnych, jeżeli wnioskowane czynności nie są szkodliwe dla zachowa</w:t>
      </w:r>
      <w:r>
        <w:rPr>
          <w:rStyle w:val="Teksttreci21"/>
        </w:rPr>
        <w:t>nia we właściwym stanie ochrony dziko występujących populacji chronionych gatunków zwierząt oraz w przypadku zaistnienia jednej z przesłanek wskazanych w art. 56 ust. 4 pkt 1-7 tejże ustawy (np. gdy wynikają z konieczności ograniczenia poważnych szkód w od</w:t>
      </w:r>
      <w:r>
        <w:rPr>
          <w:rStyle w:val="Teksttreci21"/>
        </w:rPr>
        <w:t>niesieniu do upraw rolnych, inwentarza żywego, lasów, rybostanu, wody lub innych rodzajów mienia). Należy jednak podkreślić, że ewentualne zezwolenie musi zostać poprzedzone wnioskiem osoby zainteresowanej uzyskaniem stosownego odstępstwa. Wydane decyzje p</w:t>
      </w:r>
      <w:r>
        <w:rPr>
          <w:rStyle w:val="Teksttreci21"/>
        </w:rPr>
        <w:t>rzyznają stronom prawo do odstępstwa od obowiązujących zakazów, nie mają zaś charakteru nakazowego. Wnioskodawca może więc wykorzystać udzieloną derogację w całości lub w części, nie ma jednak takiego obowiązku. Należy jednocześnie zauważyć, że w przypadku</w:t>
      </w:r>
      <w:r>
        <w:rPr>
          <w:rStyle w:val="Teksttreci21"/>
        </w:rPr>
        <w:t xml:space="preserve">, gdy wniosek obiektywnie nie może być załatwiony w formie pisemnej, podmiot zainteresowany uzyskaniem zezwolenia może uzyskać decyzję ustną [art. 14 § 2 ustawy z dnia 14 czerwca 1960 r. </w:t>
      </w:r>
      <w:r>
        <w:rPr>
          <w:rStyle w:val="Teksttreci2Kursywa"/>
        </w:rPr>
        <w:t>Kodeks postępowania administracyjnego</w:t>
      </w:r>
      <w:r>
        <w:rPr>
          <w:rStyle w:val="Teksttreci21"/>
        </w:rPr>
        <w:t xml:space="preserve"> (Dz. U. z 2021 r. poz. 735 ze z</w:t>
      </w:r>
      <w:r>
        <w:rPr>
          <w:rStyle w:val="Teksttreci21"/>
        </w:rPr>
        <w:t>m.)].</w:t>
      </w:r>
    </w:p>
    <w:p w14:paraId="310D6BAC" w14:textId="77777777" w:rsidR="00C22DE3" w:rsidRDefault="00081B57">
      <w:pPr>
        <w:pStyle w:val="Teksttreci20"/>
        <w:shd w:val="clear" w:color="auto" w:fill="auto"/>
        <w:spacing w:line="365" w:lineRule="exact"/>
        <w:ind w:firstLine="0"/>
        <w:jc w:val="both"/>
      </w:pPr>
      <w:r>
        <w:rPr>
          <w:rStyle w:val="Teksttreci21"/>
        </w:rPr>
        <w:t xml:space="preserve">Warto również mieć na uwadze, iż w związku z wejściem w życie w dniu 1 października 2012 r. ustawy </w:t>
      </w:r>
      <w:r>
        <w:rPr>
          <w:rStyle w:val="Teksttreci2Kursywa"/>
        </w:rPr>
        <w:t>o zmianie ustawy o ochronie przyrody oraz niektórych innych ustaw</w:t>
      </w:r>
      <w:r>
        <w:rPr>
          <w:rStyle w:val="Teksttreci21"/>
        </w:rPr>
        <w:t xml:space="preserve"> (Dz. U. poz. 985), w ustawie </w:t>
      </w:r>
      <w:r>
        <w:rPr>
          <w:rStyle w:val="Teksttreci2Kursywa"/>
        </w:rPr>
        <w:t>o ochronie przyrody</w:t>
      </w:r>
      <w:r>
        <w:rPr>
          <w:rStyle w:val="Teksttreci21"/>
        </w:rPr>
        <w:t xml:space="preserve"> został wprowadzony dodatkowy sposób </w:t>
      </w:r>
      <w:r>
        <w:rPr>
          <w:rStyle w:val="Teksttreci21"/>
        </w:rPr>
        <w:t>wydawania derogacji z zakresu ochrony gatunkowej w odniesieniu do wybranych gatunków przez regionalnego dyrektora ochrony środowiska (art. 56a), w drodze aktu prawa miejscowego w formie zarządzenia. Zarządzenia te mogą być wydawane m.in. w stosunku do bobr</w:t>
      </w:r>
      <w:r>
        <w:rPr>
          <w:rStyle w:val="Teksttreci21"/>
        </w:rPr>
        <w:t>a europejskiego na wybranej części lub na obszarze całego województwa. Regionalny dyrektor ochrony środowiska w przedmiotowym zarządzeniu określa m.in. warunki wykonywania ww. czynności, w tym termin i obszar, którego dotyczy zarządzenie oraz konieczność s</w:t>
      </w:r>
      <w:r>
        <w:rPr>
          <w:rStyle w:val="Teksttreci21"/>
        </w:rPr>
        <w:t>kładania sprawozdań z przeprowadzonych działań w ramach realizacji zarządzenia.</w:t>
      </w:r>
    </w:p>
    <w:p w14:paraId="6AE870DC" w14:textId="77777777" w:rsidR="00C22DE3" w:rsidRDefault="00081B57">
      <w:pPr>
        <w:pStyle w:val="Teksttreci20"/>
        <w:shd w:val="clear" w:color="auto" w:fill="auto"/>
        <w:spacing w:line="365" w:lineRule="exact"/>
        <w:ind w:firstLine="0"/>
      </w:pPr>
      <w:r>
        <w:rPr>
          <w:rStyle w:val="Teksttreci21"/>
        </w:rPr>
        <w:t>Powyższe rozwiązanie pozwala na elastyczne dostosowanie wykonywania czynności, na które wydano zgodę, do potrzeb występujących w danym miejscu i skrócenie procedury administrac</w:t>
      </w:r>
      <w:r>
        <w:rPr>
          <w:rStyle w:val="Teksttreci21"/>
        </w:rPr>
        <w:t xml:space="preserve">yjnej </w:t>
      </w:r>
      <w:r>
        <w:rPr>
          <w:rStyle w:val="Teksttreci22"/>
        </w:rPr>
        <w:t xml:space="preserve">- </w:t>
      </w:r>
      <w:r>
        <w:rPr>
          <w:rStyle w:val="Teksttreci21"/>
        </w:rPr>
        <w:t xml:space="preserve">podmiot wykonujący działania podlegające zakazom musi jedynie przesłać sprawozdanie z ich wykonania. Dodatkowo, należy zaznaczyć, że 19 I </w:t>
      </w:r>
      <w:proofErr w:type="spellStart"/>
      <w:r>
        <w:rPr>
          <w:rStyle w:val="Teksttreci21"/>
        </w:rPr>
        <w:t>ipca</w:t>
      </w:r>
      <w:proofErr w:type="spellEnd"/>
      <w:r>
        <w:rPr>
          <w:rStyle w:val="Teksttreci21"/>
        </w:rPr>
        <w:t xml:space="preserve"> 2016 r. Generalna Dyrekcja Ochrony Środowiska oraz Zarząd Główny PZŁ zawarły porozumienie w sprawie wprow</w:t>
      </w:r>
      <w:r>
        <w:rPr>
          <w:rStyle w:val="Teksttreci21"/>
        </w:rPr>
        <w:t xml:space="preserve">adzenia do stosowania instrukcji określającej reguły postępowania przy ograniczeniu liczebności populacji bobra europejskiego na terenach obwodów łowieckich. Redukcja populacji ma w głównej mierze dotyczyć obszarów, w których szkody powodowane przez bobry </w:t>
      </w:r>
      <w:r>
        <w:rPr>
          <w:rStyle w:val="Teksttreci21"/>
        </w:rPr>
        <w:t xml:space="preserve">są najbardziej dotkliwe </w:t>
      </w:r>
      <w:r>
        <w:rPr>
          <w:rStyle w:val="Teksttreci23"/>
        </w:rPr>
        <w:t xml:space="preserve">- </w:t>
      </w:r>
      <w:r>
        <w:rPr>
          <w:rStyle w:val="Teksttreci21"/>
        </w:rPr>
        <w:t>m.in. tam, gdzie zwierzęta te uszkadzają wały przeciwpowodziowe czy urządzenia melioracyjne. Ma to z jednej strony zapewnić większe bezpieczeństwo obywateli i ich dobytku, a z drugiej zwiększyć akceptację ochrony tego gatunku. Pon</w:t>
      </w:r>
      <w:r>
        <w:rPr>
          <w:rStyle w:val="Teksttreci21"/>
        </w:rPr>
        <w:t xml:space="preserve">iżej przedstawiam tabelę obrazującą stosunek liczby bobrów objętych zezwoleniami na umyślne zabicie do liczby zabitych bobrów w latach 2015-2020, z której jasno wynika, że zezwolenia mimo tego, że są wydawane - nie są </w:t>
      </w:r>
      <w:r>
        <w:rPr>
          <w:rStyle w:val="Teksttreci21"/>
        </w:rPr>
        <w:lastRenderedPageBreak/>
        <w:t>realizowane.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2486"/>
        <w:gridCol w:w="2419"/>
        <w:gridCol w:w="2597"/>
      </w:tblGrid>
      <w:tr w:rsidR="00C22DE3" w14:paraId="0DFF1200" w14:textId="77777777">
        <w:tblPrEx>
          <w:tblCellMar>
            <w:top w:w="0" w:type="dxa"/>
            <w:bottom w:w="0" w:type="dxa"/>
          </w:tblCellMar>
        </w:tblPrEx>
        <w:trPr>
          <w:trHeight w:hRule="exact" w:val="104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3E9DC8" w14:textId="77777777" w:rsidR="00C22DE3" w:rsidRDefault="00081B57">
            <w:pPr>
              <w:pStyle w:val="Teksttreci20"/>
              <w:framePr w:w="8323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Teksttreci24"/>
              </w:rPr>
              <w:t>Rok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37F737" w14:textId="77777777" w:rsidR="00C22DE3" w:rsidRDefault="00081B57">
            <w:pPr>
              <w:pStyle w:val="Teksttreci20"/>
              <w:framePr w:w="8323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Teksttreci24"/>
              </w:rPr>
              <w:t xml:space="preserve">Liczba </w:t>
            </w:r>
            <w:r>
              <w:rPr>
                <w:rStyle w:val="Teksttreci24"/>
              </w:rPr>
              <w:t>wydanych decyzji na umyślne zabicie bobra europejskiego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13F908" w14:textId="77777777" w:rsidR="00C22DE3" w:rsidRDefault="00081B57">
            <w:pPr>
              <w:pStyle w:val="Teksttreci20"/>
              <w:framePr w:w="8323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Teksttreci24"/>
              </w:rPr>
              <w:t>Liczba bobrów objętych zezwoleniami na umyślne zabicie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459201" w14:textId="77777777" w:rsidR="00C22DE3" w:rsidRDefault="00081B57">
            <w:pPr>
              <w:pStyle w:val="Teksttreci20"/>
              <w:framePr w:w="8323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Teksttreci24"/>
              </w:rPr>
              <w:t>Liczba zabitych bobrów- wykorzystanie zezwoleń na umyślne zabicie</w:t>
            </w:r>
          </w:p>
        </w:tc>
      </w:tr>
      <w:tr w:rsidR="00C22DE3" w14:paraId="2AD9C56B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62311E" w14:textId="77777777" w:rsidR="00C22DE3" w:rsidRDefault="00081B57">
            <w:pPr>
              <w:pStyle w:val="Teksttreci20"/>
              <w:framePr w:w="8323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Teksttreci24"/>
              </w:rPr>
              <w:t>2015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02F856" w14:textId="77777777" w:rsidR="00C22DE3" w:rsidRDefault="00081B57">
            <w:pPr>
              <w:pStyle w:val="Teksttreci20"/>
              <w:framePr w:w="8323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Teksttreci24"/>
              </w:rPr>
              <w:t>407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FDA3B5" w14:textId="77777777" w:rsidR="00C22DE3" w:rsidRDefault="00081B57">
            <w:pPr>
              <w:pStyle w:val="Teksttreci20"/>
              <w:framePr w:w="8323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Teksttreci24"/>
              </w:rPr>
              <w:t>8887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7E0D87" w14:textId="77777777" w:rsidR="00C22DE3" w:rsidRDefault="00081B57">
            <w:pPr>
              <w:pStyle w:val="Teksttreci20"/>
              <w:framePr w:w="8323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Teksttreci24"/>
              </w:rPr>
              <w:t>1511</w:t>
            </w:r>
          </w:p>
        </w:tc>
      </w:tr>
      <w:tr w:rsidR="00C22DE3" w14:paraId="58A9FECD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775762" w14:textId="77777777" w:rsidR="00C22DE3" w:rsidRDefault="00081B57">
            <w:pPr>
              <w:pStyle w:val="Teksttreci20"/>
              <w:framePr w:w="8323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Teksttreci24"/>
              </w:rPr>
              <w:t>2016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604FAD" w14:textId="77777777" w:rsidR="00C22DE3" w:rsidRDefault="00081B57">
            <w:pPr>
              <w:pStyle w:val="Teksttreci20"/>
              <w:framePr w:w="8323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Teksttreci24"/>
              </w:rPr>
              <w:t>304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DD6A1A" w14:textId="77777777" w:rsidR="00C22DE3" w:rsidRDefault="00081B57">
            <w:pPr>
              <w:pStyle w:val="Teksttreci20"/>
              <w:framePr w:w="8323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Teksttreci24"/>
              </w:rPr>
              <w:t>5785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3C4183" w14:textId="77777777" w:rsidR="00C22DE3" w:rsidRDefault="00081B57">
            <w:pPr>
              <w:pStyle w:val="Teksttreci20"/>
              <w:framePr w:w="8323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Teksttreci24"/>
              </w:rPr>
              <w:t>1582</w:t>
            </w:r>
          </w:p>
        </w:tc>
      </w:tr>
      <w:tr w:rsidR="00C22DE3" w14:paraId="2CEBF8D7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A0F1DE" w14:textId="77777777" w:rsidR="00C22DE3" w:rsidRDefault="00081B57">
            <w:pPr>
              <w:pStyle w:val="Teksttreci20"/>
              <w:framePr w:w="8323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Teksttreci24"/>
              </w:rPr>
              <w:t>2017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6B7AA3" w14:textId="77777777" w:rsidR="00C22DE3" w:rsidRDefault="00081B57">
            <w:pPr>
              <w:pStyle w:val="Teksttreci20"/>
              <w:framePr w:w="8323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Teksttreci24"/>
              </w:rPr>
              <w:t>235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4C8067" w14:textId="77777777" w:rsidR="00C22DE3" w:rsidRDefault="00081B57">
            <w:pPr>
              <w:pStyle w:val="Teksttreci20"/>
              <w:framePr w:w="8323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Teksttreci24"/>
              </w:rPr>
              <w:t>5313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E6CA4F" w14:textId="77777777" w:rsidR="00C22DE3" w:rsidRDefault="00081B57">
            <w:pPr>
              <w:pStyle w:val="Teksttreci20"/>
              <w:framePr w:w="8323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Teksttreci24"/>
              </w:rPr>
              <w:t>1132</w:t>
            </w:r>
          </w:p>
        </w:tc>
      </w:tr>
      <w:tr w:rsidR="00C22DE3" w14:paraId="50DBA5C9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B61629" w14:textId="77777777" w:rsidR="00C22DE3" w:rsidRDefault="00081B57">
            <w:pPr>
              <w:pStyle w:val="Teksttreci20"/>
              <w:framePr w:w="8323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Teksttreci24"/>
              </w:rPr>
              <w:t>2018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7D1CBB" w14:textId="77777777" w:rsidR="00C22DE3" w:rsidRDefault="00081B57">
            <w:pPr>
              <w:pStyle w:val="Teksttreci20"/>
              <w:framePr w:w="8323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Teksttreci24"/>
              </w:rPr>
              <w:t>231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C3F2E5" w14:textId="77777777" w:rsidR="00C22DE3" w:rsidRDefault="00081B57">
            <w:pPr>
              <w:pStyle w:val="Teksttreci20"/>
              <w:framePr w:w="8323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Teksttreci24"/>
              </w:rPr>
              <w:t>5348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4A2789" w14:textId="77777777" w:rsidR="00C22DE3" w:rsidRDefault="00081B57">
            <w:pPr>
              <w:pStyle w:val="Teksttreci20"/>
              <w:framePr w:w="8323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Teksttreci24"/>
              </w:rPr>
              <w:t>649</w:t>
            </w:r>
          </w:p>
        </w:tc>
      </w:tr>
      <w:tr w:rsidR="00C22DE3" w14:paraId="2EC0595C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73E2F8" w14:textId="77777777" w:rsidR="00C22DE3" w:rsidRDefault="00081B57">
            <w:pPr>
              <w:pStyle w:val="Teksttreci20"/>
              <w:framePr w:w="8323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Teksttreci24"/>
              </w:rPr>
              <w:t>2019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D6FA7F" w14:textId="77777777" w:rsidR="00C22DE3" w:rsidRDefault="00081B57">
            <w:pPr>
              <w:pStyle w:val="Teksttreci20"/>
              <w:framePr w:w="8323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Teksttreci24"/>
              </w:rPr>
              <w:t>305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5488AA" w14:textId="77777777" w:rsidR="00C22DE3" w:rsidRDefault="00081B57">
            <w:pPr>
              <w:pStyle w:val="Teksttreci20"/>
              <w:framePr w:w="8323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Teksttreci24"/>
              </w:rPr>
              <w:t>8391 + 9 rodzin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0BDA3E" w14:textId="77777777" w:rsidR="00C22DE3" w:rsidRDefault="00081B57">
            <w:pPr>
              <w:pStyle w:val="Teksttreci20"/>
              <w:framePr w:w="8323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Teksttreci24"/>
              </w:rPr>
              <w:t>274</w:t>
            </w:r>
          </w:p>
        </w:tc>
      </w:tr>
      <w:tr w:rsidR="00C22DE3" w14:paraId="0508A95D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30FA49" w14:textId="77777777" w:rsidR="00C22DE3" w:rsidRDefault="00081B57">
            <w:pPr>
              <w:pStyle w:val="Teksttreci20"/>
              <w:framePr w:w="8323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Teksttreci24"/>
              </w:rPr>
              <w:t>2020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FE9086" w14:textId="77777777" w:rsidR="00C22DE3" w:rsidRDefault="00081B57">
            <w:pPr>
              <w:pStyle w:val="Teksttreci20"/>
              <w:framePr w:w="8323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Teksttreci24"/>
              </w:rPr>
              <w:t>275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FB1B88" w14:textId="77777777" w:rsidR="00C22DE3" w:rsidRDefault="00081B57">
            <w:pPr>
              <w:pStyle w:val="Teksttreci20"/>
              <w:framePr w:w="8323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Teksttreci24"/>
              </w:rPr>
              <w:t>5839 + 25 rodzin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5BE262" w14:textId="77777777" w:rsidR="00C22DE3" w:rsidRDefault="00081B57">
            <w:pPr>
              <w:pStyle w:val="Teksttreci20"/>
              <w:framePr w:w="8323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Teksttreci24"/>
              </w:rPr>
              <w:t>669</w:t>
            </w:r>
          </w:p>
        </w:tc>
      </w:tr>
    </w:tbl>
    <w:p w14:paraId="38560D82" w14:textId="77777777" w:rsidR="00C22DE3" w:rsidRDefault="00C22DE3">
      <w:pPr>
        <w:framePr w:w="8323" w:wrap="notBeside" w:vAnchor="text" w:hAnchor="text" w:xAlign="center" w:y="1"/>
        <w:rPr>
          <w:sz w:val="2"/>
          <w:szCs w:val="2"/>
        </w:rPr>
      </w:pPr>
    </w:p>
    <w:p w14:paraId="5850FAF5" w14:textId="77777777" w:rsidR="00C22DE3" w:rsidRDefault="00C22DE3">
      <w:pPr>
        <w:rPr>
          <w:sz w:val="2"/>
          <w:szCs w:val="2"/>
        </w:rPr>
      </w:pPr>
    </w:p>
    <w:p w14:paraId="35B874D4" w14:textId="77777777" w:rsidR="00C22DE3" w:rsidRDefault="00081B57">
      <w:pPr>
        <w:pStyle w:val="Teksttreci20"/>
        <w:shd w:val="clear" w:color="auto" w:fill="auto"/>
        <w:spacing w:before="137" w:after="120" w:line="365" w:lineRule="exact"/>
        <w:ind w:firstLine="0"/>
        <w:jc w:val="both"/>
      </w:pPr>
      <w:r>
        <w:rPr>
          <w:rStyle w:val="Teksttreci21"/>
        </w:rPr>
        <w:t xml:space="preserve">Ponadto informuję, iż zgodnie z art. 126 ust. 1 pkt 5 ustawy </w:t>
      </w:r>
      <w:r>
        <w:rPr>
          <w:rStyle w:val="Teksttreci2Kursywa"/>
        </w:rPr>
        <w:t>o ochronie przyrody</w:t>
      </w:r>
      <w:r>
        <w:rPr>
          <w:rStyle w:val="Teksttreci21"/>
        </w:rPr>
        <w:t xml:space="preserve"> Skarb Państwa odpowiada za szkody wyrządzone przez wybrane gatunki objęte ochroną, w tym bobry. Oględzin i szacowania szkód, a także ustalenia wysokości odszkodowania i jego wypłaty, dokonuje zgodnie z ww. ustawą właściwy regionalny dyrektor ochrony środo</w:t>
      </w:r>
      <w:r>
        <w:rPr>
          <w:rStyle w:val="Teksttreci21"/>
        </w:rPr>
        <w:t>wiska, a na obszarze parku narodowego - dyrektor tego parku.</w:t>
      </w:r>
    </w:p>
    <w:p w14:paraId="0066AB1B" w14:textId="77777777" w:rsidR="00C22DE3" w:rsidRDefault="00081B57">
      <w:pPr>
        <w:pStyle w:val="Teksttreci20"/>
        <w:shd w:val="clear" w:color="auto" w:fill="auto"/>
        <w:spacing w:after="634" w:line="365" w:lineRule="exact"/>
        <w:ind w:firstLine="0"/>
        <w:jc w:val="both"/>
      </w:pPr>
      <w:r>
        <w:rPr>
          <w:rStyle w:val="Teksttreci21"/>
        </w:rPr>
        <w:t>Biorąc powyższe pod uwagę oraz fakt, że istnieją już mechanizmy pozwalające na regulowanie populacji bobra w skali lokalnej, prace nad wprowadzeniem przepisów bądź innych mechanizmów, które ogran</w:t>
      </w:r>
      <w:r>
        <w:rPr>
          <w:rStyle w:val="Teksttreci21"/>
        </w:rPr>
        <w:t>iczyłyby populację tego gatunku w skali kraju, nie są aktualnie prowadzone.</w:t>
      </w:r>
    </w:p>
    <w:p w14:paraId="7DBEE639" w14:textId="77777777" w:rsidR="00C22DE3" w:rsidRDefault="00081B57">
      <w:pPr>
        <w:pStyle w:val="Teksttreci40"/>
        <w:shd w:val="clear" w:color="auto" w:fill="auto"/>
        <w:spacing w:before="0" w:after="502"/>
        <w:ind w:left="4560"/>
        <w:jc w:val="left"/>
      </w:pPr>
      <w:r>
        <w:rPr>
          <w:rStyle w:val="Teksttreci41"/>
          <w:i/>
          <w:iCs/>
        </w:rPr>
        <w:t>Z wyrazami szacunku</w:t>
      </w:r>
    </w:p>
    <w:p w14:paraId="1F931A7D" w14:textId="77777777" w:rsidR="00C22DE3" w:rsidRDefault="00081B57">
      <w:pPr>
        <w:pStyle w:val="Teksttreci50"/>
        <w:shd w:val="clear" w:color="auto" w:fill="auto"/>
        <w:spacing w:before="0" w:after="1507"/>
        <w:ind w:left="4560"/>
      </w:pPr>
      <w:r>
        <w:rPr>
          <w:rStyle w:val="Teksttreci51"/>
          <w:i/>
          <w:iCs/>
        </w:rPr>
        <w:t>Z up. Ministra</w:t>
      </w:r>
    </w:p>
    <w:p w14:paraId="696BDFFC" w14:textId="77777777" w:rsidR="00C22DE3" w:rsidRDefault="00081B57">
      <w:pPr>
        <w:pStyle w:val="Teksttreci60"/>
        <w:shd w:val="clear" w:color="auto" w:fill="auto"/>
        <w:spacing w:before="0"/>
      </w:pPr>
      <w:r>
        <w:rPr>
          <w:rStyle w:val="Teksttreci61"/>
          <w:b/>
          <w:bCs/>
        </w:rPr>
        <w:t>Do wiadomości:</w:t>
      </w:r>
    </w:p>
    <w:p w14:paraId="6A7CB7B0" w14:textId="77777777" w:rsidR="00C22DE3" w:rsidRDefault="00081B57">
      <w:pPr>
        <w:pStyle w:val="Teksttreci70"/>
        <w:shd w:val="clear" w:color="auto" w:fill="auto"/>
        <w:sectPr w:rsidR="00C22DE3">
          <w:type w:val="continuous"/>
          <w:pgSz w:w="11900" w:h="16840"/>
          <w:pgMar w:top="1421" w:right="1467" w:bottom="2002" w:left="1307" w:header="0" w:footer="3" w:gutter="0"/>
          <w:cols w:space="720"/>
          <w:noEndnote/>
          <w:docGrid w:linePitch="360"/>
        </w:sectPr>
      </w:pPr>
      <w:r>
        <w:rPr>
          <w:rStyle w:val="Teksttreci71"/>
        </w:rPr>
        <w:t>Biuro Kontroli i Audytu w Ministerstwie Klimatu i Środowiska</w:t>
      </w:r>
    </w:p>
    <w:p w14:paraId="4D9FBF6A" w14:textId="77777777" w:rsidR="00C22DE3" w:rsidRDefault="00081B57">
      <w:pPr>
        <w:pStyle w:val="Teksttreci80"/>
        <w:shd w:val="clear" w:color="auto" w:fill="auto"/>
        <w:spacing w:after="258"/>
      </w:pPr>
      <w:r>
        <w:rPr>
          <w:rStyle w:val="Teksttreci81"/>
          <w:b/>
          <w:bCs/>
        </w:rPr>
        <w:lastRenderedPageBreak/>
        <w:t>Klauzula informacyjna:</w:t>
      </w:r>
    </w:p>
    <w:p w14:paraId="047F359B" w14:textId="77777777" w:rsidR="00C22DE3" w:rsidRDefault="00081B57">
      <w:pPr>
        <w:pStyle w:val="Teksttreci20"/>
        <w:shd w:val="clear" w:color="auto" w:fill="auto"/>
        <w:spacing w:after="288" w:line="259" w:lineRule="exact"/>
        <w:ind w:firstLine="0"/>
        <w:jc w:val="both"/>
      </w:pPr>
      <w:r>
        <w:rPr>
          <w:rStyle w:val="Teksttreci21"/>
        </w:rPr>
        <w:t xml:space="preserve">Zgodnie z art. 13 </w:t>
      </w:r>
      <w:r>
        <w:rPr>
          <w:rStyle w:val="Teksttreci21"/>
        </w:rPr>
        <w:t>ust. 1 i 2 ogólnego rozporządzenia o ochronie danych osobowych z dnia 27 kwietnia 2016 r. informujemy, że:</w:t>
      </w:r>
    </w:p>
    <w:p w14:paraId="1F382499" w14:textId="77777777" w:rsidR="00C22DE3" w:rsidRDefault="00081B57">
      <w:pPr>
        <w:pStyle w:val="Teksttreci20"/>
        <w:numPr>
          <w:ilvl w:val="0"/>
          <w:numId w:val="1"/>
        </w:numPr>
        <w:shd w:val="clear" w:color="auto" w:fill="auto"/>
        <w:tabs>
          <w:tab w:val="left" w:pos="773"/>
        </w:tabs>
        <w:spacing w:line="250" w:lineRule="exact"/>
        <w:ind w:left="760"/>
        <w:jc w:val="both"/>
      </w:pPr>
      <w:r>
        <w:rPr>
          <w:rStyle w:val="Teksttreci21"/>
        </w:rPr>
        <w:t>Administratorem danych osobowych osób wnoszących sprawy z zakresu petycji jest Minister Klimatu i Środowiska z siedzibą w Warszawie ul. Wawelska 52/5</w:t>
      </w:r>
      <w:r>
        <w:rPr>
          <w:rStyle w:val="Teksttreci21"/>
        </w:rPr>
        <w:t>4, 00-922.</w:t>
      </w:r>
    </w:p>
    <w:p w14:paraId="47E0B848" w14:textId="77777777" w:rsidR="00C22DE3" w:rsidRDefault="00081B57">
      <w:pPr>
        <w:pStyle w:val="Teksttreci20"/>
        <w:numPr>
          <w:ilvl w:val="0"/>
          <w:numId w:val="1"/>
        </w:numPr>
        <w:shd w:val="clear" w:color="auto" w:fill="auto"/>
        <w:tabs>
          <w:tab w:val="left" w:pos="773"/>
        </w:tabs>
        <w:spacing w:line="254" w:lineRule="exact"/>
        <w:ind w:left="760"/>
        <w:jc w:val="both"/>
      </w:pPr>
      <w:r>
        <w:rPr>
          <w:rStyle w:val="Teksttreci21"/>
        </w:rPr>
        <w:t xml:space="preserve">Kontakt z Inspektorem Ochrony Danych jest możliwy pod adresem email: </w:t>
      </w:r>
      <w:hyperlink r:id="rId9" w:history="1">
        <w:r>
          <w:rPr>
            <w:rStyle w:val="Teksttreci21"/>
            <w:lang w:val="en-US" w:eastAsia="en-US" w:bidi="en-US"/>
          </w:rPr>
          <w:t>inspektor.ochrony.danych@klimat.gov.pl</w:t>
        </w:r>
      </w:hyperlink>
    </w:p>
    <w:p w14:paraId="130A6C90" w14:textId="77777777" w:rsidR="00C22DE3" w:rsidRDefault="00081B57">
      <w:pPr>
        <w:pStyle w:val="Teksttreci20"/>
        <w:numPr>
          <w:ilvl w:val="0"/>
          <w:numId w:val="1"/>
        </w:numPr>
        <w:shd w:val="clear" w:color="auto" w:fill="auto"/>
        <w:tabs>
          <w:tab w:val="left" w:pos="773"/>
        </w:tabs>
        <w:spacing w:line="254" w:lineRule="exact"/>
        <w:ind w:left="760"/>
        <w:jc w:val="both"/>
      </w:pPr>
      <w:r>
        <w:rPr>
          <w:rStyle w:val="Teksttreci21"/>
        </w:rPr>
        <w:t xml:space="preserve">Będziemy przetwarzać dane osobowe osób wnoszących sprawy z zakresu petycji w </w:t>
      </w:r>
      <w:r>
        <w:rPr>
          <w:rStyle w:val="Teksttreci21"/>
        </w:rPr>
        <w:t>celu rozpatrzenia tych spraw, na podstawie Art. 6 ust. 1 lit. c ogólnego rozporządzenia o ochronie danych osobowych z dnia 27 kwietnia 2016 r. w związku z ustawą z dnia 11 lipca 2014 r. o petycjach oraz w celu spełnienia obowiązku archiwizacji dokumentów n</w:t>
      </w:r>
      <w:r>
        <w:rPr>
          <w:rStyle w:val="Teksttreci21"/>
        </w:rPr>
        <w:t>a podstawie ustawy z dnia 14 lipca 1983 r. o narodowym zasobie archiwalnym.</w:t>
      </w:r>
    </w:p>
    <w:p w14:paraId="11F391F4" w14:textId="77777777" w:rsidR="00C22DE3" w:rsidRDefault="00081B57">
      <w:pPr>
        <w:pStyle w:val="Teksttreci20"/>
        <w:numPr>
          <w:ilvl w:val="0"/>
          <w:numId w:val="1"/>
        </w:numPr>
        <w:shd w:val="clear" w:color="auto" w:fill="auto"/>
        <w:tabs>
          <w:tab w:val="left" w:pos="773"/>
        </w:tabs>
        <w:spacing w:line="250" w:lineRule="exact"/>
        <w:ind w:left="760"/>
        <w:jc w:val="both"/>
      </w:pPr>
      <w:r>
        <w:rPr>
          <w:rStyle w:val="Teksttreci21"/>
        </w:rPr>
        <w:t>Dane osobowe osób wnoszących sprawy z zakresu petycji będziemy przechowywać przez okres do 25 lat.</w:t>
      </w:r>
    </w:p>
    <w:p w14:paraId="4832F59D" w14:textId="77777777" w:rsidR="00C22DE3" w:rsidRDefault="00081B57">
      <w:pPr>
        <w:pStyle w:val="Teksttreci20"/>
        <w:numPr>
          <w:ilvl w:val="0"/>
          <w:numId w:val="1"/>
        </w:numPr>
        <w:shd w:val="clear" w:color="auto" w:fill="auto"/>
        <w:tabs>
          <w:tab w:val="left" w:pos="773"/>
        </w:tabs>
        <w:spacing w:line="259" w:lineRule="exact"/>
        <w:ind w:left="760"/>
        <w:jc w:val="both"/>
      </w:pPr>
      <w:r>
        <w:rPr>
          <w:rStyle w:val="Teksttreci21"/>
        </w:rPr>
        <w:t>Odbiorcami danych mogą być podmioty świadczące usługi pocztowe i informatyczne na</w:t>
      </w:r>
      <w:r>
        <w:rPr>
          <w:rStyle w:val="Teksttreci21"/>
        </w:rPr>
        <w:t xml:space="preserve"> rzecz Ministerstwa.</w:t>
      </w:r>
    </w:p>
    <w:p w14:paraId="660555CF" w14:textId="77777777" w:rsidR="00C22DE3" w:rsidRDefault="00081B57">
      <w:pPr>
        <w:pStyle w:val="Teksttreci20"/>
        <w:numPr>
          <w:ilvl w:val="0"/>
          <w:numId w:val="1"/>
        </w:numPr>
        <w:shd w:val="clear" w:color="auto" w:fill="auto"/>
        <w:tabs>
          <w:tab w:val="left" w:pos="773"/>
        </w:tabs>
        <w:spacing w:line="259" w:lineRule="exact"/>
        <w:ind w:left="760"/>
        <w:jc w:val="both"/>
      </w:pPr>
      <w:r>
        <w:rPr>
          <w:rStyle w:val="Teksttreci21"/>
        </w:rPr>
        <w:t>Osoby wnoszące sprawy z zakresu skarg, wniosków oraz petycji mają prawo do:</w:t>
      </w:r>
    </w:p>
    <w:p w14:paraId="75B9D4DE" w14:textId="77777777" w:rsidR="00C22DE3" w:rsidRDefault="00081B57">
      <w:pPr>
        <w:pStyle w:val="Teksttreci20"/>
        <w:shd w:val="clear" w:color="auto" w:fill="auto"/>
        <w:spacing w:line="274" w:lineRule="exact"/>
        <w:ind w:left="760"/>
        <w:jc w:val="both"/>
      </w:pPr>
      <w:r>
        <w:rPr>
          <w:rStyle w:val="Teksttreci21"/>
        </w:rPr>
        <w:t>7.</w:t>
      </w:r>
    </w:p>
    <w:p w14:paraId="75282D59" w14:textId="77777777" w:rsidR="00C22DE3" w:rsidRDefault="00081B57">
      <w:pPr>
        <w:pStyle w:val="Teksttreci20"/>
        <w:numPr>
          <w:ilvl w:val="0"/>
          <w:numId w:val="2"/>
        </w:numPr>
        <w:shd w:val="clear" w:color="auto" w:fill="auto"/>
        <w:tabs>
          <w:tab w:val="left" w:pos="1498"/>
        </w:tabs>
        <w:spacing w:line="274" w:lineRule="exact"/>
        <w:ind w:left="1140" w:firstLine="0"/>
      </w:pPr>
      <w:r>
        <w:rPr>
          <w:rStyle w:val="Teksttreci21"/>
        </w:rPr>
        <w:t>żądania od administratora dostępu do danych osobowych oraz otrzymania ich kopii,</w:t>
      </w:r>
    </w:p>
    <w:p w14:paraId="2160B455" w14:textId="77777777" w:rsidR="00C22DE3" w:rsidRDefault="00081B57">
      <w:pPr>
        <w:pStyle w:val="Teksttreci20"/>
        <w:numPr>
          <w:ilvl w:val="0"/>
          <w:numId w:val="2"/>
        </w:numPr>
        <w:shd w:val="clear" w:color="auto" w:fill="auto"/>
        <w:tabs>
          <w:tab w:val="left" w:pos="1498"/>
        </w:tabs>
        <w:spacing w:line="274" w:lineRule="exact"/>
        <w:ind w:left="1140" w:firstLine="0"/>
      </w:pPr>
      <w:r>
        <w:rPr>
          <w:rStyle w:val="Teksttreci21"/>
        </w:rPr>
        <w:t>sprostowania danych osobowych,</w:t>
      </w:r>
    </w:p>
    <w:p w14:paraId="15F2E43E" w14:textId="77777777" w:rsidR="00C22DE3" w:rsidRDefault="00081B57">
      <w:pPr>
        <w:pStyle w:val="Teksttreci20"/>
        <w:numPr>
          <w:ilvl w:val="0"/>
          <w:numId w:val="2"/>
        </w:numPr>
        <w:shd w:val="clear" w:color="auto" w:fill="auto"/>
        <w:tabs>
          <w:tab w:val="left" w:pos="1498"/>
        </w:tabs>
        <w:spacing w:line="274" w:lineRule="exact"/>
        <w:ind w:left="1140" w:firstLine="0"/>
      </w:pPr>
      <w:r>
        <w:rPr>
          <w:rStyle w:val="Teksttreci21"/>
        </w:rPr>
        <w:t xml:space="preserve">wniesienia sprzeciwu wobec </w:t>
      </w:r>
      <w:r>
        <w:rPr>
          <w:rStyle w:val="Teksttreci21"/>
        </w:rPr>
        <w:t>przetwarzania danych osobowych.</w:t>
      </w:r>
    </w:p>
    <w:p w14:paraId="222ADD51" w14:textId="77777777" w:rsidR="00C22DE3" w:rsidRDefault="00081B57">
      <w:pPr>
        <w:pStyle w:val="Teksttreci20"/>
        <w:numPr>
          <w:ilvl w:val="0"/>
          <w:numId w:val="1"/>
        </w:numPr>
        <w:shd w:val="clear" w:color="auto" w:fill="auto"/>
        <w:tabs>
          <w:tab w:val="left" w:pos="773"/>
        </w:tabs>
        <w:spacing w:line="250" w:lineRule="exact"/>
        <w:ind w:left="760"/>
        <w:jc w:val="both"/>
      </w:pPr>
      <w:r>
        <w:rPr>
          <w:rStyle w:val="Teksttreci21"/>
        </w:rPr>
        <w:t>Osoby wnoszące sprawy z zakresu skarg, wniosków oraz petycji mają prawo do wniesienia skargi do Prezesa Urzędu Ochrony Danych Osobowych, jeśli uzna Pani/Pan, że przetwarzanie Pani/Pana danych osobowych narusza przepisy ogóln</w:t>
      </w:r>
      <w:r>
        <w:rPr>
          <w:rStyle w:val="Teksttreci21"/>
        </w:rPr>
        <w:t>ego rozporządzenia o ochronie danych osobowych z dnia 27 kwietnia 2016 r.</w:t>
      </w:r>
    </w:p>
    <w:p w14:paraId="61792824" w14:textId="77777777" w:rsidR="00C22DE3" w:rsidRDefault="00081B57">
      <w:pPr>
        <w:pStyle w:val="Teksttreci20"/>
        <w:numPr>
          <w:ilvl w:val="0"/>
          <w:numId w:val="1"/>
        </w:numPr>
        <w:shd w:val="clear" w:color="auto" w:fill="auto"/>
        <w:tabs>
          <w:tab w:val="left" w:pos="773"/>
        </w:tabs>
        <w:ind w:left="760"/>
        <w:jc w:val="both"/>
        <w:sectPr w:rsidR="00C22DE3">
          <w:footerReference w:type="default" r:id="rId10"/>
          <w:pgSz w:w="11900" w:h="16840"/>
          <w:pgMar w:top="1421" w:right="1467" w:bottom="2002" w:left="1307" w:header="0" w:footer="3" w:gutter="0"/>
          <w:cols w:space="720"/>
          <w:noEndnote/>
          <w:docGrid w:linePitch="360"/>
        </w:sectPr>
      </w:pPr>
      <w:r>
        <w:rPr>
          <w:rStyle w:val="Teksttreci21"/>
        </w:rPr>
        <w:t>Podanie danych osobowych jest wymogiem ustawowym.</w:t>
      </w:r>
    </w:p>
    <w:p w14:paraId="0005E45E" w14:textId="77777777" w:rsidR="00C22DE3" w:rsidRDefault="00081B57">
      <w:r>
        <w:lastRenderedPageBreak/>
        <w:pict w14:anchorId="68A6C96A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494.9pt;margin-top:-8pt;width:23.05pt;height:24.4pt;z-index:-125829375;mso-wrap-distance-left:38.65pt;mso-wrap-distance-right:5pt;mso-position-horizontal-relative:margin;mso-position-vertical-relative:margin" filled="f" stroked="f">
            <v:textbox style="mso-fit-shape-to-text:t" inset="0,0,0,0">
              <w:txbxContent>
                <w:p w14:paraId="5BEE9478" w14:textId="77777777" w:rsidR="00C22DE3" w:rsidRDefault="00C22DE3"/>
              </w:txbxContent>
            </v:textbox>
            <w10:wrap type="topAndBottom" anchorx="margin" anchory="margin"/>
          </v:shape>
        </w:pict>
      </w:r>
    </w:p>
    <w:sectPr w:rsidR="00C22DE3">
      <w:pgSz w:w="11900" w:h="16840"/>
      <w:pgMar w:top="16398" w:right="1464" w:bottom="133" w:left="13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3AD0C" w14:textId="77777777" w:rsidR="00081B57" w:rsidRDefault="00081B57">
      <w:r>
        <w:separator/>
      </w:r>
    </w:p>
  </w:endnote>
  <w:endnote w:type="continuationSeparator" w:id="0">
    <w:p w14:paraId="7F55349D" w14:textId="77777777" w:rsidR="00081B57" w:rsidRDefault="00081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0A6AE" w14:textId="77777777" w:rsidR="00C22DE3" w:rsidRDefault="00081B57">
    <w:pPr>
      <w:rPr>
        <w:sz w:val="2"/>
        <w:szCs w:val="2"/>
      </w:rPr>
    </w:pPr>
    <w:r>
      <w:pict w14:anchorId="0A3986A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08.3pt;margin-top:763.95pt;width:3.85pt;height:6.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8951F82" w14:textId="77777777" w:rsidR="00C22DE3" w:rsidRDefault="00081B57">
                <w:pPr>
                  <w:pStyle w:val="Nagweklubstopka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Nagweklubstopka1"/>
                  </w:rPr>
                  <w:t>#</w:t>
                </w:r>
                <w:r>
                  <w:rPr>
                    <w:rStyle w:val="Nagweklubstopka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97196" w14:textId="77777777" w:rsidR="00C22DE3" w:rsidRDefault="00C22D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88B41" w14:textId="77777777" w:rsidR="00081B57" w:rsidRDefault="00081B57"/>
  </w:footnote>
  <w:footnote w:type="continuationSeparator" w:id="0">
    <w:p w14:paraId="484C4578" w14:textId="77777777" w:rsidR="00081B57" w:rsidRDefault="00081B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E485A"/>
    <w:multiLevelType w:val="multilevel"/>
    <w:tmpl w:val="E5EC27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E3E3E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5B7480"/>
    <w:multiLevelType w:val="multilevel"/>
    <w:tmpl w:val="214A8A02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E3E3E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2DE3"/>
    <w:rsid w:val="00081B57"/>
    <w:rsid w:val="001F6401"/>
    <w:rsid w:val="00C2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753EC78B"/>
  <w15:docId w15:val="{F8F37EAF-06BB-4169-8350-292EC499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E3E3E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gwek11">
    <w:name w:val="Nagłówek #1"/>
    <w:basedOn w:val="Nagwek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E3E3E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31">
    <w:name w:val="Tekst treści (3)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E3E3E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3Corbel">
    <w:name w:val="Tekst treści (3) + Corbel"/>
    <w:basedOn w:val="Teksttreci3"/>
    <w:rPr>
      <w:rFonts w:ascii="Corbel" w:eastAsia="Corbel" w:hAnsi="Corbel" w:cs="Corbel"/>
      <w:b/>
      <w:bCs/>
      <w:i w:val="0"/>
      <w:iCs w:val="0"/>
      <w:smallCaps w:val="0"/>
      <w:strike w:val="0"/>
      <w:color w:val="3E3E3E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eksttreci41">
    <w:name w:val="Tekst treści (4)"/>
    <w:basedOn w:val="Teksttreci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E3E3E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76767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E3E3E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2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76767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3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E9E9E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4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E3E3E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eksttreci51">
    <w:name w:val="Tekst treści (5)"/>
    <w:basedOn w:val="Teksttreci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E3E3E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61">
    <w:name w:val="Tekst treści (6)"/>
    <w:basedOn w:val="Teksttreci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E3E3E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71">
    <w:name w:val="Tekst treści (7)"/>
    <w:basedOn w:val="Teksttreci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E3E3E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81">
    <w:name w:val="Tekst treści (8)"/>
    <w:basedOn w:val="Teksttreci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E3E3E"/>
      <w:spacing w:val="0"/>
      <w:w w:val="100"/>
      <w:position w:val="0"/>
      <w:sz w:val="21"/>
      <w:szCs w:val="21"/>
      <w:u w:val="singl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22" w:lineRule="exact"/>
      <w:ind w:hanging="3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60" w:line="288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56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540" w:after="380" w:line="222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20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520" w:after="1480" w:line="244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1480" w:line="21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line="21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after="280" w:line="23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inspektor.ochrony.danych@klima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1653</Words>
  <Characters>9919</Characters>
  <Application>Microsoft Office Word</Application>
  <DocSecurity>0</DocSecurity>
  <Lines>82</Lines>
  <Paragraphs>23</Paragraphs>
  <ScaleCrop>false</ScaleCrop>
  <Company/>
  <LinksUpToDate>false</LinksUpToDate>
  <CharactersWithSpaces>11549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2022-03-22T06:41:00Z</dcterms:created>
  <dcterms:modified xsi:type="dcterms:W3CDTF">2022-03-22T06:42:00Z</dcterms:modified>
</cp:coreProperties>
</file>