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B61C" w14:textId="0C5BF95C" w:rsidR="00573BF9" w:rsidRDefault="00EE738E">
      <w:pPr>
        <w:pStyle w:val="Nagwek10"/>
        <w:keepNext/>
        <w:keepLines/>
        <w:shd w:val="clear" w:color="auto" w:fill="auto"/>
        <w:spacing w:after="107"/>
        <w:ind w:right="3600"/>
      </w:pPr>
      <w:bookmarkStart w:id="0" w:name="bookmark0"/>
      <w:r>
        <w:t>Ministerstwo</w:t>
      </w:r>
      <w:r>
        <w:rPr>
          <w:rStyle w:val="Nagwek11"/>
        </w:rPr>
        <w:t xml:space="preserve"> </w:t>
      </w:r>
      <w:r>
        <w:t>Klimatu i Środowiska</w:t>
      </w:r>
      <w:bookmarkEnd w:id="0"/>
    </w:p>
    <w:p w14:paraId="57E74AD4" w14:textId="77777777" w:rsidR="00573BF9" w:rsidRDefault="00EE738E">
      <w:pPr>
        <w:pStyle w:val="Nagwek20"/>
        <w:keepNext/>
        <w:keepLines/>
        <w:shd w:val="clear" w:color="auto" w:fill="auto"/>
        <w:spacing w:before="0" w:after="325"/>
      </w:pPr>
      <w:bookmarkStart w:id="1" w:name="bookmark1"/>
      <w:r>
        <w:t>Departament Instrumentów Środowiskowych</w:t>
      </w:r>
      <w:bookmarkEnd w:id="1"/>
    </w:p>
    <w:p w14:paraId="5F2E8E31" w14:textId="77777777" w:rsidR="00573BF9" w:rsidRDefault="00EE738E">
      <w:pPr>
        <w:pStyle w:val="Nagwek30"/>
        <w:keepNext/>
        <w:keepLines/>
        <w:shd w:val="clear" w:color="auto" w:fill="auto"/>
        <w:tabs>
          <w:tab w:val="left" w:pos="6024"/>
        </w:tabs>
        <w:spacing w:before="0" w:after="106"/>
      </w:pPr>
      <w:bookmarkStart w:id="2" w:name="bookmark2"/>
      <w:r>
        <w:t>DIŚ-II.441.7.2022.MW</w:t>
      </w:r>
      <w:r>
        <w:tab/>
        <w:t>Warszawa, dnia 02-02-2022 r.</w:t>
      </w:r>
      <w:bookmarkEnd w:id="2"/>
    </w:p>
    <w:p w14:paraId="1811CC37" w14:textId="77777777" w:rsidR="00573BF9" w:rsidRDefault="00EE738E">
      <w:pPr>
        <w:pStyle w:val="Teksttreci30"/>
        <w:shd w:val="clear" w:color="auto" w:fill="auto"/>
        <w:spacing w:before="0" w:after="565"/>
      </w:pPr>
      <w:r>
        <w:t>1890048</w:t>
      </w:r>
      <w:r>
        <w:rPr>
          <w:rStyle w:val="Teksttreci35pt"/>
        </w:rPr>
        <w:t>.</w:t>
      </w:r>
      <w:r>
        <w:t>6763991.5488034</w:t>
      </w:r>
    </w:p>
    <w:p w14:paraId="7DD4085C" w14:textId="77777777" w:rsidR="00573BF9" w:rsidRDefault="00EE738E">
      <w:pPr>
        <w:pStyle w:val="Teksttreci40"/>
        <w:shd w:val="clear" w:color="auto" w:fill="auto"/>
        <w:spacing w:before="0"/>
        <w:ind w:left="5780"/>
      </w:pPr>
      <w:r>
        <w:t>Pan</w:t>
      </w:r>
    </w:p>
    <w:p w14:paraId="4A519BF8" w14:textId="77777777" w:rsidR="00573BF9" w:rsidRDefault="00EE738E">
      <w:pPr>
        <w:pStyle w:val="Teksttreci40"/>
        <w:shd w:val="clear" w:color="auto" w:fill="auto"/>
        <w:spacing w:before="0" w:after="1925"/>
        <w:ind w:left="5780"/>
      </w:pPr>
      <w:r>
        <w:t xml:space="preserve">Piotr </w:t>
      </w:r>
      <w:proofErr w:type="spellStart"/>
      <w:r>
        <w:t>Syryczyński</w:t>
      </w:r>
      <w:proofErr w:type="spellEnd"/>
    </w:p>
    <w:p w14:paraId="37D95E53" w14:textId="4A7CD845" w:rsidR="00573BF9" w:rsidRDefault="00EE738E">
      <w:pPr>
        <w:pStyle w:val="Teksttreci20"/>
        <w:shd w:val="clear" w:color="auto" w:fill="auto"/>
        <w:tabs>
          <w:tab w:val="left" w:pos="7244"/>
        </w:tabs>
        <w:spacing w:before="0"/>
        <w:ind w:firstLine="740"/>
      </w:pPr>
      <w:r>
        <w:t>W odpowiedzi na petycję z dnia 14 listopada 2021</w:t>
      </w:r>
      <w:r>
        <w:t>r., przekazaną do</w:t>
      </w:r>
    </w:p>
    <w:p w14:paraId="290458D7" w14:textId="77777777" w:rsidR="00573BF9" w:rsidRDefault="00EE738E">
      <w:pPr>
        <w:pStyle w:val="Teksttreci20"/>
        <w:shd w:val="clear" w:color="auto" w:fill="auto"/>
        <w:spacing w:before="0"/>
      </w:pPr>
      <w:r>
        <w:t xml:space="preserve">Ministerstwa Klimatu i Środowiska z Ministerstwa Sprawiedliwości w dniu 21.12.202 r., dotyczącą uznania za nieważną, decyzję wydaną przez Komitet art. 75 dyrektywy 2010/75/UE </w:t>
      </w:r>
      <w:proofErr w:type="spellStart"/>
      <w:r>
        <w:t>ws</w:t>
      </w:r>
      <w:proofErr w:type="spellEnd"/>
      <w:r>
        <w:t>. emisji przemysłowych (IED) przekazuję poniżej następujące wyjaśnienia.</w:t>
      </w:r>
    </w:p>
    <w:p w14:paraId="26D0FCE9" w14:textId="77777777" w:rsidR="00573BF9" w:rsidRDefault="00EE738E">
      <w:pPr>
        <w:pStyle w:val="Teksttreci20"/>
        <w:shd w:val="clear" w:color="auto" w:fill="auto"/>
        <w:spacing w:before="0"/>
        <w:ind w:firstLine="740"/>
      </w:pPr>
      <w:r>
        <w:t>W zwią</w:t>
      </w:r>
      <w:r>
        <w:t>zku ze skargą Rzeczypospolitej Polskiej (RP), Sąd Unii Europejskiej w dniu 27 stycznia 2021 r., stwierdził nieważność decyzji wykonawczej Komisji 2017/1442 ustanawiającej konkluzje BAT dla dużych obiektów spalania (LCP). Niniejszy wyrok potwierdził zasadno</w:t>
      </w:r>
      <w:r>
        <w:t xml:space="preserve">ść formalnego zarzutu ze skargi RP podważającego poprawność systemu liczenia głosów zastosowanego przez Komisję podczas pierwszego posiedzenia Komitetu art. 75 IED </w:t>
      </w:r>
      <w:proofErr w:type="spellStart"/>
      <w:r>
        <w:t>ws</w:t>
      </w:r>
      <w:proofErr w:type="spellEnd"/>
      <w:r>
        <w:t>. Konkluzji BAT dla LCP.</w:t>
      </w:r>
    </w:p>
    <w:p w14:paraId="3A833117" w14:textId="77777777" w:rsidR="00573BF9" w:rsidRDefault="00EE738E">
      <w:pPr>
        <w:pStyle w:val="Teksttreci20"/>
        <w:shd w:val="clear" w:color="auto" w:fill="auto"/>
        <w:spacing w:before="0"/>
        <w:ind w:firstLine="740"/>
      </w:pPr>
      <w:r>
        <w:t>Stwierdzenie nieważności nie miało jednak efektu natychmiastowego</w:t>
      </w:r>
      <w:r>
        <w:t>, gdyż Sąd utrzymał w mocy skutki unieważnionej decyzji do czasu wejścia w życie nowego aktu prawnego, przyjętego na zasadach jakich pierwotnie domagała się Polska (tj. głosowania w systemie „nicejskim”). Zgodnie orzeczeniem Sądu przyjęcie nowego aktu powi</w:t>
      </w:r>
      <w:r>
        <w:t>nno nastąpić w czasie nie dłuższym niż 12 miesięcy od czasu ogłoszenia wyroku.</w:t>
      </w:r>
    </w:p>
    <w:p w14:paraId="55FF0CE8" w14:textId="77777777" w:rsidR="00573BF9" w:rsidRDefault="00EE738E">
      <w:pPr>
        <w:pStyle w:val="Teksttreci20"/>
        <w:shd w:val="clear" w:color="auto" w:fill="auto"/>
        <w:spacing w:before="0"/>
        <w:ind w:firstLine="740"/>
      </w:pPr>
      <w:r>
        <w:t>Posiedzenie Komitetu art. 75 IED jakie odbyło się 25 października 2021 r., stanowiło element wykonania wyroku Sądu UE. Wynik ponownego głosowania wskazał na pozytywną opinię Kom</w:t>
      </w:r>
      <w:r>
        <w:t>itetu dla Konkluzji LCP i oparcie na poziomie 81,14% co pozwoliło Komisji Europejskiej na przyjęcie, a następnie publikację „nowej” decyzji wykonawczej, zgodnie z art. 75 IED. Adresatem opinii Komitetu jest więc Komisja Europejska natomiast Kraje Członkows</w:t>
      </w:r>
      <w:r>
        <w:t>kie zobowiązane są do odpowiedniego wdrożenia postanowień decyzji wykonawczej po jej publikacji w Dzienniku Urzędowym UE. Odpowiednie przepisy tworzące ramy prawne do stosowania Konkluzji BAT funkcjonują w prawie krajowym, głównie w Dziale VI Rozdział 4 us</w:t>
      </w:r>
      <w:r>
        <w:t xml:space="preserve">tawy z dnia 27 kwietnia 2001 r., Prawo ochrony środowiska (Dz.U. 2021 poz. 1973) (dalej ustawa </w:t>
      </w:r>
      <w:proofErr w:type="spellStart"/>
      <w:r>
        <w:t>Poś</w:t>
      </w:r>
      <w:proofErr w:type="spellEnd"/>
      <w:r>
        <w:t>).</w:t>
      </w:r>
    </w:p>
    <w:p w14:paraId="349EFA0C" w14:textId="77777777" w:rsidR="00573BF9" w:rsidRDefault="00EE738E">
      <w:pPr>
        <w:pStyle w:val="Teksttreci20"/>
        <w:shd w:val="clear" w:color="auto" w:fill="auto"/>
        <w:spacing w:before="0" w:after="1975"/>
        <w:ind w:firstLine="740"/>
      </w:pPr>
      <w:r>
        <w:t xml:space="preserve">Należy także zwrócić uwagę, że termin dostosowania instalacji istniejących do decyzji 2017/1442 upłynął 17 sierpnia 2021 r. Dlatego też 30 grudnia 2021 </w:t>
      </w:r>
      <w:r>
        <w:t>r., tj. w dniu publikacji „nowej”</w:t>
      </w:r>
    </w:p>
    <w:p w14:paraId="51EB6910" w14:textId="77777777" w:rsidR="00573BF9" w:rsidRDefault="00EE738E">
      <w:pPr>
        <w:pStyle w:val="Teksttreci50"/>
        <w:shd w:val="clear" w:color="auto" w:fill="auto"/>
        <w:spacing w:before="0"/>
        <w:ind w:right="60"/>
        <w:sectPr w:rsidR="00573BF9">
          <w:footerReference w:type="default" r:id="rId7"/>
          <w:footnotePr>
            <w:numRestart w:val="eachPage"/>
          </w:footnotePr>
          <w:pgSz w:w="11900" w:h="16840"/>
          <w:pgMar w:top="1032" w:right="1380" w:bottom="566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36-92-472, faks (22) 36-92-473,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</w:t>
      </w:r>
      <w:r>
        <w:t>dnie z EMAS - zarządzając instytucją dbamy o środowisko</w:t>
      </w:r>
    </w:p>
    <w:p w14:paraId="4F2A6853" w14:textId="77777777" w:rsidR="00573BF9" w:rsidRDefault="00EE738E">
      <w:pPr>
        <w:pStyle w:val="Teksttreci20"/>
        <w:shd w:val="clear" w:color="auto" w:fill="auto"/>
        <w:spacing w:before="0" w:after="124" w:line="293" w:lineRule="exact"/>
      </w:pPr>
      <w:r>
        <w:lastRenderedPageBreak/>
        <w:t>decyzji wykonawczej, zawierającej dokładnie te same wymagania co unieważniona decyzja, duże obiekty spalania eksploatowane w Polsce były już, co do zasady, dostosowane do Konkluzji BAT</w:t>
      </w:r>
      <w:r>
        <w:rPr>
          <w:vertAlign w:val="superscript"/>
        </w:rPr>
        <w:footnoteReference w:id="1"/>
      </w:r>
      <w:r>
        <w:t>.</w:t>
      </w:r>
    </w:p>
    <w:p w14:paraId="28F10601" w14:textId="77777777" w:rsidR="00573BF9" w:rsidRDefault="00EE738E">
      <w:pPr>
        <w:pStyle w:val="Teksttreci20"/>
        <w:shd w:val="clear" w:color="auto" w:fill="auto"/>
        <w:spacing w:before="0" w:after="120"/>
        <w:ind w:firstLine="660"/>
      </w:pPr>
      <w:r>
        <w:t>Jednocześnie informuję, że problem dostosowania źródła rezerwowych był podnoszony m.in. przez Polskę podczas opracowywania Konkluzji BAT, co umożliwiło wypracowanie szczególnego podejścia przewidzianego dla źródeł eksploatowanych nie więcej niż 1500 h/rok.</w:t>
      </w:r>
      <w:r>
        <w:t xml:space="preserve"> Z punktu widzenia Polski nie są to zmiany w pełni satysfakcjonujące jednak umożliwiają (niekiedy znaczne) ograniczenie nakładów finansowych związanych z dostosowaniem do BAT.</w:t>
      </w:r>
    </w:p>
    <w:p w14:paraId="418023A3" w14:textId="77777777" w:rsidR="00573BF9" w:rsidRDefault="00EE738E">
      <w:pPr>
        <w:pStyle w:val="Teksttreci20"/>
        <w:shd w:val="clear" w:color="auto" w:fill="auto"/>
        <w:spacing w:before="0" w:after="116"/>
        <w:ind w:firstLine="660"/>
      </w:pPr>
      <w:r>
        <w:t>Ponadto wyjaśniam, że w uzasadnionych przypadkach, prowadzący instalację może wy</w:t>
      </w:r>
      <w:r>
        <w:t xml:space="preserve">stąpić z wnioskiem o odstępstwo od granicznych wielkości emisyjnych (BAT </w:t>
      </w:r>
      <w:proofErr w:type="spellStart"/>
      <w:r>
        <w:t>AELs</w:t>
      </w:r>
      <w:proofErr w:type="spellEnd"/>
      <w:r>
        <w:t>)</w:t>
      </w:r>
      <w:r>
        <w:rPr>
          <w:vertAlign w:val="superscript"/>
        </w:rPr>
        <w:footnoteReference w:id="2"/>
      </w:r>
      <w:r>
        <w:t xml:space="preserve">, o którym mowa w art. 204 ust. 2 ustawy </w:t>
      </w:r>
      <w:proofErr w:type="spellStart"/>
      <w:r>
        <w:t>Poś</w:t>
      </w:r>
      <w:proofErr w:type="spellEnd"/>
      <w:r>
        <w:t>, o ile jest w stanie wykazać, że koszty dostosowania byłyby nieproporcjonalnie wysokie w stosunku do korzyści środowiskowych. Szcze</w:t>
      </w:r>
      <w:r>
        <w:t>gółowe wyjaśnienia dotyczące stosowania tego mechanizmu zostały zawarte w poradniku</w:t>
      </w:r>
      <w:r>
        <w:rPr>
          <w:vertAlign w:val="superscript"/>
        </w:rPr>
        <w:footnoteReference w:id="3"/>
      </w:r>
      <w:r>
        <w:t>, dedykowanym właśnie branży energetycznej, gdzie proponowana metodyka wyliczania kosztów dostawania do wymagań BAT, uwzględnia także kwestię bezpieczeństwa energetycznego</w:t>
      </w:r>
      <w:r>
        <w:t xml:space="preserve"> państwa.</w:t>
      </w:r>
    </w:p>
    <w:p w14:paraId="6BE404CC" w14:textId="77777777" w:rsidR="00573BF9" w:rsidRDefault="00EE738E">
      <w:pPr>
        <w:pStyle w:val="Teksttreci20"/>
        <w:shd w:val="clear" w:color="auto" w:fill="auto"/>
        <w:spacing w:before="0" w:after="124" w:line="293" w:lineRule="exact"/>
        <w:ind w:firstLine="660"/>
      </w:pPr>
      <w:r>
        <w:t>Odnosząc się do wpływu Konkluzji LCP na zwiększenie zużycia gazu ziemnego, uprzejmie informuję, że w ocenie Ministerstwa Klimatu i Środowiska obserwowany obecnie jak i prognozowany na przyszłość wzrost zapotrzebowania na to paliwo jest przede wsz</w:t>
      </w:r>
      <w:r>
        <w:t>ystkim skutkiem wdrażania innych polityk. Warto zauważyć, że Konkluzje LCP obejmują swoim zakresem wytwarzanie energii z różnych paliw, zaostrzając także wymagania przewidziane dla spalania gazu ziemnego.</w:t>
      </w:r>
    </w:p>
    <w:p w14:paraId="2598E51F" w14:textId="77777777" w:rsidR="00573BF9" w:rsidRDefault="00EE738E">
      <w:pPr>
        <w:pStyle w:val="Teksttreci20"/>
        <w:shd w:val="clear" w:color="auto" w:fill="auto"/>
        <w:spacing w:before="0" w:after="120"/>
        <w:ind w:firstLine="660"/>
      </w:pPr>
      <w:r>
        <w:t>W kwestii potrzeby wykonania oceny skutków regulacj</w:t>
      </w:r>
      <w:r>
        <w:t>i dla Konkluzji BAT uprzejmie wyjaśniam, że decyzje wykonawcze Komisji obowiązują wprost Kraje Członkowskie, przez co nie zachodzi konieczność ich transpozycji. W konsekwencji brak jest przesłanek, na poziomie krajowym, do przeprowadzania oceny skutków reg</w:t>
      </w:r>
      <w:r>
        <w:t>ulacji, która co do zasady, powinna być wykonana dla projektów aktów prawnych. Dlatego też Rząd RP już w roku 2016 sygnalizował Komisarzowi ds. Środowiska, Gospodarki Morskiej i Rybołówstwa potrzebę przeprowadzenia oceny skutków wdrożenia Konkluzji LCP, pr</w:t>
      </w:r>
      <w:r>
        <w:t>zed ich publikacją. List w przedmiotowej sprawie podpisali także Ministrowie właściwi ds. środowiska kilku innych Krajów Członkowskich UE. Komisja Europejska w odpowiedzi wskazała, iż sam tzw. Proces Sewilski w ramach, którego opracowywane są wymagania BAT</w:t>
      </w:r>
      <w:r>
        <w:t xml:space="preserve"> angażuje przedstawicieli wielu środowisk w tym Krajów Członkowskich, przemysłu oraz </w:t>
      </w:r>
      <w:proofErr w:type="spellStart"/>
      <w:r>
        <w:t>NGOs</w:t>
      </w:r>
      <w:proofErr w:type="spellEnd"/>
      <w:r>
        <w:t>, pozwalając na pełną i wnikliwą ocenę techniki, jakie w efekcie końcowym uznawane są za BAT. Przygotowanie formalnej oceny skutków regulacji dla dokumentu, opracowywa</w:t>
      </w:r>
      <w:r>
        <w:t>nego w sposób odbiegający od typowej procedury stanowienia aktów pranych UE, byłoby w ocenie Komisji zbędne i niespójne z obowiązującymi procedurami. Tym niemniej na zlecenie Komisji zrealizowany został projekt oceniający koszty i korzyści dostawania do Ko</w:t>
      </w:r>
      <w:r>
        <w:t>nkluzji LCP instalacji o mocy niemniejszej niż 300 MW opalanych paliwami stałymi</w:t>
      </w:r>
      <w:r>
        <w:rPr>
          <w:vertAlign w:val="superscript"/>
        </w:rPr>
        <w:footnoteReference w:id="4"/>
      </w:r>
      <w:r>
        <w:t>.</w:t>
      </w:r>
    </w:p>
    <w:p w14:paraId="759A9606" w14:textId="77777777" w:rsidR="00573BF9" w:rsidRDefault="00EE738E">
      <w:pPr>
        <w:pStyle w:val="Teksttreci20"/>
        <w:shd w:val="clear" w:color="auto" w:fill="auto"/>
        <w:spacing w:before="0" w:after="1395"/>
        <w:ind w:firstLine="660"/>
      </w:pPr>
      <w:r>
        <w:t>Podsumowując, uprzejmie informuję, że Komitet art. 75 IED jest organem opiniującym akty prawe przed ich przyjęciem przez Komisję Europejską. Skutki prawne związane z dostos</w:t>
      </w:r>
      <w:r>
        <w:t xml:space="preserve">owaniem do decyzji wykonawczych ustanawiających Konkluzje BAT wywołuje fakt ich notyfikacji i późniejszej publikacji w Dzienniku Urzędowym UE. W świetle obowiązujących przepisów, wynikających z transpozycji IED, Kraje Członkowskie zobowiązane są zapewnić, </w:t>
      </w:r>
      <w:r>
        <w:t xml:space="preserve">że pozwolenia zintegrowane dla określonej grupy instalacji </w:t>
      </w:r>
      <w:r>
        <w:lastRenderedPageBreak/>
        <w:t>zostaną dostosowane do wymagań wynikających z danej decyzji wykonawczej Komisji. Poza narzędziem związanym z możliwością wnioskowania o odstępstwa od granicznych wielkości emisyjnych, brak jest for</w:t>
      </w:r>
      <w:r>
        <w:t>malnych możliwości odstąpienia od stosowania Konkluzji BAT.</w:t>
      </w:r>
    </w:p>
    <w:p w14:paraId="467A541F" w14:textId="77777777" w:rsidR="00573BF9" w:rsidRDefault="00EE738E">
      <w:pPr>
        <w:pStyle w:val="Teksttreci60"/>
        <w:shd w:val="clear" w:color="auto" w:fill="auto"/>
        <w:spacing w:before="0" w:after="932"/>
        <w:ind w:left="4720"/>
      </w:pPr>
      <w:r>
        <w:t>Z poważaniem</w:t>
      </w:r>
    </w:p>
    <w:p w14:paraId="5DFA117C" w14:textId="77777777" w:rsidR="00573BF9" w:rsidRDefault="00EE738E">
      <w:pPr>
        <w:pStyle w:val="Teksttreci20"/>
        <w:shd w:val="clear" w:color="auto" w:fill="auto"/>
        <w:spacing w:before="0" w:after="5153" w:line="254" w:lineRule="exact"/>
        <w:ind w:left="4720"/>
        <w:jc w:val="left"/>
      </w:pPr>
      <w:r>
        <w:t>Departament Instrumentów Środowiskowych / - podpisany cyfrowo/</w:t>
      </w:r>
    </w:p>
    <w:p w14:paraId="5D7DB549" w14:textId="77777777" w:rsidR="00573BF9" w:rsidRDefault="00EE738E">
      <w:pPr>
        <w:pStyle w:val="Teksttreci20"/>
        <w:shd w:val="clear" w:color="auto" w:fill="auto"/>
        <w:spacing w:before="0" w:after="0"/>
      </w:pPr>
      <w:r>
        <w:rPr>
          <w:rStyle w:val="Teksttreci21"/>
        </w:rPr>
        <w:t>Do wiadomości:</w:t>
      </w:r>
    </w:p>
    <w:p w14:paraId="3AA0994C" w14:textId="77777777" w:rsidR="00573BF9" w:rsidRDefault="00EE738E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/>
      </w:pPr>
      <w:r>
        <w:t>Ministerstwo Sprawiedliwości, Biuro Ministra, Wydział Spraw Obywatelskich,</w:t>
      </w:r>
    </w:p>
    <w:p w14:paraId="3E25C20A" w14:textId="77777777" w:rsidR="00573BF9" w:rsidRDefault="00EE738E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/>
      </w:pPr>
      <w:r>
        <w:t xml:space="preserve">Urząd Regulacji </w:t>
      </w:r>
      <w:r>
        <w:t>Energetyki</w:t>
      </w:r>
    </w:p>
    <w:sectPr w:rsidR="00573BF9">
      <w:pgSz w:w="11900" w:h="16840"/>
      <w:pgMar w:top="1431" w:right="1380" w:bottom="140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D9CD" w14:textId="77777777" w:rsidR="00EE738E" w:rsidRDefault="00EE738E">
      <w:r>
        <w:separator/>
      </w:r>
    </w:p>
  </w:endnote>
  <w:endnote w:type="continuationSeparator" w:id="0">
    <w:p w14:paraId="29695D1A" w14:textId="77777777" w:rsidR="00EE738E" w:rsidRDefault="00EE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1F84" w14:textId="77777777" w:rsidR="00573BF9" w:rsidRDefault="00EE738E">
    <w:pPr>
      <w:rPr>
        <w:sz w:val="2"/>
        <w:szCs w:val="2"/>
      </w:rPr>
    </w:pPr>
    <w:r>
      <w:pict w14:anchorId="6B64484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A75533A" w14:textId="77777777" w:rsidR="00573BF9" w:rsidRDefault="00EE738E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FD04" w14:textId="77777777" w:rsidR="00EE738E" w:rsidRDefault="00EE738E">
      <w:r>
        <w:separator/>
      </w:r>
    </w:p>
  </w:footnote>
  <w:footnote w:type="continuationSeparator" w:id="0">
    <w:p w14:paraId="518B2B24" w14:textId="77777777" w:rsidR="00EE738E" w:rsidRDefault="00EE738E">
      <w:r>
        <w:continuationSeparator/>
      </w:r>
    </w:p>
  </w:footnote>
  <w:footnote w:id="1">
    <w:p w14:paraId="01359BBF" w14:textId="77777777" w:rsidR="00573BF9" w:rsidRDefault="00EE738E">
      <w:pPr>
        <w:pStyle w:val="Stopka1"/>
        <w:shd w:val="clear" w:color="auto" w:fill="auto"/>
        <w:tabs>
          <w:tab w:val="left" w:pos="120"/>
        </w:tabs>
        <w:ind w:right="140"/>
      </w:pPr>
      <w:r>
        <w:rPr>
          <w:vertAlign w:val="superscript"/>
        </w:rPr>
        <w:footnoteRef/>
      </w:r>
      <w:r>
        <w:tab/>
        <w:t xml:space="preserve">Należy przy tym uwzględnić źródła, dla których uzyskano odstępstwa od granicznych wielkości emisyjnych jak również źródła korzystające z derogacji wymienionych w art. 146a i 146b ustawy </w:t>
      </w:r>
      <w:proofErr w:type="spellStart"/>
      <w:r>
        <w:t>Poś</w:t>
      </w:r>
      <w:proofErr w:type="spellEnd"/>
      <w:r>
        <w:t>.</w:t>
      </w:r>
    </w:p>
  </w:footnote>
  <w:footnote w:id="2">
    <w:p w14:paraId="00A49AAC" w14:textId="77777777" w:rsidR="00573BF9" w:rsidRDefault="00EE738E">
      <w:pPr>
        <w:pStyle w:val="Stopka1"/>
        <w:shd w:val="clear" w:color="auto" w:fill="auto"/>
        <w:tabs>
          <w:tab w:val="left" w:pos="110"/>
        </w:tabs>
      </w:pPr>
      <w:r>
        <w:rPr>
          <w:vertAlign w:val="superscript"/>
        </w:rPr>
        <w:footnoteRef/>
      </w:r>
      <w:r>
        <w:tab/>
        <w:t>Graniczne wielkości emisyjne zdefiniowane są w</w:t>
      </w:r>
      <w:r>
        <w:t xml:space="preserve"> art. 3 pkt.4a ustawy </w:t>
      </w:r>
      <w:proofErr w:type="spellStart"/>
      <w:r>
        <w:t>Poś</w:t>
      </w:r>
      <w:proofErr w:type="spellEnd"/>
      <w:r>
        <w:t>.</w:t>
      </w:r>
    </w:p>
  </w:footnote>
  <w:footnote w:id="3">
    <w:p w14:paraId="45CE7960" w14:textId="77777777" w:rsidR="00573BF9" w:rsidRDefault="00EE738E">
      <w:pPr>
        <w:pStyle w:val="Stopka1"/>
        <w:shd w:val="clear" w:color="auto" w:fill="auto"/>
        <w:tabs>
          <w:tab w:val="left" w:leader="underscore" w:pos="2750"/>
        </w:tabs>
      </w:pPr>
      <w:r>
        <w:rPr>
          <w:vertAlign w:val="superscript"/>
        </w:rPr>
        <w:footnoteRef/>
      </w:r>
      <w:hyperlink r:id="rId1" w:history="1">
        <w:r>
          <w:t>https://ekoportal.gov.pl/fileadmin/Ekoportal/Pozwolenia_zintegrowane/poradniki_branzowe/Podrecznik_dot</w:t>
        </w:r>
      </w:hyperlink>
      <w:r>
        <w:t xml:space="preserve"> </w:t>
      </w:r>
      <w:proofErr w:type="spellStart"/>
      <w:r>
        <w:t>yczacy_u</w:t>
      </w:r>
      <w:r>
        <w:t>dzielania_odstepstw</w:t>
      </w:r>
      <w:proofErr w:type="spellEnd"/>
      <w:r>
        <w:t>_-</w:t>
      </w:r>
      <w:r>
        <w:tab/>
      </w:r>
      <w:r>
        <w:rPr>
          <w:lang w:val="en-US" w:eastAsia="en-US" w:bidi="en-US"/>
        </w:rPr>
        <w:t>Konkluzje_BAT_dla_LCP.pdf</w:t>
      </w:r>
    </w:p>
  </w:footnote>
  <w:footnote w:id="4">
    <w:p w14:paraId="1D132264" w14:textId="77777777" w:rsidR="00573BF9" w:rsidRDefault="00EE738E">
      <w:pPr>
        <w:pStyle w:val="Stopka1"/>
        <w:shd w:val="clear" w:color="auto" w:fill="auto"/>
        <w:jc w:val="left"/>
      </w:pPr>
      <w:r>
        <w:rPr>
          <w:vertAlign w:val="superscript"/>
        </w:rPr>
        <w:footnoteRef/>
      </w:r>
      <w:hyperlink r:id="rId2" w:history="1">
        <w:r>
          <w:t>https://circabc.europa.eu/ui/group/06f33a94-9829-4eee-b187-21bb783a0fbf/library/f568a5b1-8c7a-47</w:t>
        </w:r>
        <w:r>
          <w:t>5c-</w:t>
        </w:r>
      </w:hyperlink>
    </w:p>
    <w:p w14:paraId="021B1EA3" w14:textId="77777777" w:rsidR="00573BF9" w:rsidRDefault="00EE738E">
      <w:pPr>
        <w:pStyle w:val="Stopka1"/>
        <w:shd w:val="clear" w:color="auto" w:fill="auto"/>
        <w:jc w:val="left"/>
      </w:pPr>
      <w:r>
        <w:t>8162-a6c47b86ef7f/</w:t>
      </w:r>
      <w:proofErr w:type="spellStart"/>
      <w:r>
        <w:t>details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001"/>
    <w:multiLevelType w:val="multilevel"/>
    <w:tmpl w:val="4E8A6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BF9"/>
    <w:rsid w:val="00573BF9"/>
    <w:rsid w:val="00D65828"/>
    <w:rsid w:val="00E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1368D"/>
  <w15:docId w15:val="{63D4B2B5-636D-49FA-AAE2-F1A28568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9B91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45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" w:line="322" w:lineRule="exact"/>
      <w:ind w:firstLine="56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0" w:after="280" w:line="288" w:lineRule="exact"/>
      <w:ind w:firstLine="56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80" w:after="80" w:line="23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80" w:after="6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0" w:after="8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after="8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96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360" w:after="94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ircabc.europa.eu/ui/group/06f33a94-9829-4eee-b187-21bb783a0fbf/library/f568a5b1-8c7a-475c-" TargetMode="External"/><Relationship Id="rId1" Type="http://schemas.openxmlformats.org/officeDocument/2006/relationships/hyperlink" Target="https://ekoportal.gov.pl/fileadmin/Ekoportal/Pozwolenia_zintegrowane/poradniki_branzowe/Podrecznik_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2022-02-09T10:42:00Z</dcterms:created>
  <dcterms:modified xsi:type="dcterms:W3CDTF">2022-02-09T10:42:00Z</dcterms:modified>
</cp:coreProperties>
</file>