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4D2B" w14:textId="031DA652" w:rsidR="00265B35" w:rsidRDefault="00882243">
      <w:pPr>
        <w:pStyle w:val="Teksttreci20"/>
        <w:shd w:val="clear" w:color="auto" w:fill="auto"/>
        <w:ind w:firstLine="0"/>
        <w:sectPr w:rsidR="00265B35">
          <w:pgSz w:w="11900" w:h="16840"/>
          <w:pgMar w:top="1450" w:right="1400" w:bottom="1858" w:left="7731" w:header="0" w:footer="3" w:gutter="0"/>
          <w:cols w:space="720"/>
          <w:noEndnote/>
          <w:docGrid w:linePitch="360"/>
        </w:sectPr>
      </w:pPr>
      <w:r>
        <w:t>Warszawa, dnia 17-02-2022 r.</w:t>
      </w:r>
    </w:p>
    <w:p w14:paraId="55A24462" w14:textId="2382377C" w:rsidR="00265B35" w:rsidRDefault="00F74D48">
      <w:pPr>
        <w:spacing w:line="184" w:lineRule="exact"/>
        <w:rPr>
          <w:sz w:val="15"/>
          <w:szCs w:val="15"/>
        </w:rPr>
      </w:pPr>
      <w:r>
        <w:pict w14:anchorId="7779F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2.45pt;margin-top:-60.1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4D2654AB" w14:textId="77777777" w:rsidR="00265B35" w:rsidRDefault="00265B35">
      <w:pPr>
        <w:rPr>
          <w:sz w:val="2"/>
          <w:szCs w:val="2"/>
        </w:rPr>
        <w:sectPr w:rsidR="00265B35">
          <w:type w:val="continuous"/>
          <w:pgSz w:w="11900" w:h="16840"/>
          <w:pgMar w:top="1436" w:right="0" w:bottom="1378" w:left="0" w:header="0" w:footer="3" w:gutter="0"/>
          <w:cols w:space="720"/>
          <w:noEndnote/>
          <w:docGrid w:linePitch="360"/>
        </w:sectPr>
      </w:pPr>
    </w:p>
    <w:p w14:paraId="528B01A1" w14:textId="77777777" w:rsidR="00265B35" w:rsidRDefault="00882243">
      <w:pPr>
        <w:pStyle w:val="Nagwek10"/>
        <w:keepNext/>
        <w:keepLines/>
        <w:shd w:val="clear" w:color="auto" w:fill="auto"/>
        <w:spacing w:after="529"/>
      </w:pPr>
      <w:bookmarkStart w:id="0" w:name="bookmark0"/>
      <w:r>
        <w:t>Minister Klimatu i Środowiska</w:t>
      </w:r>
      <w:bookmarkEnd w:id="0"/>
    </w:p>
    <w:p w14:paraId="39CA71B4" w14:textId="77777777" w:rsidR="00265B35" w:rsidRDefault="00882243">
      <w:pPr>
        <w:pStyle w:val="Teksttreci20"/>
        <w:shd w:val="clear" w:color="auto" w:fill="auto"/>
        <w:spacing w:line="274" w:lineRule="exact"/>
        <w:ind w:right="5420" w:firstLine="0"/>
      </w:pPr>
      <w:r>
        <w:t>DELG-WRD.054.1.2022.SK IK:1871315</w:t>
      </w:r>
    </w:p>
    <w:p w14:paraId="2678D5AB" w14:textId="77777777" w:rsidR="00265B35" w:rsidRDefault="00882243">
      <w:pPr>
        <w:pStyle w:val="Teksttreci20"/>
        <w:shd w:val="clear" w:color="auto" w:fill="auto"/>
        <w:spacing w:after="2176" w:line="274" w:lineRule="exact"/>
        <w:ind w:firstLine="0"/>
        <w:jc w:val="both"/>
      </w:pPr>
      <w:r>
        <w:t>1871315.6889001.5566650</w:t>
      </w:r>
    </w:p>
    <w:p w14:paraId="04A9BB58" w14:textId="77777777" w:rsidR="00265B35" w:rsidRDefault="00882243">
      <w:pPr>
        <w:pStyle w:val="Teksttreci30"/>
        <w:shd w:val="clear" w:color="auto" w:fill="auto"/>
        <w:spacing w:before="0" w:after="124"/>
      </w:pPr>
      <w:r>
        <w:t>Szanowny Panie,</w:t>
      </w:r>
    </w:p>
    <w:p w14:paraId="7E84D79C" w14:textId="77777777" w:rsidR="00265B35" w:rsidRDefault="00882243">
      <w:pPr>
        <w:pStyle w:val="Teksttreci20"/>
        <w:shd w:val="clear" w:color="auto" w:fill="auto"/>
        <w:spacing w:after="140" w:line="274" w:lineRule="exact"/>
        <w:ind w:firstLine="0"/>
        <w:jc w:val="both"/>
      </w:pPr>
      <w:r>
        <w:t xml:space="preserve">w odpowiedzi na Pana petycję z dnia 14 października 2021 r., w </w:t>
      </w:r>
      <w:r>
        <w:t>sprawie wprowadzenia obligatoryjnych 50% ulg cenowych dla osób niepełnosprawnych na: prąd, gaz, czynsz, telefon, itp. za okazaniem operatorowi orzeczenia o niepełnosprawności, przekazaną do Ministra Klimatu i Środowiska przez Prezesa Urzędu Regulacji Energ</w:t>
      </w:r>
      <w:r>
        <w:t xml:space="preserve">etyki w dniu 8 grudnia 2021 r., pismem znak: DSO.ZAN.161.948.2021.MM(7) uprzejmie informuję, że Minister Klimatu i Środowiska nie jest właściwy do przyznawania szczególnych ulg dla osób niepełnosprawnych czy innych grup obywateli mających charakter pomocy </w:t>
      </w:r>
      <w:r>
        <w:t>społecznej. Właściwym organem w przedmiotowej sprawie jest Minister Rodziny i Polityki Społecznej, odpowiedzialne za pomoc społeczną czy świadczenia socjalne dla osób niepełnosprawnych, oraz w którym funkcjonuje Biuro Pełnomocnika Rządu do Spraw Osób Niepe</w:t>
      </w:r>
      <w:r>
        <w:t>łnosprawnych.</w:t>
      </w:r>
    </w:p>
    <w:p w14:paraId="4950882A" w14:textId="77777777" w:rsidR="00265B35" w:rsidRDefault="00882243">
      <w:pPr>
        <w:pStyle w:val="Teksttreci20"/>
        <w:shd w:val="clear" w:color="auto" w:fill="auto"/>
        <w:spacing w:after="164" w:line="274" w:lineRule="exact"/>
        <w:ind w:firstLine="0"/>
        <w:jc w:val="both"/>
      </w:pPr>
      <w:r>
        <w:t>Niemniej jednak na wstępie należy wskazać, że w obliczu trudnej sytuacji ekonomicznej obywateli i znaczącego wzrostu poziomu inflacji, Rząd RP podjął działania osłonowe, określane mianem „Tarczy antyinflacyjnej”. Ten pakiet ochronny przewiduj</w:t>
      </w:r>
      <w:r>
        <w:t>e czasowe zmniejszenie obciążeń podatkowych w obrębie energii elektrycznej, gazu ziemnego, ciepła czy też paliw już od 1 stycznia 2022 r. W tym miejscu warto podkreślić, że z rozwiązań tych skorzystają wszyscy odbiorcy, w tym osoby niepełnosprawne, bez kon</w:t>
      </w:r>
      <w:r>
        <w:t>ieczności składania wniosków czy deklaracji, uprawniających do skorzystania z nich.</w:t>
      </w:r>
    </w:p>
    <w:p w14:paraId="31847CEA" w14:textId="77777777" w:rsidR="00265B35" w:rsidRDefault="00882243">
      <w:pPr>
        <w:pStyle w:val="Teksttreci20"/>
        <w:shd w:val="clear" w:color="auto" w:fill="auto"/>
        <w:spacing w:after="113"/>
        <w:ind w:firstLine="0"/>
        <w:jc w:val="both"/>
      </w:pPr>
      <w:r>
        <w:t>Początkowo „Tarcza antyinflacyjna” zakładała:</w:t>
      </w:r>
    </w:p>
    <w:p w14:paraId="42B8E5B0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674"/>
        </w:tabs>
        <w:spacing w:line="278" w:lineRule="exact"/>
        <w:ind w:left="760"/>
        <w:jc w:val="both"/>
      </w:pPr>
      <w:r>
        <w:t xml:space="preserve">obniżenie podatku VAT na energię elektryczną z poziomu 23 </w:t>
      </w:r>
      <w:r>
        <w:rPr>
          <w:rStyle w:val="Teksttreci2115ptKursywa"/>
        </w:rPr>
        <w:t>%</w:t>
      </w:r>
      <w:r>
        <w:t xml:space="preserve"> do 5 </w:t>
      </w:r>
      <w:r>
        <w:rPr>
          <w:rStyle w:val="Teksttreci2115ptKursywa"/>
        </w:rPr>
        <w:t>%</w:t>
      </w:r>
      <w:r>
        <w:t xml:space="preserve"> w okresie od</w:t>
      </w:r>
    </w:p>
    <w:p w14:paraId="4A50721F" w14:textId="77777777" w:rsidR="00265B35" w:rsidRDefault="00882243">
      <w:pPr>
        <w:pStyle w:val="Teksttreci20"/>
        <w:shd w:val="clear" w:color="auto" w:fill="auto"/>
        <w:spacing w:line="278" w:lineRule="exact"/>
        <w:ind w:left="760" w:firstLine="0"/>
        <w:jc w:val="both"/>
      </w:pPr>
      <w:r>
        <w:t xml:space="preserve">1 stycznia do 31 marca 2022 r. </w:t>
      </w:r>
      <w:r>
        <w:t>Dodatkowo obniżenie do 0 zł stawki akcyzy dla sprzedaży energii elektrycznej wykorzystywanej przez gospodarstwa domowe;</w:t>
      </w:r>
    </w:p>
    <w:p w14:paraId="0B36D94B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674"/>
        </w:tabs>
        <w:spacing w:line="278" w:lineRule="exact"/>
        <w:ind w:left="760"/>
        <w:jc w:val="both"/>
      </w:pPr>
      <w:r>
        <w:t>obniżenie podatku VAT na gaz ziemny z poziomu 23 % do 8 % w okresie od 1 stycznia</w:t>
      </w:r>
    </w:p>
    <w:p w14:paraId="523AD767" w14:textId="77777777" w:rsidR="00265B35" w:rsidRDefault="00882243">
      <w:pPr>
        <w:pStyle w:val="Teksttreci20"/>
        <w:shd w:val="clear" w:color="auto" w:fill="auto"/>
        <w:spacing w:line="278" w:lineRule="exact"/>
        <w:ind w:left="760" w:firstLine="0"/>
        <w:jc w:val="both"/>
      </w:pPr>
      <w:r>
        <w:t>do 31 marca 2022 r.;</w:t>
      </w:r>
    </w:p>
    <w:p w14:paraId="36667D5C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674"/>
        </w:tabs>
        <w:spacing w:line="274" w:lineRule="exact"/>
        <w:ind w:left="760"/>
        <w:jc w:val="both"/>
      </w:pPr>
      <w:r>
        <w:t>obniżenie stawki akcyzy dla paliw</w:t>
      </w:r>
      <w:r>
        <w:t xml:space="preserve"> do minimalnego poziomu dopuszczanego w Unii Europejskiej w okresie od dnia 20 grudnia 2021 r. do dnia 20 maja 2022 r. Dodatkowo paliwa zostaną zwolnione z podatku od sprzedaży detalicznej;</w:t>
      </w:r>
      <w:r>
        <w:br w:type="page"/>
      </w:r>
    </w:p>
    <w:p w14:paraId="14E3FE54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ind w:left="400" w:firstLine="0"/>
      </w:pPr>
      <w:r>
        <w:lastRenderedPageBreak/>
        <w:t>obniżenie podatku VAT na ciepło z 23 % do 8 % w okresie od 1 styc</w:t>
      </w:r>
      <w:r>
        <w:t>znia do 31 marca</w:t>
      </w:r>
    </w:p>
    <w:p w14:paraId="09A09012" w14:textId="77777777" w:rsidR="00265B35" w:rsidRDefault="00882243">
      <w:pPr>
        <w:pStyle w:val="Teksttreci20"/>
        <w:shd w:val="clear" w:color="auto" w:fill="auto"/>
        <w:spacing w:after="113"/>
        <w:ind w:left="740" w:firstLine="0"/>
        <w:jc w:val="both"/>
      </w:pPr>
      <w:r>
        <w:t>2022 r.</w:t>
      </w:r>
    </w:p>
    <w:p w14:paraId="6FC3B4D0" w14:textId="77777777" w:rsidR="00265B35" w:rsidRDefault="00882243">
      <w:pPr>
        <w:pStyle w:val="Teksttreci20"/>
        <w:shd w:val="clear" w:color="auto" w:fill="auto"/>
        <w:spacing w:after="168" w:line="278" w:lineRule="exact"/>
        <w:ind w:firstLine="0"/>
        <w:jc w:val="both"/>
      </w:pPr>
      <w:r>
        <w:t>11 stycznia br. została ogłoszona przez Rząd RP druga odsłona „Tarczy antyinflacyjnej”, której rozwiązanie zaczęły obowiązywać od dnia 1 lutego br.</w:t>
      </w:r>
    </w:p>
    <w:p w14:paraId="41FC8B32" w14:textId="77777777" w:rsidR="00265B35" w:rsidRDefault="00882243">
      <w:pPr>
        <w:pStyle w:val="Teksttreci20"/>
        <w:shd w:val="clear" w:color="auto" w:fill="auto"/>
        <w:spacing w:after="113"/>
        <w:ind w:firstLine="0"/>
        <w:jc w:val="both"/>
      </w:pPr>
      <w:r>
        <w:t>Zgodnie z zapowiedziami Rządu, wsparcie polega na:</w:t>
      </w:r>
    </w:p>
    <w:p w14:paraId="1074CBEB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line="278" w:lineRule="exact"/>
        <w:ind w:left="400" w:firstLine="0"/>
      </w:pPr>
      <w:r>
        <w:t xml:space="preserve">dodatkowej obniżce stawki VAT </w:t>
      </w:r>
      <w:r>
        <w:t>na gaz od 1 lutego z 8% do 0%, dzięki czemu wzrost</w:t>
      </w:r>
    </w:p>
    <w:p w14:paraId="6BBFA62C" w14:textId="77777777" w:rsidR="00265B35" w:rsidRDefault="00882243">
      <w:pPr>
        <w:pStyle w:val="Teksttreci20"/>
        <w:shd w:val="clear" w:color="auto" w:fill="auto"/>
        <w:spacing w:line="278" w:lineRule="exact"/>
        <w:ind w:left="740" w:firstLine="0"/>
        <w:jc w:val="both"/>
      </w:pPr>
      <w:r>
        <w:t>cen gazu ziemnego dla gospodarstw domowych będzie jednym z najniższych w Europie;</w:t>
      </w:r>
    </w:p>
    <w:p w14:paraId="3256E1D8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line="278" w:lineRule="exact"/>
        <w:ind w:left="400" w:firstLine="0"/>
      </w:pPr>
      <w:r>
        <w:t>przedłużeniu obniżki 5% stawki VAT na energię elektryczną do 31 lipca br.;</w:t>
      </w:r>
    </w:p>
    <w:p w14:paraId="4A22D8AF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line="278" w:lineRule="exact"/>
        <w:ind w:left="400" w:firstLine="0"/>
      </w:pPr>
      <w:r>
        <w:t>obniżeniu podatku VAT na ciepło do 5% dla niemal</w:t>
      </w:r>
      <w:r>
        <w:t xml:space="preserve"> każdego z obywateli (dotyczy</w:t>
      </w:r>
    </w:p>
    <w:p w14:paraId="35DF9AC6" w14:textId="77777777" w:rsidR="00265B35" w:rsidRDefault="00882243">
      <w:pPr>
        <w:pStyle w:val="Teksttreci20"/>
        <w:shd w:val="clear" w:color="auto" w:fill="auto"/>
        <w:spacing w:line="278" w:lineRule="exact"/>
        <w:ind w:left="740" w:firstLine="0"/>
        <w:jc w:val="both"/>
      </w:pPr>
      <w:r>
        <w:t>zarówno mieszkań w ramach spółdzielni mieszkaniowych, wspólnot, jak i domów jednorodzinnych podłączonych do sieci ciepłowniczej);</w:t>
      </w:r>
    </w:p>
    <w:p w14:paraId="5E4178AB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line="278" w:lineRule="exact"/>
        <w:ind w:left="400" w:firstLine="0"/>
      </w:pPr>
      <w:r>
        <w:t>obniżeniu stawki VAT na paliwo z 23% do 8%, co wpłynie na dalsze zmniejszenie ceny</w:t>
      </w:r>
    </w:p>
    <w:p w14:paraId="10BF10B1" w14:textId="77777777" w:rsidR="00265B35" w:rsidRDefault="00882243">
      <w:pPr>
        <w:pStyle w:val="Teksttreci20"/>
        <w:shd w:val="clear" w:color="auto" w:fill="auto"/>
        <w:spacing w:line="278" w:lineRule="exact"/>
        <w:ind w:left="740" w:firstLine="0"/>
        <w:jc w:val="both"/>
      </w:pPr>
      <w:r>
        <w:t>paliwa, nawet</w:t>
      </w:r>
      <w:r>
        <w:t xml:space="preserve"> o 60-70 gr na litrze, dzięki czemu Polacy zapłacą łącznie nawet o 1 zł mniej za litr paliwa, a cena benzyny powinna osiągnąć ok. 5 zł za litr;</w:t>
      </w:r>
    </w:p>
    <w:p w14:paraId="0CEFFE3E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ind w:left="400" w:firstLine="0"/>
      </w:pPr>
      <w:r>
        <w:t>obniżeniu do 0% stawki VAT na podstawowe produkty spożywcze, dzięki czemu</w:t>
      </w:r>
    </w:p>
    <w:p w14:paraId="6DF93CE1" w14:textId="77777777" w:rsidR="00265B35" w:rsidRDefault="00882243">
      <w:pPr>
        <w:pStyle w:val="Teksttreci20"/>
        <w:shd w:val="clear" w:color="auto" w:fill="auto"/>
        <w:ind w:left="740" w:firstLine="0"/>
        <w:jc w:val="both"/>
      </w:pPr>
      <w:r>
        <w:t xml:space="preserve">przeciętna rodzina zaoszczędzi ok. 45 </w:t>
      </w:r>
      <w:r>
        <w:t>zł miesięcznie;</w:t>
      </w:r>
    </w:p>
    <w:p w14:paraId="0DA171F6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ind w:left="400" w:firstLine="0"/>
      </w:pPr>
      <w:r>
        <w:t>wprowadzeniu 0% VAT na nawozy, co również wpłynie na ceny żywności poprzez</w:t>
      </w:r>
    </w:p>
    <w:p w14:paraId="059DA557" w14:textId="77777777" w:rsidR="00265B35" w:rsidRDefault="00882243">
      <w:pPr>
        <w:pStyle w:val="Teksttreci20"/>
        <w:shd w:val="clear" w:color="auto" w:fill="auto"/>
        <w:spacing w:after="116"/>
        <w:ind w:left="740" w:firstLine="0"/>
        <w:jc w:val="both"/>
      </w:pPr>
      <w:r>
        <w:t>wsparcie polskich producentów żywności.</w:t>
      </w:r>
    </w:p>
    <w:p w14:paraId="0BDCAC36" w14:textId="77777777" w:rsidR="00265B35" w:rsidRDefault="00882243">
      <w:pPr>
        <w:pStyle w:val="Teksttreci20"/>
        <w:shd w:val="clear" w:color="auto" w:fill="auto"/>
        <w:spacing w:after="140" w:line="274" w:lineRule="exact"/>
        <w:ind w:firstLine="0"/>
        <w:jc w:val="both"/>
      </w:pPr>
      <w:r>
        <w:t>Poza powyższymi działaniami Rządu RP, Minister Klimatu i Środowiska podejmuje szereg starań w celu ochrony odbiorców końcowyc</w:t>
      </w:r>
      <w:r>
        <w:t>h energii elektrycznej i gazu ziemnego, w tym osób niepełnosprawnych. Każde z nich niesie ze sobą pozytywne skutki, które pomagają odbiorcom energii elektrycznej podczas trwającego obecnie procesu transformacji energetycznej oraz wpływają na wysokość ponos</w:t>
      </w:r>
      <w:r>
        <w:t>zonych kosztów energii elektrycznej czy gazu ziemnego.</w:t>
      </w:r>
    </w:p>
    <w:p w14:paraId="2BC75089" w14:textId="77777777" w:rsidR="00265B35" w:rsidRDefault="00882243">
      <w:pPr>
        <w:pStyle w:val="Teksttreci20"/>
        <w:shd w:val="clear" w:color="auto" w:fill="auto"/>
        <w:spacing w:line="274" w:lineRule="exact"/>
        <w:ind w:firstLine="0"/>
        <w:jc w:val="both"/>
      </w:pPr>
      <w:r>
        <w:t>Przykładem takich działań są rozwiązania zaproponowane w ustawie z dnia 17 grudnia 2021 r.</w:t>
      </w:r>
    </w:p>
    <w:p w14:paraId="18696519" w14:textId="77777777" w:rsidR="00265B35" w:rsidRDefault="00882243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line="274" w:lineRule="exact"/>
        <w:ind w:firstLine="0"/>
        <w:jc w:val="both"/>
      </w:pPr>
      <w:r>
        <w:t xml:space="preserve">dodatku osłonowym (Dz. U. z 2022 r., poz. 1), będącej także częścią „Tarczy antyinflacyjnej” Rządu. </w:t>
      </w:r>
      <w:r>
        <w:t>Ustawa zapewni wsparcie dla ok. 6,84 mln gospodarstw domowych w Polsce, w pokryciu części kosztów energii oraz w pokryciu powiązanych z nimi rosnących cen żywności i usług. Proponowane wsparcie finansowe w postaci dodatku osłonowego wspomoże budżety gospod</w:t>
      </w:r>
      <w:r>
        <w:t>arstw, w tym budżety gospodarstw osób niepełnosprawnych (jeżeli spełnią odpowiednie kryteria dochodowe) oraz zwiększy poczucie bezpieczeństwa energetycznego</w:t>
      </w:r>
    </w:p>
    <w:p w14:paraId="1E5834F2" w14:textId="77777777" w:rsidR="00265B35" w:rsidRDefault="00882243">
      <w:pPr>
        <w:pStyle w:val="Teksttreci20"/>
        <w:numPr>
          <w:ilvl w:val="0"/>
          <w:numId w:val="2"/>
        </w:numPr>
        <w:shd w:val="clear" w:color="auto" w:fill="auto"/>
        <w:tabs>
          <w:tab w:val="left" w:pos="295"/>
        </w:tabs>
        <w:spacing w:after="140" w:line="274" w:lineRule="exact"/>
        <w:ind w:firstLine="0"/>
        <w:jc w:val="both"/>
      </w:pPr>
      <w:r>
        <w:t>socjalnego.</w:t>
      </w:r>
    </w:p>
    <w:p w14:paraId="38F3D89E" w14:textId="77777777" w:rsidR="00265B35" w:rsidRDefault="00882243">
      <w:pPr>
        <w:pStyle w:val="Teksttreci20"/>
        <w:shd w:val="clear" w:color="auto" w:fill="auto"/>
        <w:spacing w:after="140" w:line="274" w:lineRule="exact"/>
        <w:ind w:firstLine="0"/>
        <w:jc w:val="both"/>
      </w:pPr>
      <w:r>
        <w:t>Zgodnie z ustawą dodatek osłonowy przysługuje osobie w jednoosobowym gospodarstwie domo</w:t>
      </w:r>
      <w:r>
        <w:t>wym, której wysokość przeciętnego miesięcznego dochodu nie przekracza 2100 zł oraz osobie w gospodarstwie wieloosobowym, w którym wysokość przeciętnego miesięcznego dochodu nie przekracza 1500 zł na osobę. Warto przy tym zaznaczyć, że wysokość dochodów gos</w:t>
      </w:r>
      <w:r>
        <w:t>podarstwa domowego wyliczana jest na podstawie ustawy z dnia 28 listopada 2003 r. o świadczeniach rodzinnych (Dz. U. z 2020 r. poz. 111, z 2021 r. poz. 1162, 1981, 2105.). Stawki rocznego dodatku osłonowego będą zróżnicowane poprzez dokonanie podziału na 4</w:t>
      </w:r>
      <w:r>
        <w:t xml:space="preserve"> grupy gospodarstw domowych:</w:t>
      </w:r>
    </w:p>
    <w:p w14:paraId="7DCA01C8" w14:textId="77777777" w:rsidR="00265B35" w:rsidRDefault="00882243">
      <w:pPr>
        <w:pStyle w:val="Teksttreci20"/>
        <w:numPr>
          <w:ilvl w:val="0"/>
          <w:numId w:val="3"/>
        </w:numPr>
        <w:shd w:val="clear" w:color="auto" w:fill="auto"/>
        <w:tabs>
          <w:tab w:val="left" w:pos="719"/>
          <w:tab w:val="left" w:pos="3627"/>
          <w:tab w:val="center" w:pos="7850"/>
        </w:tabs>
        <w:spacing w:line="274" w:lineRule="exact"/>
        <w:ind w:left="400" w:firstLine="0"/>
      </w:pPr>
      <w:r>
        <w:t>dla gospodarstwa domowego</w:t>
      </w:r>
      <w:r>
        <w:tab/>
        <w:t>prowadzonego przez osobę samotną - 400</w:t>
      </w:r>
      <w:r>
        <w:tab/>
        <w:t>zł,</w:t>
      </w:r>
    </w:p>
    <w:p w14:paraId="49B3546F" w14:textId="77777777" w:rsidR="00265B35" w:rsidRDefault="00882243">
      <w:pPr>
        <w:pStyle w:val="Teksttreci20"/>
        <w:numPr>
          <w:ilvl w:val="0"/>
          <w:numId w:val="3"/>
        </w:numPr>
        <w:shd w:val="clear" w:color="auto" w:fill="auto"/>
        <w:tabs>
          <w:tab w:val="left" w:pos="743"/>
          <w:tab w:val="left" w:pos="3651"/>
          <w:tab w:val="center" w:pos="5279"/>
          <w:tab w:val="left" w:pos="5413"/>
          <w:tab w:val="left" w:pos="6589"/>
        </w:tabs>
        <w:spacing w:line="274" w:lineRule="exact"/>
        <w:ind w:left="400" w:firstLine="0"/>
      </w:pPr>
      <w:r>
        <w:t>dla gospodarstwa domowego</w:t>
      </w:r>
      <w:r>
        <w:tab/>
        <w:t>składającego się</w:t>
      </w:r>
      <w:r>
        <w:tab/>
        <w:t>z</w:t>
      </w:r>
      <w:r>
        <w:tab/>
        <w:t>2 do 3 osób</w:t>
      </w:r>
      <w:r>
        <w:tab/>
        <w:t>- 600 zł,</w:t>
      </w:r>
    </w:p>
    <w:p w14:paraId="7FBB0D0C" w14:textId="77777777" w:rsidR="00265B35" w:rsidRDefault="00882243">
      <w:pPr>
        <w:pStyle w:val="Teksttreci20"/>
        <w:numPr>
          <w:ilvl w:val="0"/>
          <w:numId w:val="3"/>
        </w:numPr>
        <w:shd w:val="clear" w:color="auto" w:fill="auto"/>
        <w:tabs>
          <w:tab w:val="left" w:pos="743"/>
          <w:tab w:val="left" w:pos="3647"/>
          <w:tab w:val="center" w:pos="5274"/>
          <w:tab w:val="left" w:pos="5408"/>
          <w:tab w:val="left" w:pos="6584"/>
        </w:tabs>
        <w:spacing w:line="274" w:lineRule="exact"/>
        <w:ind w:left="400" w:firstLine="0"/>
      </w:pPr>
      <w:r>
        <w:t>dla gospodarstwa domowego</w:t>
      </w:r>
      <w:r>
        <w:tab/>
        <w:t>składającego się</w:t>
      </w:r>
      <w:r>
        <w:tab/>
        <w:t>z</w:t>
      </w:r>
      <w:r>
        <w:tab/>
        <w:t>4 do 5 osób</w:t>
      </w:r>
      <w:r>
        <w:tab/>
        <w:t>- 850 zł,</w:t>
      </w:r>
    </w:p>
    <w:p w14:paraId="45F086B0" w14:textId="77777777" w:rsidR="00265B35" w:rsidRDefault="00882243">
      <w:pPr>
        <w:pStyle w:val="Teksttreci20"/>
        <w:numPr>
          <w:ilvl w:val="0"/>
          <w:numId w:val="3"/>
        </w:numPr>
        <w:shd w:val="clear" w:color="auto" w:fill="auto"/>
        <w:tabs>
          <w:tab w:val="left" w:pos="743"/>
          <w:tab w:val="left" w:pos="3651"/>
          <w:tab w:val="center" w:pos="5279"/>
          <w:tab w:val="left" w:pos="5413"/>
          <w:tab w:val="left" w:pos="6589"/>
          <w:tab w:val="center" w:pos="7511"/>
        </w:tabs>
        <w:spacing w:after="140" w:line="274" w:lineRule="exact"/>
        <w:ind w:left="400" w:firstLine="0"/>
      </w:pPr>
      <w:r>
        <w:t xml:space="preserve">dla </w:t>
      </w:r>
      <w:r>
        <w:t>gospodarstwa domowego</w:t>
      </w:r>
      <w:r>
        <w:tab/>
        <w:t>składającego się</w:t>
      </w:r>
      <w:r>
        <w:tab/>
        <w:t>z</w:t>
      </w:r>
      <w:r>
        <w:tab/>
        <w:t>co najmniej</w:t>
      </w:r>
      <w:r>
        <w:tab/>
        <w:t>6 osób -</w:t>
      </w:r>
      <w:r>
        <w:tab/>
        <w:t>1150 zł.</w:t>
      </w:r>
    </w:p>
    <w:p w14:paraId="376BD532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 xml:space="preserve">Dodatkowo, po spełnieniu powyższych warunków dochodowych, osoba ubiegająca się o dodatek osłonowy posiadająca jednocześnie jako główne źródło ogrzewania: kocioł na paliwo stałe, </w:t>
      </w:r>
      <w:r>
        <w:t xml:space="preserve">kominek, kozę, ogrzewacz powietrza, trzon kuchenny, </w:t>
      </w:r>
      <w:proofErr w:type="spellStart"/>
      <w:r>
        <w:t>piecokuchnię</w:t>
      </w:r>
      <w:proofErr w:type="spellEnd"/>
      <w:r>
        <w:t>, kuchnię węglową lub piec kaflowy na paliwo stałe, zasilane węglem lub paliwami węglopochodnymi, zgłoszone do Centralnej Ewidencji Emisyjności Budynków (CEEB) będzie miała powiększony dodatek</w:t>
      </w:r>
      <w:r>
        <w:t xml:space="preserve"> z tego tytułu. Stawki dodatku będą </w:t>
      </w:r>
      <w:r>
        <w:lastRenderedPageBreak/>
        <w:t>wtedy wynosiły:</w:t>
      </w:r>
    </w:p>
    <w:p w14:paraId="3EDEAF0A" w14:textId="77777777" w:rsidR="00265B35" w:rsidRDefault="00882243">
      <w:pPr>
        <w:pStyle w:val="Teksttreci20"/>
        <w:numPr>
          <w:ilvl w:val="0"/>
          <w:numId w:val="4"/>
        </w:numPr>
        <w:shd w:val="clear" w:color="auto" w:fill="auto"/>
        <w:tabs>
          <w:tab w:val="left" w:pos="707"/>
        </w:tabs>
        <w:spacing w:line="274" w:lineRule="exact"/>
        <w:ind w:left="760"/>
        <w:jc w:val="both"/>
      </w:pPr>
      <w:r>
        <w:t>500 zł w skali roku dla gospodarstw domowych 1 osobowych;</w:t>
      </w:r>
    </w:p>
    <w:p w14:paraId="7FEDDE3B" w14:textId="77777777" w:rsidR="00265B35" w:rsidRDefault="00882243">
      <w:pPr>
        <w:pStyle w:val="Teksttreci20"/>
        <w:numPr>
          <w:ilvl w:val="0"/>
          <w:numId w:val="4"/>
        </w:numPr>
        <w:shd w:val="clear" w:color="auto" w:fill="auto"/>
        <w:tabs>
          <w:tab w:val="left" w:pos="707"/>
        </w:tabs>
        <w:spacing w:line="274" w:lineRule="exact"/>
        <w:ind w:left="760"/>
        <w:jc w:val="both"/>
      </w:pPr>
      <w:r>
        <w:t>750 zł w skali roku dla gospodarstw domowych 2-3 osobowych;</w:t>
      </w:r>
    </w:p>
    <w:p w14:paraId="63738833" w14:textId="77777777" w:rsidR="00265B35" w:rsidRDefault="00882243">
      <w:pPr>
        <w:pStyle w:val="Teksttreci20"/>
        <w:numPr>
          <w:ilvl w:val="0"/>
          <w:numId w:val="4"/>
        </w:numPr>
        <w:shd w:val="clear" w:color="auto" w:fill="auto"/>
        <w:tabs>
          <w:tab w:val="left" w:pos="707"/>
        </w:tabs>
        <w:spacing w:line="274" w:lineRule="exact"/>
        <w:ind w:left="760"/>
        <w:jc w:val="both"/>
      </w:pPr>
      <w:r>
        <w:t>1062,5 zł w skali roku dla gospodarstw domowych 4-5 osobowych;</w:t>
      </w:r>
    </w:p>
    <w:p w14:paraId="623CF5A6" w14:textId="77777777" w:rsidR="00265B35" w:rsidRDefault="00882243">
      <w:pPr>
        <w:pStyle w:val="Teksttreci20"/>
        <w:numPr>
          <w:ilvl w:val="0"/>
          <w:numId w:val="4"/>
        </w:numPr>
        <w:shd w:val="clear" w:color="auto" w:fill="auto"/>
        <w:tabs>
          <w:tab w:val="left" w:pos="707"/>
        </w:tabs>
        <w:spacing w:after="124" w:line="274" w:lineRule="exact"/>
        <w:ind w:left="760"/>
        <w:jc w:val="both"/>
      </w:pPr>
      <w:r>
        <w:t xml:space="preserve">1437,5 zł w skali roku </w:t>
      </w:r>
      <w:r>
        <w:t>dla gospodarstw domowych 6 osobowych i więcej</w:t>
      </w:r>
    </w:p>
    <w:p w14:paraId="57A8DB70" w14:textId="77777777" w:rsidR="00265B35" w:rsidRDefault="00882243">
      <w:pPr>
        <w:pStyle w:val="Teksttreci20"/>
        <w:shd w:val="clear" w:color="auto" w:fill="auto"/>
        <w:spacing w:after="116" w:line="269" w:lineRule="exact"/>
        <w:ind w:firstLine="0"/>
        <w:jc w:val="both"/>
      </w:pPr>
      <w:r>
        <w:t>Warto więc podkreślić, że aby móc skorzystać z dodatku osłonowego w podwyższonej kwocie, muszą być spełnione poniższe przesłanki:</w:t>
      </w:r>
    </w:p>
    <w:p w14:paraId="03F73461" w14:textId="77777777" w:rsidR="00265B35" w:rsidRDefault="00882243">
      <w:pPr>
        <w:pStyle w:val="Teksttreci20"/>
        <w:numPr>
          <w:ilvl w:val="0"/>
          <w:numId w:val="5"/>
        </w:numPr>
        <w:shd w:val="clear" w:color="auto" w:fill="auto"/>
        <w:tabs>
          <w:tab w:val="left" w:pos="707"/>
        </w:tabs>
        <w:spacing w:line="274" w:lineRule="exact"/>
        <w:ind w:left="760"/>
        <w:jc w:val="both"/>
      </w:pPr>
      <w:r>
        <w:t xml:space="preserve">gospodarstwo domowe wykorzystuje jedno z wymienionych we wniosku źródeł </w:t>
      </w:r>
      <w:r>
        <w:t xml:space="preserve">ogrzewania (kocioł na paliwo stałe, kominek, koza, ogrzewacz powietrza, trzon kuchenny, </w:t>
      </w:r>
      <w:proofErr w:type="spellStart"/>
      <w:r>
        <w:t>piecokuchnia</w:t>
      </w:r>
      <w:proofErr w:type="spellEnd"/>
      <w:r>
        <w:t>, kuchnia węglowa, piec kaflowy na paliwo stałe), które jest zasilane węglem lub paliwami węglopochodnymi;</w:t>
      </w:r>
    </w:p>
    <w:p w14:paraId="3DA114CD" w14:textId="77777777" w:rsidR="00265B35" w:rsidRDefault="00882243">
      <w:pPr>
        <w:pStyle w:val="Teksttreci20"/>
        <w:numPr>
          <w:ilvl w:val="0"/>
          <w:numId w:val="5"/>
        </w:numPr>
        <w:shd w:val="clear" w:color="auto" w:fill="auto"/>
        <w:tabs>
          <w:tab w:val="left" w:pos="707"/>
        </w:tabs>
        <w:ind w:left="760"/>
        <w:jc w:val="both"/>
      </w:pPr>
      <w:r>
        <w:t>wskazane źródło jest głównym źródłem ogrzewania g</w:t>
      </w:r>
      <w:r>
        <w:t>ospodarstwa domowego;</w:t>
      </w:r>
    </w:p>
    <w:p w14:paraId="67A7D2B7" w14:textId="77777777" w:rsidR="00265B35" w:rsidRDefault="00882243">
      <w:pPr>
        <w:pStyle w:val="Teksttreci20"/>
        <w:numPr>
          <w:ilvl w:val="0"/>
          <w:numId w:val="5"/>
        </w:numPr>
        <w:shd w:val="clear" w:color="auto" w:fill="auto"/>
        <w:tabs>
          <w:tab w:val="left" w:pos="707"/>
        </w:tabs>
        <w:spacing w:after="124" w:line="278" w:lineRule="exact"/>
        <w:ind w:left="760"/>
        <w:jc w:val="both"/>
      </w:pPr>
      <w:r>
        <w:t>wskazane źródło ogrzewania zostało zgłoszone do Centralnej Ewidencji Emisyjności Budynków (CEEB).</w:t>
      </w:r>
    </w:p>
    <w:p w14:paraId="2C4B92F2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>Należy również zaznaczyć, że dla celów przyznawania dodatku osłonowego przyjęto tzw. zasadę „złotówka za złotówkę”, polegającą na tym, ż</w:t>
      </w:r>
      <w:r>
        <w:t>e przekroczenie progu dochodowego nie powoduje automatycznego wykluczenia z otrzymywania dodatku, a jedynie jego zmniejszenie o kwotę przekroczenia, przy czym jeżeli wyliczona w ten sposób kwota jest niższa niż 20 zł, dodatek ten nie przysługuje. Dzięki ta</w:t>
      </w:r>
      <w:r>
        <w:t>kiemu zabiegowi wsparciem będzie objęta duża grupa osób, w tym osoby niepełnosprawne.</w:t>
      </w:r>
    </w:p>
    <w:p w14:paraId="6A5106EF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>Ustawa wprowadzająca dodatki osłonowe zakłada również wdrożenie mechanizmów wsparcia niefinansowego dla odbiorców wrażliwych energii elektrycznej</w:t>
      </w:r>
      <w:r>
        <w:rPr>
          <w:vertAlign w:val="superscript"/>
        </w:rPr>
        <w:t>1</w:t>
      </w:r>
      <w:r>
        <w:t xml:space="preserve"> i paliw gazowych</w:t>
      </w:r>
      <w:r>
        <w:rPr>
          <w:vertAlign w:val="superscript"/>
        </w:rPr>
        <w:t>2</w:t>
      </w:r>
      <w:r>
        <w:t>, któr</w:t>
      </w:r>
      <w:r>
        <w:t>e powinny pomóc odbiorcom znajdującym się w trudnej sytuacji finansowej regulować należności za energię elektryczną. Będzie to więc realne narzędzie minimalizowania ubóstwa energetycznego oraz wzmocnienie ochrony odbiorców wrażliwych.</w:t>
      </w:r>
    </w:p>
    <w:p w14:paraId="4183E16E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>Pierwszym z nich jest</w:t>
      </w:r>
      <w:r>
        <w:t xml:space="preserve"> zakaz wstrzymania dostaw odbiorcy wrażliwemu energii elektrycznej, w przypadku gdy posiada on zaległości w płatnościach za energię elektryczną w miesiącach zimowych. Dodatkowo, ustawa wprowadza również mechanizmy chroniące przed wstrzymaniem dostaw energi</w:t>
      </w:r>
      <w:r>
        <w:t>i elektrycznej osoby objęte opieką długoterminową w warunkach domowych, w związku z przewlekłą niewydolnością oddechową, wymagające wentylacji mechanicznej.</w:t>
      </w:r>
    </w:p>
    <w:p w14:paraId="7B6C144C" w14:textId="77777777" w:rsidR="00265B35" w:rsidRDefault="00882243">
      <w:pPr>
        <w:pStyle w:val="Teksttreci20"/>
        <w:shd w:val="clear" w:color="auto" w:fill="auto"/>
        <w:spacing w:after="375" w:line="274" w:lineRule="exact"/>
        <w:ind w:firstLine="0"/>
        <w:jc w:val="both"/>
      </w:pPr>
      <w:r>
        <w:t>Kolejnym rozwiązaniem jest zapewnienie możliwości zwrócenia się przez odbiorcę wrażliwego do sprzed</w:t>
      </w:r>
      <w:r>
        <w:t>awcy energii albo paliw gazowych z wnioskiem o zastosowanie programu wsparcia wobec zaległych i bieżących należności za energię elektryczną albo paliwa gazowe czy świadczone usługi. Program ten może obejmować zawarcie umowy w sprawie należności</w:t>
      </w:r>
    </w:p>
    <w:p w14:paraId="7C53918E" w14:textId="77777777" w:rsidR="00265B35" w:rsidRDefault="00882243">
      <w:pPr>
        <w:pStyle w:val="Teksttreci40"/>
        <w:numPr>
          <w:ilvl w:val="0"/>
          <w:numId w:val="6"/>
        </w:numPr>
        <w:shd w:val="clear" w:color="auto" w:fill="auto"/>
        <w:tabs>
          <w:tab w:val="left" w:pos="178"/>
        </w:tabs>
        <w:spacing w:before="0"/>
      </w:pPr>
      <w:r>
        <w:t>Zgodnie z a</w:t>
      </w:r>
      <w:r>
        <w:t>rt. 3 ust. 13c ustawy - Prawo energetyczne (dz. U. z 2022 r. poz. 1, 200, 202) odbiorca wrażliwy energii elektrycznej to osoba, której przyznano dodatek mieszkaniowy w rozumieniu art. 2 ust. 1 ustawy z dnia 21 czerwca 2001 r. o dodatkach mieszkaniowych (Dz</w:t>
      </w:r>
      <w:r>
        <w:t>. U. z 2021 poz. 2021), będąca stroną umowy kompleksowej lub umowy sprzedaży energii elektrycznej zawartej z przedsiębiorstwem energetycznym i zamieszkuje w miejscu dostarczania energii elektrycznej.</w:t>
      </w:r>
    </w:p>
    <w:p w14:paraId="2D03EECC" w14:textId="77777777" w:rsidR="00265B35" w:rsidRDefault="00882243">
      <w:pPr>
        <w:pStyle w:val="Teksttreci40"/>
        <w:numPr>
          <w:ilvl w:val="0"/>
          <w:numId w:val="6"/>
        </w:numPr>
        <w:shd w:val="clear" w:color="auto" w:fill="auto"/>
        <w:tabs>
          <w:tab w:val="left" w:pos="202"/>
        </w:tabs>
        <w:spacing w:before="0"/>
      </w:pPr>
      <w:r>
        <w:t>Zgodnie z art. 3 ust. 13d ustawy - Prawo energetyczne (D</w:t>
      </w:r>
      <w:r>
        <w:t xml:space="preserve">z. U. z 2022 r. poz. 1, 200, 202) odbiorca wrażliwy paliw gazowych to osoba, której przyznano ryczałt na zakup opału w rozumieniu art. 6 ust. 7 ustawy z dnia 21 czerwca 2001 r. o dodatkach mieszkaniowych (Dz. U. z 2021 poz. 2021 ), która jest stroną umowy </w:t>
      </w:r>
      <w:r>
        <w:t>kompleksowej lub umowy sprzedaży paliw gazowych zawartej z przedsiębiorstwem energetycznym i zamieszkuje w miejscu dostarczania paliw gazowych.</w:t>
      </w:r>
    </w:p>
    <w:p w14:paraId="0AECC57B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>polegającą na odroczeniu terminu ich płatności, rozłożeniu na raty, umorzenie czy na odstąpieniu od naliczania o</w:t>
      </w:r>
      <w:r>
        <w:t>dsetek za nieterminową zapłatę.</w:t>
      </w:r>
    </w:p>
    <w:p w14:paraId="3860AA18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 xml:space="preserve">Rozwiązanie to ma zapobiec popadnięciu w niewypłacalność w sytuacji, w której odbiorca wrażliwy nie może uregulować zaległości, a także wie, iż nie będzie mógł uregulować na czas bieżących </w:t>
      </w:r>
      <w:r>
        <w:lastRenderedPageBreak/>
        <w:t xml:space="preserve">płatności za energię </w:t>
      </w:r>
      <w:r>
        <w:t>elektryczną lub świadczone usługi. Każdy ze sprzedawców energii albo paliw gazowych zostanie zobowiązany do zastosowania przynajmniej jednego z wybranych przez siebie wariantów programu wsparcia.</w:t>
      </w:r>
    </w:p>
    <w:p w14:paraId="6F6A2D36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>Kolejnym przykładem działań Ministra Klimatu i Środowiska są</w:t>
      </w:r>
      <w:r>
        <w:t xml:space="preserve"> rozwiązania zaproponowane w ustawie z dnia 20 maja 2021 r. o zmianie ustawy - Prawo energetyczne, która weszła w życie 3 lipca br., zapewniające równy oraz działający na przejrzystych zasadach dostęp uprawnionych podmiotów do danych pomiarowych i informac</w:t>
      </w:r>
      <w:r>
        <w:t>ji o rynku - które są warunkiem skutecznej konkurencji na rynku energii elektrycznej.</w:t>
      </w:r>
    </w:p>
    <w:p w14:paraId="5755704B" w14:textId="77777777" w:rsidR="00265B35" w:rsidRDefault="00882243">
      <w:pPr>
        <w:pStyle w:val="Teksttreci20"/>
        <w:shd w:val="clear" w:color="auto" w:fill="auto"/>
        <w:spacing w:after="116" w:line="274" w:lineRule="exact"/>
        <w:ind w:firstLine="0"/>
        <w:jc w:val="both"/>
      </w:pPr>
      <w:r>
        <w:t>W związku z powyższym w ramach ww. ustawy stworzone zostały ramy prawne dla funkcjonowania Centralnego Systemu Informacji Rynku Energii (CSIRE) oraz powołano Operatora In</w:t>
      </w:r>
      <w:r>
        <w:t>formacji Rynku Energii (OIRE). Umożliwią one:</w:t>
      </w:r>
    </w:p>
    <w:p w14:paraId="03C1DADF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line="278" w:lineRule="exact"/>
        <w:ind w:left="760" w:hanging="300"/>
        <w:jc w:val="both"/>
      </w:pPr>
      <w:r>
        <w:t>rozwój nowych usług (np. taryfy dynamiczne) poprzez ułatwienie dostępu do informacji rynku energii, w tym profili zużycia i produkcji energii elektrycznej - odbiorcy zyskają pełniejszą kontrolę nad swoim zużyci</w:t>
      </w:r>
      <w:r>
        <w:t>em energii, co zapewni im większy wpływ na wysokość płaconych rachunków;</w:t>
      </w:r>
    </w:p>
    <w:p w14:paraId="3EF64686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line="278" w:lineRule="exact"/>
        <w:ind w:left="760" w:hanging="300"/>
        <w:jc w:val="both"/>
      </w:pPr>
      <w:r>
        <w:t>skuteczną i bezpieczną wymianę informacji na detalicznym rynku energii, umożliwiającą realizację ich ustawowych praw i obowiązków;</w:t>
      </w:r>
    </w:p>
    <w:p w14:paraId="08FC4E49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line="278" w:lineRule="exact"/>
        <w:ind w:left="760" w:hanging="300"/>
        <w:jc w:val="both"/>
      </w:pPr>
      <w:r>
        <w:t>obniżenie kosztów udziału w rynku energii (w szczegó</w:t>
      </w:r>
      <w:r>
        <w:t>lności po stronie sprzedawców) oraz obniżenie bariery wejścia na rynek nowym podmiotom dzięki utworzeniu jednego punktu</w:t>
      </w:r>
    </w:p>
    <w:p w14:paraId="5254048F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line="278" w:lineRule="exact"/>
        <w:ind w:left="760" w:hanging="300"/>
        <w:jc w:val="both"/>
      </w:pPr>
      <w:r>
        <w:t>dostępu do ujednoliconych danych oraz procesów biznesowych;</w:t>
      </w:r>
    </w:p>
    <w:p w14:paraId="7C3FCB12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line="278" w:lineRule="exact"/>
        <w:ind w:left="760" w:hanging="300"/>
        <w:jc w:val="both"/>
      </w:pPr>
      <w:r>
        <w:t>ograniczenie liczby interfejsów dzięki technologicznej standaryzacji komunik</w:t>
      </w:r>
      <w:r>
        <w:t>acji pomiędzy uczestnikami rynku;</w:t>
      </w:r>
    </w:p>
    <w:p w14:paraId="365E6BAC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line="283" w:lineRule="exact"/>
        <w:ind w:left="760" w:hanging="300"/>
        <w:jc w:val="both"/>
      </w:pPr>
      <w:r>
        <w:t>ujednolicenie zasad dostępu oraz jednoznaczny podział odpowiedzialności;</w:t>
      </w:r>
    </w:p>
    <w:p w14:paraId="5F558252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line="283" w:lineRule="exact"/>
        <w:ind w:left="760" w:hanging="300"/>
        <w:jc w:val="both"/>
      </w:pPr>
      <w:r>
        <w:t>gwarancję szybkości przesyłania danych oraz trwałości rozwiązania CSIRE;</w:t>
      </w:r>
    </w:p>
    <w:p w14:paraId="6E755FA6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line="283" w:lineRule="exact"/>
        <w:ind w:left="760" w:hanging="300"/>
        <w:jc w:val="both"/>
      </w:pPr>
      <w:r>
        <w:t>pełną implementację zasady rozdzielenia działalności dystrybucyjnej od sprze</w:t>
      </w:r>
      <w:r>
        <w:t>daży energii oraz ujednolicenie sposobu realizacji procesów przez wszystkich uczestników rynku;</w:t>
      </w:r>
    </w:p>
    <w:p w14:paraId="27E357AC" w14:textId="77777777" w:rsidR="00265B35" w:rsidRDefault="00882243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after="128" w:line="283" w:lineRule="exact"/>
        <w:ind w:left="760" w:hanging="300"/>
        <w:jc w:val="both"/>
      </w:pPr>
      <w:r>
        <w:t>możliwość uzyskania informacji rynku energii dotyczących nowych klientów, wyłącznie po udzieleniu zgody przez nowego klienta, np. w celu przygotowania spersonal</w:t>
      </w:r>
      <w:r>
        <w:t>izowanych ofert.</w:t>
      </w:r>
    </w:p>
    <w:p w14:paraId="57A71868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>Uruchomienie systemu CSIRE przewidziane zostało na 3 lipca 2024 r. Rozwiązania zawarte w ustawie przyczynią się dalszego rozwoju rynku energii elektrycznej i pozwolą na zapewnienie odbiorcom niezakłóconego dostępu do energii. Odbiorcy ener</w:t>
      </w:r>
      <w:r>
        <w:t xml:space="preserve">gii elektrycznej zyskają bezpłatny dostęp do swoich danych pomiarowych, dzięki czemu będą mogli kontrolować jej zużycie, a w razie niedotrzymania przez przedsiębiorstwo energetyczne parametrów jakościowych dostarczanej energii lub w przypadku przerw w jej </w:t>
      </w:r>
      <w:r>
        <w:t>dostawie, odbiorcom będą przysługiwały automatyczne bonifikaty z tego tytułu. Dzięki temu będą mogli w dużym stopniu kształtować wysokość swoich rachunków za energię elektryczną.</w:t>
      </w:r>
    </w:p>
    <w:p w14:paraId="40602D17" w14:textId="77777777" w:rsidR="00265B35" w:rsidRDefault="00882243">
      <w:pPr>
        <w:pStyle w:val="Teksttreci20"/>
        <w:shd w:val="clear" w:color="auto" w:fill="auto"/>
        <w:spacing w:after="144" w:line="274" w:lineRule="exact"/>
        <w:ind w:firstLine="0"/>
        <w:jc w:val="both"/>
      </w:pPr>
      <w:r>
        <w:t xml:space="preserve">Dodatków, w ramach powyższej ustawy wprowadzono również obowiązek </w:t>
      </w:r>
      <w:r>
        <w:t>instalacji inteligentnych liczników zdalnego odczytu u co najmniej 80 % odbiorców końcowych, zgodnie z harmonogramem określonym w ustawie. Harmonogram ten przedstawia się następująco:</w:t>
      </w:r>
    </w:p>
    <w:p w14:paraId="44AEA6FE" w14:textId="77777777" w:rsidR="00265B35" w:rsidRDefault="00882243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ind w:left="760" w:hanging="300"/>
        <w:jc w:val="both"/>
      </w:pPr>
      <w:r>
        <w:t xml:space="preserve">31 grudnia 2023 r. - w punktach poboru energii stanowiących co najmniej </w:t>
      </w:r>
      <w:r>
        <w:t>15%,</w:t>
      </w:r>
    </w:p>
    <w:p w14:paraId="7B493DBB" w14:textId="77777777" w:rsidR="00265B35" w:rsidRDefault="00882243">
      <w:pPr>
        <w:pStyle w:val="Teksttreci20"/>
        <w:numPr>
          <w:ilvl w:val="0"/>
          <w:numId w:val="7"/>
        </w:numPr>
        <w:shd w:val="clear" w:color="auto" w:fill="auto"/>
        <w:tabs>
          <w:tab w:val="left" w:pos="783"/>
          <w:tab w:val="left" w:pos="1131"/>
          <w:tab w:val="left" w:pos="2653"/>
          <w:tab w:val="left" w:pos="3094"/>
          <w:tab w:val="left" w:pos="4035"/>
          <w:tab w:val="left" w:pos="6853"/>
        </w:tabs>
        <w:spacing w:line="394" w:lineRule="exact"/>
        <w:ind w:left="420" w:firstLine="0"/>
      </w:pPr>
      <w:r>
        <w:t>31</w:t>
      </w:r>
      <w:r>
        <w:tab/>
        <w:t>grudnia 2025 r.</w:t>
      </w:r>
      <w:r>
        <w:tab/>
        <w:t>- w</w:t>
      </w:r>
      <w:r>
        <w:tab/>
        <w:t>punktach</w:t>
      </w:r>
      <w:r>
        <w:tab/>
        <w:t>poboru energii stanowiących</w:t>
      </w:r>
      <w:r>
        <w:tab/>
        <w:t>co najmniej 35%,</w:t>
      </w:r>
    </w:p>
    <w:p w14:paraId="43D21882" w14:textId="77777777" w:rsidR="00265B35" w:rsidRDefault="00882243">
      <w:pPr>
        <w:pStyle w:val="Teksttreci20"/>
        <w:numPr>
          <w:ilvl w:val="0"/>
          <w:numId w:val="7"/>
        </w:numPr>
        <w:shd w:val="clear" w:color="auto" w:fill="auto"/>
        <w:tabs>
          <w:tab w:val="left" w:pos="783"/>
          <w:tab w:val="left" w:pos="1126"/>
          <w:tab w:val="left" w:pos="2648"/>
          <w:tab w:val="left" w:pos="3090"/>
          <w:tab w:val="left" w:pos="4030"/>
          <w:tab w:val="left" w:pos="6848"/>
        </w:tabs>
        <w:spacing w:line="394" w:lineRule="exact"/>
        <w:ind w:left="420" w:firstLine="0"/>
      </w:pPr>
      <w:r>
        <w:t>31</w:t>
      </w:r>
      <w:r>
        <w:tab/>
        <w:t>grudnia 2027 r.</w:t>
      </w:r>
      <w:r>
        <w:tab/>
        <w:t>- w</w:t>
      </w:r>
      <w:r>
        <w:tab/>
        <w:t>punktach</w:t>
      </w:r>
      <w:r>
        <w:tab/>
        <w:t>poboru energii stanowiących</w:t>
      </w:r>
      <w:r>
        <w:tab/>
        <w:t>co najmniej 65%,</w:t>
      </w:r>
    </w:p>
    <w:p w14:paraId="6E030A84" w14:textId="77777777" w:rsidR="00265B35" w:rsidRDefault="00882243">
      <w:pPr>
        <w:pStyle w:val="Teksttreci20"/>
        <w:numPr>
          <w:ilvl w:val="0"/>
          <w:numId w:val="7"/>
        </w:numPr>
        <w:shd w:val="clear" w:color="auto" w:fill="auto"/>
        <w:tabs>
          <w:tab w:val="left" w:pos="783"/>
          <w:tab w:val="left" w:pos="1131"/>
          <w:tab w:val="left" w:pos="2653"/>
          <w:tab w:val="left" w:pos="3094"/>
          <w:tab w:val="left" w:pos="4035"/>
          <w:tab w:val="left" w:pos="6853"/>
        </w:tabs>
        <w:spacing w:line="394" w:lineRule="exact"/>
        <w:ind w:left="420" w:firstLine="0"/>
      </w:pPr>
      <w:r>
        <w:t>31</w:t>
      </w:r>
      <w:r>
        <w:tab/>
        <w:t>grudnia 2028 r.</w:t>
      </w:r>
      <w:r>
        <w:tab/>
        <w:t>- w</w:t>
      </w:r>
      <w:r>
        <w:tab/>
        <w:t>punktach</w:t>
      </w:r>
      <w:r>
        <w:tab/>
        <w:t>poboru energii stanowiących</w:t>
      </w:r>
      <w:r>
        <w:tab/>
        <w:t>co najmniej 80%,</w:t>
      </w:r>
    </w:p>
    <w:p w14:paraId="05B75B40" w14:textId="77777777" w:rsidR="00265B35" w:rsidRDefault="00882243">
      <w:pPr>
        <w:pStyle w:val="Teksttreci20"/>
        <w:shd w:val="clear" w:color="auto" w:fill="auto"/>
        <w:tabs>
          <w:tab w:val="left" w:pos="1009"/>
          <w:tab w:val="left" w:pos="2598"/>
          <w:tab w:val="left" w:pos="6755"/>
        </w:tabs>
        <w:spacing w:line="274" w:lineRule="exact"/>
        <w:ind w:firstLine="0"/>
        <w:jc w:val="both"/>
      </w:pPr>
      <w:r>
        <w:t>- łącznej</w:t>
      </w:r>
      <w:r>
        <w:tab/>
        <w:t>liczby pun</w:t>
      </w:r>
      <w:r>
        <w:t>któw</w:t>
      </w:r>
      <w:r>
        <w:tab/>
        <w:t>poboru energii u odbiorców końcowych,</w:t>
      </w:r>
      <w:r>
        <w:tab/>
        <w:t>w tym stanowiących co</w:t>
      </w:r>
    </w:p>
    <w:p w14:paraId="66344BF0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>najmniej 80% łącznej liczby punktów poboru energii u odbiorców energii elektrycznej w gospodarstwach domowych, posiadających układ pomiarowo-rozliczeniowy bez przekładników prądowych lub napi</w:t>
      </w:r>
      <w:r>
        <w:t xml:space="preserve">ęciowych, przyłączonych do sieci o napięciu znamionowym nie wyższym niż 1 </w:t>
      </w:r>
      <w:proofErr w:type="spellStart"/>
      <w:r>
        <w:t>kV</w:t>
      </w:r>
      <w:proofErr w:type="spellEnd"/>
      <w:r>
        <w:t>.</w:t>
      </w:r>
    </w:p>
    <w:p w14:paraId="7F521E09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lastRenderedPageBreak/>
        <w:t>Instalacja inteligentnych liczników zdalnego odczytu przyniesie liczne korzyści dla odbiorców końcowych, którzy będą mogli zarządzać swoim zużyciem energii, a przez to wpływać na</w:t>
      </w:r>
      <w:r>
        <w:t xml:space="preserve"> poziom rachunków za energię elektrycznej i poziom ponoszonych kosztów.</w:t>
      </w:r>
    </w:p>
    <w:p w14:paraId="0C573609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>Kolejnym działaniem Ministra Klimatu i Środowiska jest projekt ustawy o zmianie ustawy - Prawo energetyczne oraz ustawy o odnawialnych źródłach energii (UC74), który zawiera szereg roz</w:t>
      </w:r>
      <w:r>
        <w:t>wiązań służących dalszemu wzmocnieniu pozycji odbiorcy energii elektrycznej. Regulacje te dotyczyć będą możliwości zmiany sprzedawcy w 24 godziny, stworzenia dostępu do porównywarki cen, która ułatwi dokonanie wyboru najtańszej i najkorzystniejszej oferty,</w:t>
      </w:r>
      <w:r>
        <w:t xml:space="preserve"> możliwości nabywania energii elektrycznej po cenach dynamicznych czy możliwość korzystania z usług agregatorów. Wszystkie te działania służą stworzeniu narzędzi dla odbiorców końcowych pozwalających im na wpływanie na wysokość ponoszonych kosztów energii </w:t>
      </w:r>
      <w:r>
        <w:t>elektrycznej.</w:t>
      </w:r>
    </w:p>
    <w:p w14:paraId="08C0A701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 xml:space="preserve">Ponadto odbiorcy energii elektrycznej zyskają także nowe prawa w zakresie umów sprzedaży. Zostaną nałożone obowiązki informacyjne na sprzedawców oraz powstaną obywatelskie społeczności energetyczne. Dodatkowo zostanie rozszerzony zakres </w:t>
      </w:r>
      <w:r>
        <w:t>uprawnień Koordynatora ds. negocjacji, funkcjonującego przy Prezesie Urzędu Regulacji Energetyki, do którego odbiorcy energii elektrycznej i paliw gazowych w gospodarstwach domowych mogą składać wnioski o pomoc w rozstrzygnięciu sporu z przedsiębiorstwem e</w:t>
      </w:r>
      <w:r>
        <w:t>nergetycznym. W chwili obecnej trwa opiniowanie projektu ustawy.</w:t>
      </w:r>
    </w:p>
    <w:p w14:paraId="61D37986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>Na zakończenie warto również wspomnieć, że w celu ochrony odbiorców gazu ziemnego szczególnie narażonych na skutki wzrostu cen, w tym odbiorców niepełnosprawnych w gospodarstwach domowych, Mi</w:t>
      </w:r>
      <w:r>
        <w:t xml:space="preserve">nister Klimatu i Środowiska uczestniczył w pracach nad . ustawą z dnia 26 stycznia 2022 r. </w:t>
      </w:r>
      <w:r>
        <w:rPr>
          <w:rStyle w:val="Teksttreci2115ptKursywa"/>
        </w:rPr>
        <w:t>o szczególnych rozwiązaniach służących ochronie odbiorców paliw gazowych w związku z sytuacją na rynku gazu,</w:t>
      </w:r>
      <w:r>
        <w:t xml:space="preserve"> która została podpisana przez Prezydenta RP w dniu 28 stycznia br. Ustawa ta zawiera kompleksowe rozwiązania, które ochronią najbardziej wrażliwych odbiorców paliw gazowych przed podwyżkami, rozszerzając katalog tych odbiorców, a także zagwarantują skutec</w:t>
      </w:r>
      <w:r>
        <w:t>zny mechanizm dla budynków wielolokalowych, które wcześniej nie zdecydowały się na skorzystanie z ochrony taryfowej.</w:t>
      </w:r>
    </w:p>
    <w:p w14:paraId="08E9F14F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>Należy wskazać, że ustawa ta zamraża ceny gazu ziemnego na poziomie taryfy zatwierdzonej przez Prezesa URE w ostatnim kwartale 2021 r. Rozw</w:t>
      </w:r>
      <w:r>
        <w:t>iązanie to stanowi gwarancję, że w trakcie nadchodzącego roku ceny gazu ziemnego pozostaną na niezmienionym poziomie, niezależnie od dalszych manipulacji na europejskim lub krajowym rynku gazu ziemnego.</w:t>
      </w:r>
    </w:p>
    <w:p w14:paraId="11DB1F32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>Dodatkowo ustawa zapewnia odbiorcom w budynkach wielo</w:t>
      </w:r>
      <w:r>
        <w:t>lokalowych bardziej klarowny i przejrzysty mechanizm pozwalający na objęcie ich taryfikowanymi cenami paliw gazowego, nawet w sytuacji, w której przez zaniechanie lub błąd zarządcy, odbiorcy w tych budynkach nabywali gaz po cenie rynkowej.</w:t>
      </w:r>
    </w:p>
    <w:p w14:paraId="1E487D2F" w14:textId="77777777" w:rsidR="00265B35" w:rsidRDefault="00882243">
      <w:pPr>
        <w:pStyle w:val="Teksttreci20"/>
        <w:shd w:val="clear" w:color="auto" w:fill="auto"/>
        <w:spacing w:line="274" w:lineRule="exact"/>
        <w:ind w:firstLine="0"/>
        <w:jc w:val="both"/>
      </w:pPr>
      <w:r>
        <w:t>Co istotne, usta</w:t>
      </w:r>
      <w:r>
        <w:t>wa ta odpowiada również na apele jednostek samorządu terytorialnego oraz instytucji świadczących kluczowe usługi publiczne w sprawie zapewnienia im odpowiedniej</w:t>
      </w:r>
    </w:p>
    <w:p w14:paraId="5DF73A81" w14:textId="77777777" w:rsidR="00265B35" w:rsidRDefault="00882243">
      <w:pPr>
        <w:pStyle w:val="Teksttreci20"/>
        <w:shd w:val="clear" w:color="auto" w:fill="auto"/>
        <w:tabs>
          <w:tab w:val="left" w:pos="5174"/>
        </w:tabs>
        <w:spacing w:line="274" w:lineRule="exact"/>
        <w:ind w:firstLine="0"/>
        <w:jc w:val="both"/>
      </w:pPr>
      <w:r>
        <w:t>ochrony, która pozwoli należycie wypełniać kluczowe dla społeczeństwa zadania. Po wejściu w życ</w:t>
      </w:r>
      <w:r>
        <w:t>ie tej ustawy, odbiorcy ci (m.in. szpitale, szkoły, żłobki, przedszkola czy domy dziecka) będą mieli możliwość złożenia oświadczenia o poddaniu się ochronie taryfowej. W konsekwencji przyjętych zmian legislacyjnych,</w:t>
      </w:r>
      <w:r>
        <w:tab/>
        <w:t>jednostki te będą chronione przez</w:t>
      </w:r>
    </w:p>
    <w:p w14:paraId="708C5D2C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>komple</w:t>
      </w:r>
      <w:r>
        <w:t>ksowe rozwiązania przeciwdziałające podwyżkom cen nośników energii.</w:t>
      </w:r>
    </w:p>
    <w:p w14:paraId="53DF59EB" w14:textId="77777777" w:rsidR="00265B35" w:rsidRDefault="00882243">
      <w:pPr>
        <w:pStyle w:val="Teksttreci20"/>
        <w:shd w:val="clear" w:color="auto" w:fill="auto"/>
        <w:spacing w:after="120" w:line="274" w:lineRule="exact"/>
        <w:ind w:firstLine="0"/>
        <w:jc w:val="both"/>
      </w:pPr>
      <w:r>
        <w:t xml:space="preserve">W celu ograniczenia negatywnego wpływu ww. zmian na funkcjonowanie i płynność przedsiębiorstw energetycznych, na które przeniesione zostaną koszty paliwa gazowego, ustawa zapewnia również </w:t>
      </w:r>
      <w:r>
        <w:t>mechanizm rekompensaty kosztów dla przedsiębiorstw energetycznych, a tym samym stwarza mechanizm osłonowy, gwarantujący ciągłość dostaw paliwa gazowego dla odbiorców końcowych po obniżonych i zamrożonych cenach.</w:t>
      </w:r>
    </w:p>
    <w:p w14:paraId="3A896CCE" w14:textId="77777777" w:rsidR="00265B35" w:rsidRDefault="00882243">
      <w:pPr>
        <w:pStyle w:val="Teksttreci20"/>
        <w:shd w:val="clear" w:color="auto" w:fill="auto"/>
        <w:spacing w:after="1304" w:line="274" w:lineRule="exact"/>
        <w:ind w:firstLine="0"/>
        <w:jc w:val="both"/>
      </w:pPr>
      <w:r>
        <w:t>Każde z zaproponowanych przez Rząd RP, a w s</w:t>
      </w:r>
      <w:r>
        <w:t xml:space="preserve">zczególności Ministra Klimatu i Środowiska </w:t>
      </w:r>
      <w:r>
        <w:lastRenderedPageBreak/>
        <w:t>rozwiązania mają w jak największym stopniu złagodzić skutki trwającego obecnie kryzysu inflacyjnego oraz wspomóc tych odbiorców energii elektrycznej i gazu ziemnego, którzy najbardziej potrzebują wsparcia.</w:t>
      </w:r>
    </w:p>
    <w:p w14:paraId="451FEBE9" w14:textId="77777777" w:rsidR="00265B35" w:rsidRDefault="00882243">
      <w:pPr>
        <w:pStyle w:val="Teksttreci50"/>
        <w:shd w:val="clear" w:color="auto" w:fill="auto"/>
        <w:spacing w:before="0"/>
        <w:ind w:left="4700"/>
      </w:pPr>
      <w:r>
        <w:t>Z poważ</w:t>
      </w:r>
      <w:r>
        <w:t>aniem</w:t>
      </w:r>
    </w:p>
    <w:p w14:paraId="74AA11A6" w14:textId="77777777" w:rsidR="00265B35" w:rsidRDefault="00882243">
      <w:pPr>
        <w:pStyle w:val="Teksttreci50"/>
        <w:shd w:val="clear" w:color="auto" w:fill="auto"/>
        <w:spacing w:before="0" w:after="93"/>
        <w:ind w:left="4700"/>
      </w:pPr>
      <w:r>
        <w:t>Z up. Ministra</w:t>
      </w:r>
    </w:p>
    <w:p w14:paraId="3B73FC80" w14:textId="77777777" w:rsidR="00265B35" w:rsidRDefault="00882243">
      <w:pPr>
        <w:pStyle w:val="Teksttreci20"/>
        <w:shd w:val="clear" w:color="auto" w:fill="auto"/>
        <w:spacing w:after="3188" w:line="278" w:lineRule="exact"/>
        <w:ind w:left="4700" w:right="1000" w:firstLine="0"/>
      </w:pPr>
      <w:r>
        <w:t>Piotr Dziadzio Podsekretarz Stanu Ministerstwo Klimatu i Środowiska / - podpisany cyfrowo/</w:t>
      </w:r>
    </w:p>
    <w:p w14:paraId="6BAA8341" w14:textId="77777777" w:rsidR="00265B35" w:rsidRDefault="00882243">
      <w:pPr>
        <w:pStyle w:val="Teksttreci20"/>
        <w:shd w:val="clear" w:color="auto" w:fill="auto"/>
        <w:spacing w:after="120"/>
        <w:ind w:firstLine="0"/>
        <w:jc w:val="both"/>
      </w:pPr>
      <w:r>
        <w:t>Do wiadomości:</w:t>
      </w:r>
    </w:p>
    <w:p w14:paraId="077A3CC4" w14:textId="77777777" w:rsidR="00265B35" w:rsidRDefault="00882243">
      <w:pPr>
        <w:pStyle w:val="Teksttreci20"/>
        <w:shd w:val="clear" w:color="auto" w:fill="auto"/>
        <w:ind w:left="200" w:firstLine="0"/>
      </w:pPr>
      <w:r>
        <w:t xml:space="preserve">1. Pani Marlena </w:t>
      </w:r>
      <w:proofErr w:type="spellStart"/>
      <w:r>
        <w:t>Maląg</w:t>
      </w:r>
      <w:proofErr w:type="spellEnd"/>
      <w:r>
        <w:t>, Minister Rodziny i Polityki Społecznej.</w:t>
      </w:r>
    </w:p>
    <w:sectPr w:rsidR="00265B35">
      <w:type w:val="continuous"/>
      <w:pgSz w:w="11900" w:h="16840"/>
      <w:pgMar w:top="1436" w:right="1374" w:bottom="1378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C446" w14:textId="77777777" w:rsidR="00882243" w:rsidRDefault="00882243">
      <w:r>
        <w:separator/>
      </w:r>
    </w:p>
  </w:endnote>
  <w:endnote w:type="continuationSeparator" w:id="0">
    <w:p w14:paraId="7CEE5194" w14:textId="77777777" w:rsidR="00882243" w:rsidRDefault="0088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83ED" w14:textId="77777777" w:rsidR="00882243" w:rsidRDefault="00882243"/>
  </w:footnote>
  <w:footnote w:type="continuationSeparator" w:id="0">
    <w:p w14:paraId="0FBC5714" w14:textId="77777777" w:rsidR="00882243" w:rsidRDefault="008822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D16D4"/>
    <w:multiLevelType w:val="multilevel"/>
    <w:tmpl w:val="087E2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6C317F"/>
    <w:multiLevelType w:val="multilevel"/>
    <w:tmpl w:val="2A08C8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6C5B4E"/>
    <w:multiLevelType w:val="multilevel"/>
    <w:tmpl w:val="2A009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423EF5"/>
    <w:multiLevelType w:val="multilevel"/>
    <w:tmpl w:val="1540A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980399"/>
    <w:multiLevelType w:val="multilevel"/>
    <w:tmpl w:val="7C82F9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00E08"/>
    <w:multiLevelType w:val="multilevel"/>
    <w:tmpl w:val="E8A0E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5A1031"/>
    <w:multiLevelType w:val="multilevel"/>
    <w:tmpl w:val="91B097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35"/>
    <w:rsid w:val="00265B35"/>
    <w:rsid w:val="00882243"/>
    <w:rsid w:val="00F7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F84BCB"/>
  <w15:docId w15:val="{4577B5B1-0445-4DA6-BB59-77BF9101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2115ptKursywa">
    <w:name w:val="Tekst treści (2) + 11;5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4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0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160" w:after="140" w:line="25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4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280" w:after="500" w:line="244" w:lineRule="exact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2521</Words>
  <Characters>15127</Characters>
  <Application>Microsoft Office Word</Application>
  <DocSecurity>0</DocSecurity>
  <Lines>126</Lines>
  <Paragraphs>35</Paragraphs>
  <ScaleCrop>false</ScaleCrop>
  <Company/>
  <LinksUpToDate>false</LinksUpToDate>
  <CharactersWithSpaces>17613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2022-02-18T11:14:00Z</dcterms:created>
  <dcterms:modified xsi:type="dcterms:W3CDTF">2022-02-18T11:15:00Z</dcterms:modified>
</cp:coreProperties>
</file>