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2EFB" w14:textId="57CBA9F6" w:rsidR="00184FC9" w:rsidRDefault="00545C6F">
      <w:pPr>
        <w:pStyle w:val="Teksttreci20"/>
        <w:shd w:val="clear" w:color="auto" w:fill="auto"/>
        <w:sectPr w:rsidR="00184FC9">
          <w:pgSz w:w="11900" w:h="16840"/>
          <w:pgMar w:top="1450" w:right="1400" w:bottom="1397" w:left="7731" w:header="0" w:footer="3" w:gutter="0"/>
          <w:cols w:space="720"/>
          <w:noEndnote/>
          <w:docGrid w:linePitch="360"/>
        </w:sectPr>
      </w:pPr>
      <w:r>
        <w:t>Warszawa, dnia 12-10-2021 r.</w:t>
      </w:r>
    </w:p>
    <w:p w14:paraId="2AC337E4" w14:textId="3B441F6E" w:rsidR="00184FC9" w:rsidRDefault="00C63369">
      <w:pPr>
        <w:spacing w:line="186" w:lineRule="exact"/>
        <w:rPr>
          <w:sz w:val="15"/>
          <w:szCs w:val="15"/>
        </w:rPr>
      </w:pPr>
      <w:r>
        <w:pict w14:anchorId="10F03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25pt;margin-top:-57.7pt;width:64.55pt;height:71.05pt;z-index:-251658752;mso-wrap-distance-left:5pt;mso-wrap-distance-right:191.7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</w:p>
    <w:p w14:paraId="1E43DE1A" w14:textId="77777777" w:rsidR="00184FC9" w:rsidRDefault="00184FC9">
      <w:pPr>
        <w:rPr>
          <w:sz w:val="2"/>
          <w:szCs w:val="2"/>
        </w:rPr>
        <w:sectPr w:rsidR="00184FC9">
          <w:type w:val="continuous"/>
          <w:pgSz w:w="11900" w:h="16840"/>
          <w:pgMar w:top="1440" w:right="0" w:bottom="1406" w:left="0" w:header="0" w:footer="3" w:gutter="0"/>
          <w:cols w:space="720"/>
          <w:noEndnote/>
          <w:docGrid w:linePitch="360"/>
        </w:sectPr>
      </w:pPr>
    </w:p>
    <w:p w14:paraId="2CAC4EBC" w14:textId="77777777" w:rsidR="00184FC9" w:rsidRDefault="00545C6F">
      <w:pPr>
        <w:pStyle w:val="Nagwek10"/>
        <w:keepNext/>
        <w:keepLines/>
        <w:shd w:val="clear" w:color="auto" w:fill="auto"/>
        <w:spacing w:after="542"/>
      </w:pPr>
      <w:bookmarkStart w:id="0" w:name="bookmark0"/>
      <w:r>
        <w:t>Minister Klimatu i Środowiska</w:t>
      </w:r>
      <w:bookmarkEnd w:id="0"/>
    </w:p>
    <w:p w14:paraId="69553A1E" w14:textId="77777777" w:rsidR="00184FC9" w:rsidRDefault="00545C6F">
      <w:pPr>
        <w:pStyle w:val="Teksttreci20"/>
        <w:shd w:val="clear" w:color="auto" w:fill="auto"/>
        <w:jc w:val="both"/>
      </w:pPr>
      <w:r>
        <w:t>DOP-WPN.053.1.2021.ŁN</w:t>
      </w:r>
    </w:p>
    <w:p w14:paraId="05A3771B" w14:textId="77777777" w:rsidR="00184FC9" w:rsidRDefault="00545C6F">
      <w:pPr>
        <w:pStyle w:val="Teksttreci30"/>
        <w:shd w:val="clear" w:color="auto" w:fill="auto"/>
        <w:spacing w:after="1945"/>
      </w:pPr>
      <w:r>
        <w:t>1417077.4789831.4903821</w:t>
      </w:r>
    </w:p>
    <w:p w14:paraId="6B1CF0FE" w14:textId="77777777" w:rsidR="00184FC9" w:rsidRDefault="00545C6F">
      <w:pPr>
        <w:pStyle w:val="Teksttreci40"/>
        <w:shd w:val="clear" w:color="auto" w:fill="auto"/>
        <w:spacing w:before="0" w:after="105"/>
      </w:pPr>
      <w:r>
        <w:t>Szanowni Państwo,</w:t>
      </w:r>
    </w:p>
    <w:p w14:paraId="5056243A" w14:textId="77777777" w:rsidR="00184FC9" w:rsidRDefault="00545C6F">
      <w:pPr>
        <w:pStyle w:val="Teksttreci20"/>
        <w:shd w:val="clear" w:color="auto" w:fill="auto"/>
        <w:spacing w:after="140" w:line="288" w:lineRule="exact"/>
        <w:jc w:val="both"/>
      </w:pPr>
      <w:r>
        <w:t xml:space="preserve">w odpowiedzi na Państwa petycję z 9 grudnia 2020 r, w sprawie </w:t>
      </w:r>
      <w:r>
        <w:t>wprowadzenia mechanizmu bezprzetargowego przedłużania umów dzierżaw gruntów Skarbu Państwa w parkach narodowych, dziękuję za przedstawienie stanowiska. Dzierżawy gruntów w parkach narodowych mają służyć zarówno dzierżawiącym, a więc celom gospodarczym, jak</w:t>
      </w:r>
      <w:r>
        <w:t xml:space="preserve"> i przyrodzie parku narodowego - Państwa sugestia ku takiemu rozpatrywaniu dzierżaw jest zasadna. W wielu obszarach to właśnie ekstensywne użytkowanie gruntu pozwala w całości wyczerpać przesłankę ekonomiczną i ekologiczną gospodarowania gruntem, najpełnie</w:t>
      </w:r>
      <w:r>
        <w:t>j oddając ideę zrównoważonego rozwoju. Nie można jednak pominąć, że cele parku narodowego zawsze stanowią priorytet i to od potrzeb ochrony przyrody tego parku zależy umożliwienie wydzierżawienia określonych obszarów dla celów gospodarczych.</w:t>
      </w:r>
    </w:p>
    <w:p w14:paraId="13B8AAE7" w14:textId="77777777" w:rsidR="00184FC9" w:rsidRDefault="00545C6F">
      <w:pPr>
        <w:pStyle w:val="Teksttreci20"/>
        <w:shd w:val="clear" w:color="auto" w:fill="auto"/>
        <w:spacing w:after="140" w:line="288" w:lineRule="exact"/>
        <w:jc w:val="both"/>
      </w:pPr>
      <w:r>
        <w:t>Proponowany pr</w:t>
      </w:r>
      <w:r>
        <w:t>zez Państwa bezprzetargowy tryb przedłużania umów dzierżawy nie jest w tej chwili rozważany, a uzasadnieniem tego jest potrzeba dynamicznego dostosowywania obszarów dzierżaw i prowadzenia zabiegów ochronnych siedlisk przyrodniczych do ich potrzeb. Informuj</w:t>
      </w:r>
      <w:r>
        <w:t>ę przy tym, że resort klimatu i środowiska wystąpił z podobną inicjatywą ustawodawczą i aktualnie procedowany projekt ustawy o parkach narodowych przewiduje wprowadzenie trybu ograniczonego przetargów na rozporządzanie nieruchomościami przez parki narodowe</w:t>
      </w:r>
      <w:r>
        <w:t>. Aktualnie dyrektorzy parków narodowych realizując dyspozycję art. 8b ust. 1 pkt 1 ustawy o ochronie przyrody na bieżąco analizują, określają i w miarę potrzeby korygują zidentyfikowane potrzeby przyrodnicze parku narodowego, umożliwiając jednocześnie pro</w:t>
      </w:r>
      <w:r>
        <w:t>wadzenie racjonalnych działań gospodarczych, które te potrzeby wyczerpują. Ponieważ ochrona siedlisk przyrodniczych wymaga ciągłości, stąd dyrektorzy parków narodowych ustalają możliwość dzierżawy określonych gruntów, zasięg dopuszczalnych metod gospodarow</w:t>
      </w:r>
      <w:r>
        <w:t>ania oraz inne specyficzne okoliczności związane z gospodarowaniem gruntami parków narodowych na bieżąco. Umowy dzierżawne wygasają m.in. z tych powodów, ale również z powodu zagadnień przejrzystości w gospodarowaniu gruntami Skarbu Państwa. Z dotychczasow</w:t>
      </w:r>
      <w:r>
        <w:t>ej praktyki nie wynika by stanowiło to zagrożenie dla ochrony siedlisk przyrodniczych. Nowy tryb przetargów ograniczonych pozwoli wyczerpać zgłoszony przez Państwa postulat przy zachowaniu przejrzystości postępowań przetargowych.</w:t>
      </w:r>
    </w:p>
    <w:p w14:paraId="2E810DA0" w14:textId="77777777" w:rsidR="00184FC9" w:rsidRDefault="00545C6F">
      <w:pPr>
        <w:pStyle w:val="Teksttreci20"/>
        <w:shd w:val="clear" w:color="auto" w:fill="auto"/>
        <w:spacing w:line="288" w:lineRule="exact"/>
        <w:jc w:val="both"/>
      </w:pPr>
      <w:r>
        <w:t>Co zaś się tyczy kwestii u</w:t>
      </w:r>
      <w:r>
        <w:t>wrażliwienia dyrektorów parków narodowych na potrzeby lokalnych producentów rolnych gospodarujących ekstensywnie informuję, że to zagadnienie jest uwzględniane przy okazji narad roboczych z dyrektorami parków narodowych.</w:t>
      </w:r>
      <w:r>
        <w:br w:type="page"/>
      </w:r>
    </w:p>
    <w:p w14:paraId="27F48553" w14:textId="77777777" w:rsidR="00184FC9" w:rsidRDefault="00545C6F">
      <w:pPr>
        <w:pStyle w:val="Teksttreci20"/>
        <w:shd w:val="clear" w:color="auto" w:fill="auto"/>
        <w:spacing w:after="120" w:line="288" w:lineRule="exact"/>
        <w:jc w:val="both"/>
      </w:pPr>
      <w:r>
        <w:lastRenderedPageBreak/>
        <w:t>Jednocześnie w opisywanych w wystą</w:t>
      </w:r>
      <w:r>
        <w:t>pieniu okolicznościach trudno dostrzec naruszenia norm konstytucyjnych. Zasada równego traktowania odnosi się bowiem do obywateli (adresatów norm) a nie przedmiotu, wobec którego te prawa doznają wykonania. Niewątpliwie bowiem, funkcjonujące przepisy nie d</w:t>
      </w:r>
      <w:r>
        <w:t>yskryminują osób lub podmiotów, biorących udział w systemie dzierżaw gruntów parków narodowych - wprowadzają inne zasady gospodarowania, co stanowi wyraz swobody legislacyjnej ustawodawcy. Tym samym, tylko dlatego, że wspomniany przez Państwa KOWR dopuszcz</w:t>
      </w:r>
      <w:r>
        <w:t>a (zgodnie z Państwa oświadczeniem) określony tryb postępowania z zarządzanymi przez siebie gruntami, natomiast dyrektorzy parków narodowych nie - wszyscy z uwagi na ramy ustawowe - nie oznacza, że z samej różnicy przewidzianych mechanizmów, zasada równego</w:t>
      </w:r>
      <w:r>
        <w:t xml:space="preserve"> traktowania doznaje uszczerbku. W granicach każdego z tych mechanizmów uczestnicy programów dzierżaw mają być traktowani równo, zaś opisana w wystąpieniu sytuacja w te uprawnienia nie godzi.</w:t>
      </w:r>
    </w:p>
    <w:p w14:paraId="6AAB7E97" w14:textId="77777777" w:rsidR="00184FC9" w:rsidRDefault="00545C6F">
      <w:pPr>
        <w:pStyle w:val="Teksttreci20"/>
        <w:shd w:val="clear" w:color="auto" w:fill="auto"/>
        <w:spacing w:after="120" w:line="288" w:lineRule="exact"/>
        <w:jc w:val="both"/>
      </w:pPr>
      <w:r>
        <w:t xml:space="preserve">Zgadzam się, że w wielu przypadkach powtarzalność stosowanych w </w:t>
      </w:r>
      <w:r>
        <w:t>parkach narodowych zabiegów może iść w parze z programami R-Ś-K, jednakże ich trwanie nie może narzucać sposobu postępowania dyrektorowi parku. Organ ochrony przyrody nie jest w żaden sposób związany umowami, które zawarł dzierżawca gruntów parków narodowy</w:t>
      </w:r>
      <w:r>
        <w:t>ch z instytucjami wsparcia produkcji rolniczej. Niemniej dyrektorzy parków narodowych dokładają wszelkich starań, by zachować kompatybilność nawiązywania umów dzierżaw gruntów z trwaniem zobowiązań R-Ś-K.</w:t>
      </w:r>
    </w:p>
    <w:p w14:paraId="502464F6" w14:textId="77777777" w:rsidR="00184FC9" w:rsidRDefault="00545C6F">
      <w:pPr>
        <w:pStyle w:val="Teksttreci20"/>
        <w:shd w:val="clear" w:color="auto" w:fill="auto"/>
        <w:spacing w:after="120" w:line="288" w:lineRule="exact"/>
        <w:jc w:val="both"/>
      </w:pPr>
      <w:r>
        <w:t>Na koniec wyjaśniam też, że grunty parków narodowyc</w:t>
      </w:r>
      <w:r>
        <w:t>h, stanowią własność Skarbu Państwa, natomiast znajdują się w użytkowaniu wieczystym konkretnych parków narodowych (państwowych osób prawnych - posiadających samodzielność administracyjną). Tym samym park narodowy włada nieruchomościami jak właściciel, a j</w:t>
      </w:r>
      <w:r>
        <w:t>edynie w określonych okolicznościach potrzebuje zgody organu nadzorującego na niektóre czynności związane z rozporządzaniem.</w:t>
      </w:r>
    </w:p>
    <w:p w14:paraId="1F41FFBF" w14:textId="77777777" w:rsidR="00184FC9" w:rsidRDefault="00545C6F">
      <w:pPr>
        <w:pStyle w:val="Teksttreci20"/>
        <w:shd w:val="clear" w:color="auto" w:fill="auto"/>
        <w:spacing w:after="155" w:line="288" w:lineRule="exact"/>
        <w:jc w:val="both"/>
      </w:pPr>
      <w:r>
        <w:t xml:space="preserve">Podsumowując, zarysowane w Państwa wystąpieniu problemy zostały uwzględnione we wspomnianej wyżej nowelizacji, choć w sposób </w:t>
      </w:r>
      <w:r>
        <w:t>nieco odmienny do proponowanego. Wyrażam przekonanie, że takie rozwiązanie jest wystarczające, by zaspokoić potrzeby tak Państwa - producentów rolnych, jak i przyrody.</w:t>
      </w:r>
    </w:p>
    <w:p w14:paraId="41FCF5B6" w14:textId="77777777" w:rsidR="00184FC9" w:rsidRDefault="00545C6F">
      <w:pPr>
        <w:pStyle w:val="Teksttreci40"/>
        <w:shd w:val="clear" w:color="auto" w:fill="auto"/>
        <w:spacing w:before="0" w:after="120"/>
        <w:ind w:left="4740"/>
        <w:jc w:val="left"/>
      </w:pPr>
      <w:r>
        <w:t>Z poważaniem</w:t>
      </w:r>
    </w:p>
    <w:p w14:paraId="206B3138" w14:textId="77777777" w:rsidR="00184FC9" w:rsidRDefault="00545C6F">
      <w:pPr>
        <w:pStyle w:val="Teksttreci40"/>
        <w:shd w:val="clear" w:color="auto" w:fill="auto"/>
        <w:spacing w:before="0" w:after="116"/>
        <w:ind w:left="4740"/>
        <w:jc w:val="left"/>
      </w:pPr>
      <w:r>
        <w:t>Z up. Ministra</w:t>
      </w:r>
    </w:p>
    <w:p w14:paraId="4B4BEC9D" w14:textId="77777777" w:rsidR="00184FC9" w:rsidRDefault="00545C6F">
      <w:pPr>
        <w:pStyle w:val="Teksttreci20"/>
        <w:shd w:val="clear" w:color="auto" w:fill="auto"/>
        <w:spacing w:line="250" w:lineRule="exact"/>
        <w:ind w:left="4740" w:right="2580"/>
      </w:pPr>
      <w:r>
        <w:t>Małgorzata Golińska Sekretarz Stanu</w:t>
      </w:r>
    </w:p>
    <w:p w14:paraId="3AC11083" w14:textId="77777777" w:rsidR="00184FC9" w:rsidRDefault="00545C6F">
      <w:pPr>
        <w:pStyle w:val="Teksttreci20"/>
        <w:shd w:val="clear" w:color="auto" w:fill="auto"/>
        <w:spacing w:after="535" w:line="250" w:lineRule="exact"/>
        <w:ind w:left="4740" w:right="1280"/>
      </w:pPr>
      <w:r>
        <w:t>Ministerstwo Klimatu i Ś</w:t>
      </w:r>
      <w:r>
        <w:t>rodowiska / - podpisany cyfrowo/</w:t>
      </w:r>
    </w:p>
    <w:p w14:paraId="1BA34463" w14:textId="77777777" w:rsidR="00184FC9" w:rsidRDefault="00545C6F">
      <w:pPr>
        <w:pStyle w:val="Teksttreci30"/>
        <w:shd w:val="clear" w:color="auto" w:fill="auto"/>
        <w:spacing w:after="0" w:line="206" w:lineRule="exact"/>
      </w:pPr>
      <w:r>
        <w:t>Do wiadomości:</w:t>
      </w:r>
    </w:p>
    <w:p w14:paraId="618358CA" w14:textId="77777777" w:rsidR="00184FC9" w:rsidRDefault="00545C6F">
      <w:pPr>
        <w:pStyle w:val="Teksttreci3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06" w:lineRule="exact"/>
        <w:ind w:left="420"/>
        <w:jc w:val="left"/>
      </w:pPr>
      <w:proofErr w:type="spellStart"/>
      <w:r>
        <w:t>MRiRW</w:t>
      </w:r>
      <w:proofErr w:type="spellEnd"/>
      <w:r>
        <w:t xml:space="preserve"> (SZ.mr.073.67.2021)</w:t>
      </w:r>
    </w:p>
    <w:p w14:paraId="06F21A86" w14:textId="77777777" w:rsidR="00184FC9" w:rsidRDefault="00545C6F">
      <w:pPr>
        <w:pStyle w:val="Teksttreci3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06" w:lineRule="exact"/>
        <w:ind w:left="420"/>
        <w:jc w:val="left"/>
      </w:pPr>
      <w:r>
        <w:t xml:space="preserve">Biuro Rzecznika </w:t>
      </w:r>
      <w:proofErr w:type="spellStart"/>
      <w:r>
        <w:t>MiŚP</w:t>
      </w:r>
      <w:proofErr w:type="spellEnd"/>
      <w:r>
        <w:t xml:space="preserve"> (WPL.316.2021.MŻ.MW)</w:t>
      </w:r>
    </w:p>
    <w:sectPr w:rsidR="00184FC9">
      <w:type w:val="continuous"/>
      <w:pgSz w:w="11900" w:h="16840"/>
      <w:pgMar w:top="1440" w:right="1380" w:bottom="1406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5F8" w14:textId="77777777" w:rsidR="00545C6F" w:rsidRDefault="00545C6F">
      <w:r>
        <w:separator/>
      </w:r>
    </w:p>
  </w:endnote>
  <w:endnote w:type="continuationSeparator" w:id="0">
    <w:p w14:paraId="62BA6178" w14:textId="77777777" w:rsidR="00545C6F" w:rsidRDefault="005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B83A" w14:textId="77777777" w:rsidR="00545C6F" w:rsidRDefault="00545C6F"/>
  </w:footnote>
  <w:footnote w:type="continuationSeparator" w:id="0">
    <w:p w14:paraId="4D5399BC" w14:textId="77777777" w:rsidR="00545C6F" w:rsidRDefault="00545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275"/>
    <w:multiLevelType w:val="multilevel"/>
    <w:tmpl w:val="8A0C5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C9"/>
    <w:rsid w:val="00184FC9"/>
    <w:rsid w:val="00545C6F"/>
    <w:rsid w:val="00C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43B33"/>
  <w15:docId w15:val="{B80604DA-06A3-4CE4-BC2A-6AB9BB1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98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80" w:after="14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2021-10-14T12:30:00Z</dcterms:created>
  <dcterms:modified xsi:type="dcterms:W3CDTF">2021-10-14T12:32:00Z</dcterms:modified>
</cp:coreProperties>
</file>