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FA4C" w14:textId="785963B9" w:rsidR="00CF7DB6" w:rsidRDefault="00C2260F">
      <w:pPr>
        <w:pStyle w:val="Teksttreci20"/>
        <w:shd w:val="clear" w:color="auto" w:fill="auto"/>
        <w:ind w:firstLine="0"/>
        <w:sectPr w:rsidR="00CF7DB6">
          <w:pgSz w:w="11900" w:h="16840"/>
          <w:pgMar w:top="1450" w:right="1400" w:bottom="1512" w:left="7731" w:header="0" w:footer="3" w:gutter="0"/>
          <w:cols w:space="720"/>
          <w:noEndnote/>
          <w:docGrid w:linePitch="360"/>
        </w:sectPr>
      </w:pPr>
      <w:r>
        <w:t>Warszawa, dnia 28-04-2022 r.</w:t>
      </w:r>
    </w:p>
    <w:p w14:paraId="4C1DD8E6" w14:textId="1853BB5A" w:rsidR="00CF7DB6" w:rsidRDefault="001A4483">
      <w:pPr>
        <w:spacing w:line="186" w:lineRule="exact"/>
        <w:rPr>
          <w:sz w:val="15"/>
          <w:szCs w:val="15"/>
        </w:rPr>
      </w:pPr>
      <w:r>
        <w:pict w14:anchorId="29D7C4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4.65pt;margin-top:-53.5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3016DE9A" w14:textId="77777777" w:rsidR="00CF7DB6" w:rsidRDefault="00CF7DB6">
      <w:pPr>
        <w:rPr>
          <w:sz w:val="2"/>
          <w:szCs w:val="2"/>
        </w:rPr>
        <w:sectPr w:rsidR="00CF7DB6">
          <w:type w:val="continuous"/>
          <w:pgSz w:w="11900" w:h="16840"/>
          <w:pgMar w:top="1386" w:right="0" w:bottom="1381" w:left="0" w:header="0" w:footer="3" w:gutter="0"/>
          <w:cols w:space="720"/>
          <w:noEndnote/>
          <w:docGrid w:linePitch="360"/>
        </w:sectPr>
      </w:pPr>
    </w:p>
    <w:p w14:paraId="78668BC4" w14:textId="77777777" w:rsidR="00CF7DB6" w:rsidRDefault="00C2260F">
      <w:pPr>
        <w:pStyle w:val="Nagwek10"/>
        <w:keepNext/>
        <w:keepLines/>
        <w:shd w:val="clear" w:color="auto" w:fill="auto"/>
        <w:spacing w:after="522"/>
      </w:pPr>
      <w:bookmarkStart w:id="0" w:name="bookmark0"/>
      <w:r>
        <w:t>Minister Klimatu i Środowiska</w:t>
      </w:r>
      <w:bookmarkEnd w:id="0"/>
    </w:p>
    <w:p w14:paraId="110CC588" w14:textId="77777777" w:rsidR="00CF7DB6" w:rsidRDefault="00C2260F">
      <w:pPr>
        <w:pStyle w:val="Teksttreci20"/>
        <w:shd w:val="clear" w:color="auto" w:fill="auto"/>
        <w:spacing w:after="2430"/>
        <w:ind w:firstLine="0"/>
      </w:pPr>
      <w:r>
        <w:t>DOP-WOŚ.053.1.2021 .KW</w:t>
      </w:r>
    </w:p>
    <w:p w14:paraId="3202B877" w14:textId="77777777" w:rsidR="00CF7DB6" w:rsidRDefault="00C2260F">
      <w:pPr>
        <w:pStyle w:val="Teksttreci30"/>
        <w:shd w:val="clear" w:color="auto" w:fill="auto"/>
        <w:spacing w:before="0" w:after="425"/>
      </w:pPr>
      <w:r>
        <w:t>Szanowny Panie,</w:t>
      </w:r>
    </w:p>
    <w:p w14:paraId="2D6B80B4" w14:textId="77777777" w:rsidR="00CF7DB6" w:rsidRDefault="00C2260F">
      <w:pPr>
        <w:pStyle w:val="Teksttreci20"/>
        <w:shd w:val="clear" w:color="auto" w:fill="auto"/>
        <w:spacing w:after="100" w:line="288" w:lineRule="exact"/>
        <w:ind w:firstLine="740"/>
        <w:jc w:val="both"/>
      </w:pPr>
      <w:r>
        <w:t xml:space="preserve">W odpowiedzi na petycję z dnia 13 kwietnia 2021 r., znak: KG SOP 8/2021, skierowaną do Ministra </w:t>
      </w:r>
      <w:r>
        <w:t>Sprawiedliwości, a następnie przekazaną według właściwości do Ministerstwa Klimatu i Środowiska pismem, znak: DLPK-I.070.24.2021 z dnia 20 kwietnia 2021 r., w sprawie nadania Służbie Ochrony Przyrody uprawnień m.in. do nakładania grzywien w drodze mandatów</w:t>
      </w:r>
      <w:r>
        <w:t xml:space="preserve"> karnych za wykroczenia przeciwko przepisom z zakresu ochrony przyrody, jak też odnośnie do propozycji zmian w prawie karnym i prawie wykroczeń w celu wyeliminowania przypadków nielegalnego postępowania z odpadami, przedstawiam następujące wyjaśnienia.</w:t>
      </w:r>
    </w:p>
    <w:p w14:paraId="10353A35" w14:textId="77777777" w:rsidR="00CF7DB6" w:rsidRDefault="00C2260F">
      <w:pPr>
        <w:pStyle w:val="Teksttreci20"/>
        <w:shd w:val="clear" w:color="auto" w:fill="auto"/>
        <w:spacing w:after="100" w:line="288" w:lineRule="exact"/>
        <w:ind w:firstLine="740"/>
        <w:jc w:val="both"/>
      </w:pPr>
      <w:r>
        <w:t>W z</w:t>
      </w:r>
      <w:r>
        <w:t>wiązku z występowaniem w ostatnim czasie nasilonego zjawiska nielegalnego postępowania z odpadami, Ministerstwo Klimatu i Środowiska podjęło intensywne działania mające na celu wyeliminowanie nieprawidłowości w gospodarce odpadami. Przygotowane zostały zmi</w:t>
      </w:r>
      <w:r>
        <w:t>any nowelizujące ustawę o odpadach (Dz.U. z 2021 r. poz. 779) i ustawę o Inspekcji Ochrony Środowiska (Dz.U. z 2020 r. poz. 995 ze zm.). Najważniejsze planowane zmiany w tym zakresie to :</w:t>
      </w:r>
    </w:p>
    <w:p w14:paraId="6506BB4C" w14:textId="77777777" w:rsidR="00CF7DB6" w:rsidRDefault="00C2260F">
      <w:pPr>
        <w:pStyle w:val="Teksttreci20"/>
        <w:numPr>
          <w:ilvl w:val="0"/>
          <w:numId w:val="1"/>
        </w:numPr>
        <w:shd w:val="clear" w:color="auto" w:fill="auto"/>
        <w:tabs>
          <w:tab w:val="left" w:pos="301"/>
        </w:tabs>
        <w:spacing w:line="288" w:lineRule="exact"/>
        <w:ind w:firstLine="0"/>
      </w:pPr>
      <w:r>
        <w:t>wprowadzenie przepisu umożliwiającego niezwłoczne usuwanie odpadów p</w:t>
      </w:r>
      <w:r>
        <w:t>rzez właściwe organy</w:t>
      </w:r>
    </w:p>
    <w:p w14:paraId="4E4C4DB7" w14:textId="77777777" w:rsidR="00CF7DB6" w:rsidRDefault="00C2260F">
      <w:pPr>
        <w:pStyle w:val="Teksttreci20"/>
        <w:shd w:val="clear" w:color="auto" w:fill="auto"/>
        <w:spacing w:after="145" w:line="288" w:lineRule="exact"/>
        <w:ind w:left="460" w:firstLine="0"/>
        <w:jc w:val="both"/>
      </w:pPr>
      <w:r>
        <w:t>ochrony środowiska ze względu na zagrożenie dla życia lub zdrowia ludzi, z obowiązkiem zwrotu kosztów przez posiadacza odpadów, z wprowadzeniem nowej możliwości wydatkowania środków Narodowego Funduszu Ochrony Środowiska i Gospodarki W</w:t>
      </w:r>
      <w:r>
        <w:t>odnej,</w:t>
      </w:r>
    </w:p>
    <w:p w14:paraId="604E5007" w14:textId="77777777" w:rsidR="00CF7DB6" w:rsidRDefault="00C2260F">
      <w:pPr>
        <w:pStyle w:val="Teksttreci20"/>
        <w:numPr>
          <w:ilvl w:val="0"/>
          <w:numId w:val="1"/>
        </w:numPr>
        <w:shd w:val="clear" w:color="auto" w:fill="auto"/>
        <w:tabs>
          <w:tab w:val="left" w:pos="325"/>
        </w:tabs>
        <w:spacing w:after="100"/>
        <w:ind w:firstLine="0"/>
      </w:pPr>
      <w:r>
        <w:t>wprowadzenie odpowiedzialności wytwórcy odpadów niebezpiecznych za gospodarowanie</w:t>
      </w:r>
    </w:p>
    <w:p w14:paraId="3761019F" w14:textId="77777777" w:rsidR="00CF7DB6" w:rsidRDefault="00C2260F">
      <w:pPr>
        <w:pStyle w:val="Teksttreci20"/>
        <w:shd w:val="clear" w:color="auto" w:fill="auto"/>
        <w:spacing w:after="51"/>
        <w:ind w:left="460" w:firstLine="0"/>
        <w:jc w:val="both"/>
      </w:pPr>
      <w:r>
        <w:t>odpadami aż do momentu ich odzysku lub unieszkodliwienia,</w:t>
      </w:r>
    </w:p>
    <w:p w14:paraId="1F880BE0" w14:textId="77777777" w:rsidR="00CF7DB6" w:rsidRDefault="00C2260F">
      <w:pPr>
        <w:pStyle w:val="Teksttreci20"/>
        <w:numPr>
          <w:ilvl w:val="0"/>
          <w:numId w:val="1"/>
        </w:numPr>
        <w:shd w:val="clear" w:color="auto" w:fill="auto"/>
        <w:tabs>
          <w:tab w:val="left" w:pos="325"/>
        </w:tabs>
        <w:spacing w:line="293" w:lineRule="exact"/>
        <w:ind w:firstLine="0"/>
      </w:pPr>
      <w:r>
        <w:t>wprowadzenie solidarnej odpowiedzialności dla wszystkich posiadaczy odpadów odpowiedzialnych</w:t>
      </w:r>
    </w:p>
    <w:p w14:paraId="413C656B" w14:textId="77777777" w:rsidR="00CF7DB6" w:rsidRDefault="00C2260F">
      <w:pPr>
        <w:pStyle w:val="Teksttreci20"/>
        <w:shd w:val="clear" w:color="auto" w:fill="auto"/>
        <w:spacing w:after="149" w:line="293" w:lineRule="exact"/>
        <w:ind w:left="460" w:firstLine="0"/>
        <w:jc w:val="both"/>
      </w:pPr>
      <w:r>
        <w:t xml:space="preserve">za </w:t>
      </w:r>
      <w:r>
        <w:t>gospodarowanie odpadami w przypadku obowiązku usunięcia odpadów z miejsca nieprzeznaczonego do ich składowania lub magazynowania,</w:t>
      </w:r>
    </w:p>
    <w:p w14:paraId="450B99EE" w14:textId="77777777" w:rsidR="00CF7DB6" w:rsidRDefault="00C2260F">
      <w:pPr>
        <w:pStyle w:val="Teksttreci20"/>
        <w:numPr>
          <w:ilvl w:val="0"/>
          <w:numId w:val="1"/>
        </w:numPr>
        <w:shd w:val="clear" w:color="auto" w:fill="auto"/>
        <w:tabs>
          <w:tab w:val="left" w:pos="325"/>
        </w:tabs>
        <w:spacing w:after="100"/>
        <w:ind w:firstLine="0"/>
      </w:pPr>
      <w:r>
        <w:t>wprowadzenie obowiązku posiadania zabezpieczenia roszczeń dla podmiotów prowadzących</w:t>
      </w:r>
    </w:p>
    <w:p w14:paraId="691D140E" w14:textId="77777777" w:rsidR="00CF7DB6" w:rsidRDefault="00C2260F">
      <w:pPr>
        <w:pStyle w:val="Teksttreci20"/>
        <w:shd w:val="clear" w:color="auto" w:fill="auto"/>
        <w:spacing w:after="100"/>
        <w:ind w:left="460" w:firstLine="0"/>
        <w:jc w:val="both"/>
      </w:pPr>
      <w:r>
        <w:t>zbieranie i przetwarzanie odpadów,</w:t>
      </w:r>
    </w:p>
    <w:p w14:paraId="1B9739B3" w14:textId="77777777" w:rsidR="00CF7DB6" w:rsidRDefault="00C2260F">
      <w:pPr>
        <w:pStyle w:val="Teksttreci20"/>
        <w:numPr>
          <w:ilvl w:val="0"/>
          <w:numId w:val="1"/>
        </w:numPr>
        <w:shd w:val="clear" w:color="auto" w:fill="auto"/>
        <w:tabs>
          <w:tab w:val="left" w:pos="325"/>
        </w:tabs>
        <w:spacing w:after="100"/>
        <w:ind w:firstLine="0"/>
      </w:pPr>
      <w:r>
        <w:t>wprowa</w:t>
      </w:r>
      <w:r>
        <w:t>dzenie obowiązku prowadzenia tzw. wizyjnego systemu kontroli miejsc magazynowania lub</w:t>
      </w:r>
    </w:p>
    <w:p w14:paraId="138D4EFD" w14:textId="77777777" w:rsidR="00CF7DB6" w:rsidRDefault="00C2260F">
      <w:pPr>
        <w:pStyle w:val="Teksttreci20"/>
        <w:shd w:val="clear" w:color="auto" w:fill="auto"/>
        <w:ind w:left="600" w:firstLine="0"/>
      </w:pPr>
      <w:r>
        <w:t>składowania odpadów,</w:t>
      </w:r>
      <w:r>
        <w:br w:type="page"/>
      </w:r>
    </w:p>
    <w:p w14:paraId="2F1BF3E9" w14:textId="77777777" w:rsidR="00CF7DB6" w:rsidRDefault="00C2260F">
      <w:pPr>
        <w:pStyle w:val="Teksttreci20"/>
        <w:numPr>
          <w:ilvl w:val="0"/>
          <w:numId w:val="1"/>
        </w:numPr>
        <w:shd w:val="clear" w:color="auto" w:fill="auto"/>
        <w:tabs>
          <w:tab w:val="left" w:pos="279"/>
        </w:tabs>
        <w:spacing w:after="75"/>
        <w:ind w:firstLine="0"/>
      </w:pPr>
      <w:r>
        <w:lastRenderedPageBreak/>
        <w:t>wprowadzenie przepisów dotyczących ochrony przeciwpożarowej miejsc magazynowania odpadów,</w:t>
      </w:r>
    </w:p>
    <w:p w14:paraId="5E690DBB" w14:textId="77777777" w:rsidR="00CF7DB6" w:rsidRDefault="00C2260F">
      <w:pPr>
        <w:pStyle w:val="Teksttreci20"/>
        <w:numPr>
          <w:ilvl w:val="0"/>
          <w:numId w:val="1"/>
        </w:numPr>
        <w:shd w:val="clear" w:color="auto" w:fill="auto"/>
        <w:tabs>
          <w:tab w:val="left" w:pos="279"/>
        </w:tabs>
        <w:spacing w:line="288" w:lineRule="exact"/>
        <w:ind w:firstLine="0"/>
      </w:pPr>
      <w:r>
        <w:t xml:space="preserve">nowe podstawy odmowy wydania przez organ właściwy </w:t>
      </w:r>
      <w:r>
        <w:t>decyzji na gospodarowanie odpadami</w:t>
      </w:r>
    </w:p>
    <w:p w14:paraId="7F40A1D6" w14:textId="77777777" w:rsidR="00CF7DB6" w:rsidRDefault="00C2260F">
      <w:pPr>
        <w:pStyle w:val="Teksttreci20"/>
        <w:shd w:val="clear" w:color="auto" w:fill="auto"/>
        <w:spacing w:after="165" w:line="288" w:lineRule="exact"/>
        <w:ind w:left="440" w:firstLine="0"/>
        <w:jc w:val="both"/>
      </w:pPr>
      <w:r>
        <w:t>w przypadku stwierdzenia naruszeń przepisów dot. gospodarki odpadami przez podmiot wnioskujący - tzw. „wilczy bilet”,</w:t>
      </w:r>
    </w:p>
    <w:p w14:paraId="6D8D85F3" w14:textId="77777777" w:rsidR="00CF7DB6" w:rsidRDefault="00C2260F">
      <w:pPr>
        <w:pStyle w:val="Teksttreci20"/>
        <w:numPr>
          <w:ilvl w:val="0"/>
          <w:numId w:val="1"/>
        </w:numPr>
        <w:shd w:val="clear" w:color="auto" w:fill="auto"/>
        <w:tabs>
          <w:tab w:val="left" w:pos="279"/>
        </w:tabs>
        <w:spacing w:after="120"/>
        <w:ind w:firstLine="0"/>
      </w:pPr>
      <w:r>
        <w:t>wzmocnienie sankcji dla podmiotów, które wielokrotnie naruszają przepisy z zakresu gospodarki</w:t>
      </w:r>
    </w:p>
    <w:p w14:paraId="6958BB2E" w14:textId="77777777" w:rsidR="00CF7DB6" w:rsidRDefault="00C2260F">
      <w:pPr>
        <w:pStyle w:val="Teksttreci20"/>
        <w:shd w:val="clear" w:color="auto" w:fill="auto"/>
        <w:spacing w:after="120"/>
        <w:ind w:left="740" w:hanging="300"/>
        <w:jc w:val="both"/>
      </w:pPr>
      <w:r>
        <w:t xml:space="preserve">odpadami </w:t>
      </w:r>
      <w:r>
        <w:t>- administracyjne kary pieniężne,</w:t>
      </w:r>
    </w:p>
    <w:p w14:paraId="0C11AFF3" w14:textId="77777777" w:rsidR="00CF7DB6" w:rsidRDefault="00C2260F">
      <w:pPr>
        <w:pStyle w:val="Teksttreci20"/>
        <w:numPr>
          <w:ilvl w:val="0"/>
          <w:numId w:val="1"/>
        </w:numPr>
        <w:shd w:val="clear" w:color="auto" w:fill="auto"/>
        <w:tabs>
          <w:tab w:val="left" w:pos="279"/>
        </w:tabs>
        <w:spacing w:after="71"/>
        <w:ind w:firstLine="0"/>
      </w:pPr>
      <w:r>
        <w:t>umożliwienie prowadzenia organom kontrolnym efektywnego nadzoru nad działalnością dotyczącą</w:t>
      </w:r>
    </w:p>
    <w:p w14:paraId="1D97C7C2" w14:textId="77777777" w:rsidR="00CF7DB6" w:rsidRDefault="00C2260F">
      <w:pPr>
        <w:pStyle w:val="Teksttreci20"/>
        <w:shd w:val="clear" w:color="auto" w:fill="auto"/>
        <w:spacing w:after="124" w:line="293" w:lineRule="exact"/>
        <w:ind w:left="440" w:firstLine="0"/>
        <w:jc w:val="both"/>
      </w:pPr>
      <w:r>
        <w:t>transportu odpadów (zmiany ustawy o Inspekcji Ochrony Środowiska, Prawo o ruchu drogowym oraz o transporcie drogowym).</w:t>
      </w:r>
    </w:p>
    <w:p w14:paraId="62D72615" w14:textId="77777777" w:rsidR="00CF7DB6" w:rsidRDefault="00C2260F">
      <w:pPr>
        <w:pStyle w:val="Teksttreci20"/>
        <w:shd w:val="clear" w:color="auto" w:fill="auto"/>
        <w:spacing w:after="120" w:line="288" w:lineRule="exact"/>
        <w:ind w:firstLine="740"/>
        <w:jc w:val="both"/>
      </w:pPr>
      <w:r>
        <w:t>Ponadto w r</w:t>
      </w:r>
      <w:r>
        <w:t>esorcie klimatu i środowiska trwają prace nad zmianą części przepisów rozdziału XXII ustawy z dnia 6 czerwca 1997 r. Kodeks karny (Dz. U. z 2019 r. poz. 1950 t. j.)., w tym art. 183, w którym zostały skodyfikowane przestępstwa przeciwko środowisku. Zgodnie</w:t>
      </w:r>
      <w:r>
        <w:t xml:space="preserve"> z projektowanymi zmianami, za niezgodne z prawem składowanie, usuwanie, przetwarzanie, odzysk, unieszkodliwianie i transport odpadów, które może zagrażać życiu lub zdrowiu człowieka lub spowodować istotne obniżenie jakości wody, powietrza, powierzchni zie</w:t>
      </w:r>
      <w:r>
        <w:t>mi lub zniszczenie w świecie roślinnym lub zwierzęcym, kara pozbawienia wolności ma zostać zmieniona z przedziału od 3 miesięcy do lat 5 na od roku do 10 lat.</w:t>
      </w:r>
    </w:p>
    <w:p w14:paraId="72DCCDD7" w14:textId="77777777" w:rsidR="00CF7DB6" w:rsidRDefault="00C2260F">
      <w:pPr>
        <w:pStyle w:val="Teksttreci20"/>
        <w:shd w:val="clear" w:color="auto" w:fill="auto"/>
        <w:spacing w:after="120" w:line="288" w:lineRule="exact"/>
        <w:ind w:firstLine="740"/>
        <w:jc w:val="both"/>
      </w:pPr>
      <w:r>
        <w:t>Proponowane zmiany przewidują też podwyższenie zakresu kary do granic od 1 roku do 10 lat pozbawi</w:t>
      </w:r>
      <w:r>
        <w:t>enia wolności (zamiast obecnie obowiązujących od 3 miesięcy do 5 lat) za nielegalne przywiezienie odpadów z zagranicy. Zaostrzeniu ulegnie także wysokość kary za czyn, polegający na nielegalnym przywiezieniu z zagranicy odpadów niebezpiecznych. Proponowana</w:t>
      </w:r>
      <w:r>
        <w:t xml:space="preserve"> zmiana w tym zakresie określa przedział kary pozbawienia wolności w granicach od lat 2 do lat 12 (zamiast obecnie obowiązujących od 6 miesięcy do lat 8).</w:t>
      </w:r>
    </w:p>
    <w:p w14:paraId="1BD1A59F" w14:textId="77777777" w:rsidR="00CF7DB6" w:rsidRDefault="00C2260F">
      <w:pPr>
        <w:pStyle w:val="Teksttreci20"/>
        <w:shd w:val="clear" w:color="auto" w:fill="auto"/>
        <w:spacing w:after="120" w:line="288" w:lineRule="exact"/>
        <w:ind w:firstLine="740"/>
        <w:jc w:val="both"/>
      </w:pPr>
      <w:r>
        <w:t>Jednocześnie w projekcie określono nową granicę kary za ww. czyny popełnione poprzez nieumyślne dział</w:t>
      </w:r>
      <w:r>
        <w:t>ania sprawcy, tj. wskazano że tego rodzaju czyny zabronione mogą podlegać karze pozbawienia wolności do lat 5 (obecne brzmienie Kodeksu karnego wskazuje jako granice kary 2 lata).</w:t>
      </w:r>
    </w:p>
    <w:p w14:paraId="54CB899F" w14:textId="77777777" w:rsidR="00CF7DB6" w:rsidRDefault="00C2260F">
      <w:pPr>
        <w:pStyle w:val="Teksttreci20"/>
        <w:shd w:val="clear" w:color="auto" w:fill="auto"/>
        <w:spacing w:after="120" w:line="288" w:lineRule="exact"/>
        <w:ind w:firstLine="740"/>
        <w:jc w:val="both"/>
      </w:pPr>
      <w:r>
        <w:t xml:space="preserve">W projekcie proponuje się również zmianę przepisów art. 185, w którym </w:t>
      </w:r>
      <w:r>
        <w:t>skodyfikowano czyny o charakterze kwalifikowanym - określającym podwyższone ramy karalności dla czynów (polegające m. in. na nielegalnym postępowaniu z odpadami), których następstwem jest:</w:t>
      </w:r>
    </w:p>
    <w:p w14:paraId="1F6B6FD5" w14:textId="77777777" w:rsidR="00CF7DB6" w:rsidRDefault="00C2260F">
      <w:pPr>
        <w:pStyle w:val="Teksttreci20"/>
        <w:numPr>
          <w:ilvl w:val="0"/>
          <w:numId w:val="2"/>
        </w:numPr>
        <w:shd w:val="clear" w:color="auto" w:fill="auto"/>
        <w:tabs>
          <w:tab w:val="left" w:pos="792"/>
        </w:tabs>
        <w:spacing w:after="120" w:line="288" w:lineRule="exact"/>
        <w:ind w:left="740" w:hanging="300"/>
        <w:jc w:val="both"/>
      </w:pPr>
      <w:r>
        <w:t>zniszczenie w świecie roślinnym lub zwierzęcym w znacznych rozmiara</w:t>
      </w:r>
      <w:r>
        <w:t>ch lub istotne obniżenie jakości wody, powietrza lub powierzchni ziemi - obecnie sprawca takiego czynu podlega karze od 6 miesięcy do lat 8. Nowelizacja podwyższa granice kary, wskazując że taki sprawca podlega karze pozbawienia wolności w granicach od lat</w:t>
      </w:r>
      <w:r>
        <w:t xml:space="preserve"> 2 do lat 12;</w:t>
      </w:r>
    </w:p>
    <w:p w14:paraId="77ADF466" w14:textId="77777777" w:rsidR="00CF7DB6" w:rsidRDefault="00C2260F">
      <w:pPr>
        <w:pStyle w:val="Teksttreci20"/>
        <w:numPr>
          <w:ilvl w:val="0"/>
          <w:numId w:val="2"/>
        </w:numPr>
        <w:shd w:val="clear" w:color="auto" w:fill="auto"/>
        <w:tabs>
          <w:tab w:val="left" w:pos="792"/>
        </w:tabs>
        <w:spacing w:after="120" w:line="288" w:lineRule="exact"/>
        <w:ind w:left="740" w:hanging="300"/>
        <w:jc w:val="both"/>
      </w:pPr>
      <w:r>
        <w:t>ciężki uszczerbek na zdrowiu człowieka - obecnie sprawca takiego czynu podlega karze od roku do lat 10. Nowelizacja podwyższa granice kary, wskazując że taki sprawca podlega karze pozbawienia wolności w granicach od 2 lat do lat 15;</w:t>
      </w:r>
    </w:p>
    <w:p w14:paraId="6785EBD5" w14:textId="77777777" w:rsidR="00CF7DB6" w:rsidRDefault="00C2260F">
      <w:pPr>
        <w:pStyle w:val="Teksttreci20"/>
        <w:numPr>
          <w:ilvl w:val="0"/>
          <w:numId w:val="2"/>
        </w:numPr>
        <w:shd w:val="clear" w:color="auto" w:fill="auto"/>
        <w:tabs>
          <w:tab w:val="left" w:pos="792"/>
        </w:tabs>
        <w:spacing w:after="116" w:line="288" w:lineRule="exact"/>
        <w:ind w:left="740" w:hanging="300"/>
        <w:jc w:val="both"/>
      </w:pPr>
      <w:r>
        <w:t>śmierć cz</w:t>
      </w:r>
      <w:r>
        <w:t>łowieka lub ciężki uszczerbek na zdrowiu wielu osób - obecnie sprawca takiego czynu podlega karze od 2 lat do lat 12. Nowelizacja podwyższa granice kary, wskazując że taki sprawca podlega karze pozbawienia wolności w granicach od 2 lat do lat 15 albo karze</w:t>
      </w:r>
      <w:r>
        <w:t xml:space="preserve"> 25 lat pozbawienia wolności.</w:t>
      </w:r>
    </w:p>
    <w:p w14:paraId="17B5311C" w14:textId="77777777" w:rsidR="00CF7DB6" w:rsidRDefault="00C2260F">
      <w:pPr>
        <w:pStyle w:val="Teksttreci20"/>
        <w:shd w:val="clear" w:color="auto" w:fill="auto"/>
        <w:spacing w:after="120" w:line="293" w:lineRule="exact"/>
        <w:ind w:firstLine="740"/>
        <w:jc w:val="both"/>
      </w:pPr>
      <w:r>
        <w:t>Ponadto, przygotowana nowelizacja dotyczy zmiany art. 182 Kodeksu karnego, w którym zostało skodyfikowane przestępstwo przeciwko środowisku penalizujące czyny polegające na zanieczyszczeniu wody, powietrza lub powierzchni ziem</w:t>
      </w:r>
      <w:r>
        <w:t>i substancją albo promieniowaniem jonizującym w takiej ilości lub w takiej postaci, że może to zagrozić życiu lub zdrowiu człowieka lub spowodować istotne obniżenie jakości wody, powietrza lub powierzchni ziemi lub zniszczenie w świecie roślinnym lub zwier</w:t>
      </w:r>
      <w:r>
        <w:t xml:space="preserve">zęcym w znacznych </w:t>
      </w:r>
      <w:r>
        <w:lastRenderedPageBreak/>
        <w:t>rozmiarach. Zmiana będzie wprowadzać nowe granice karalności czynu, tj. od roku do 10 lat (obecnie jest to kara w granicach od 3 miesięcy do lat 5).</w:t>
      </w:r>
    </w:p>
    <w:p w14:paraId="1D29B3C6" w14:textId="77777777" w:rsidR="00CF7DB6" w:rsidRDefault="00C2260F">
      <w:pPr>
        <w:pStyle w:val="Teksttreci20"/>
        <w:shd w:val="clear" w:color="auto" w:fill="auto"/>
        <w:spacing w:after="124" w:line="293" w:lineRule="exact"/>
        <w:ind w:firstLine="760"/>
        <w:jc w:val="both"/>
      </w:pPr>
      <w:r>
        <w:t>Nowelizacją objęto również art. 181 i 186 Kodeksu karnego. Zmiany tych przepisów mają cha</w:t>
      </w:r>
      <w:r>
        <w:t>rakter porządkujący i ujednolicający podejście w zakresie sankcjonowania czynów w nich wskazanych.</w:t>
      </w:r>
    </w:p>
    <w:p w14:paraId="63E27A09" w14:textId="77777777" w:rsidR="00CF7DB6" w:rsidRDefault="00C2260F">
      <w:pPr>
        <w:pStyle w:val="Teksttreci20"/>
        <w:shd w:val="clear" w:color="auto" w:fill="auto"/>
        <w:spacing w:after="120" w:line="288" w:lineRule="exact"/>
        <w:ind w:firstLine="760"/>
        <w:jc w:val="both"/>
      </w:pPr>
      <w:r>
        <w:t>Proponuje się również wprowadzenie obligatoryjnego nałożenia na sprawców przestępstw środowiskowych obowiązku wypłacenia nawiązki na rzecz Narodowego Fundusz</w:t>
      </w:r>
      <w:r>
        <w:t>u Ochrony Środowiska i Gospodarki Wodnej w kwocie od 10 tys. do 10 milionów złotych. Środki posłużą nie tylko do usuwania skutków działalności przestępczej, ale także zasilą programy mające na celu poprawę jakości powietrza w Polce.</w:t>
      </w:r>
    </w:p>
    <w:p w14:paraId="02709393" w14:textId="77777777" w:rsidR="00CF7DB6" w:rsidRDefault="00C2260F">
      <w:pPr>
        <w:pStyle w:val="Teksttreci20"/>
        <w:shd w:val="clear" w:color="auto" w:fill="auto"/>
        <w:spacing w:after="124" w:line="288" w:lineRule="exact"/>
        <w:ind w:firstLine="760"/>
        <w:jc w:val="both"/>
      </w:pPr>
      <w:r>
        <w:t>W projektowanych przepi</w:t>
      </w:r>
      <w:r>
        <w:t>sach planuje się wprowadzić również mechanizmy aktywizujące przestępców środowiskowych do usuwania negatywnych skutków popełnionego czynu. Założeniem jest aby przestępcy, którzy nielegalnie zgromadzili odpady, na swój koszt dokonywali ich usunięcia i prawi</w:t>
      </w:r>
      <w:r>
        <w:t>dłowego zagospodarowania. Taką zachętą do naprawienia wyrządzonej szkody będzie możliwość zastosowania wobec sprawców czynów, którzy usunęli negatywne skutki swojej przestępczej działalności, nadzwyczajnego złagodzenia kary, a nawet odstąpienia od jej wymi</w:t>
      </w:r>
      <w:r>
        <w:t>erzenia.</w:t>
      </w:r>
    </w:p>
    <w:p w14:paraId="33DA1BE3" w14:textId="77777777" w:rsidR="00CF7DB6" w:rsidRDefault="00C2260F">
      <w:pPr>
        <w:pStyle w:val="Teksttreci20"/>
        <w:shd w:val="clear" w:color="auto" w:fill="auto"/>
        <w:spacing w:after="116" w:line="283" w:lineRule="exact"/>
        <w:ind w:firstLine="760"/>
        <w:jc w:val="both"/>
      </w:pPr>
      <w:r>
        <w:t>Oprócz ww. zmian, projektowana ustawa ma zawierać także nowelizację ustawy z dnia 20 maja 1971 r. Kodeks wykroczeń (Dz. U. z 2021 r. poz. 281 ze zm.) m.in. w następującym zakresie:</w:t>
      </w:r>
    </w:p>
    <w:p w14:paraId="516C90C2" w14:textId="77777777" w:rsidR="00CF7DB6" w:rsidRDefault="00C2260F">
      <w:pPr>
        <w:pStyle w:val="Teksttreci20"/>
        <w:numPr>
          <w:ilvl w:val="0"/>
          <w:numId w:val="2"/>
        </w:numPr>
        <w:shd w:val="clear" w:color="auto" w:fill="auto"/>
        <w:tabs>
          <w:tab w:val="left" w:pos="774"/>
        </w:tabs>
        <w:spacing w:after="116" w:line="288" w:lineRule="exact"/>
        <w:ind w:left="760" w:hanging="340"/>
        <w:jc w:val="both"/>
      </w:pPr>
      <w:r>
        <w:t xml:space="preserve">art. 82 §3, w którym wskazano, że wykroczenie popełnia ten, kto </w:t>
      </w:r>
      <w:r>
        <w:t>na terenie lasu, na terenach śródleśnych, na obszarze łąk, torfowisk i wrzosowisk, jak również w odległości do 100 m od nich roznieca ogień poza miejscami wyznaczonymi do tego celu albo pali tytoń, z wyjątkiem miejsc na drogach utwardzonych i miejsc wyznac</w:t>
      </w:r>
      <w:r>
        <w:t>zonych do pobytu ludzi. Zmiana dotyczy rozszerzenia katalogu kar poprzez dodanie kary ograniczenia wolności. Dodatkowo do tego artykułu zostanie dodany §3a, który będzie wskazywał na obligatoryjne orzekanie w takich sytuacjach środka wychowawczego w postac</w:t>
      </w:r>
      <w:r>
        <w:t>i obowiązku przywrócenia do stanu poprzedniego;</w:t>
      </w:r>
    </w:p>
    <w:p w14:paraId="4CFA4349" w14:textId="77777777" w:rsidR="00CF7DB6" w:rsidRDefault="00C2260F">
      <w:pPr>
        <w:pStyle w:val="Teksttreci20"/>
        <w:numPr>
          <w:ilvl w:val="0"/>
          <w:numId w:val="2"/>
        </w:numPr>
        <w:shd w:val="clear" w:color="auto" w:fill="auto"/>
        <w:tabs>
          <w:tab w:val="left" w:pos="774"/>
        </w:tabs>
        <w:spacing w:after="124" w:line="293" w:lineRule="exact"/>
        <w:ind w:left="760" w:hanging="340"/>
        <w:jc w:val="both"/>
      </w:pPr>
      <w:r>
        <w:t>art. 162 §1, w którym wskazano, że wykroczenie popełnia ten, kto w lasach zanieczyszcza glebę lub wodę albo wyrzuca do lasu kamienie, śmieci, złom, padlinę lub inne nieczystości, albo w inny sposób zaśmieca l</w:t>
      </w:r>
      <w:r>
        <w:t>as. Zmiana dotyczy rozszerzenia katalogu kar poprzez dodanie kary ograniczenia wolności oraz podwyższenia wysokości możliwej do orzeczenia grzywny do 5 tys. zł;</w:t>
      </w:r>
    </w:p>
    <w:p w14:paraId="37F41512" w14:textId="77777777" w:rsidR="00CF7DB6" w:rsidRDefault="00C2260F">
      <w:pPr>
        <w:pStyle w:val="Teksttreci20"/>
        <w:numPr>
          <w:ilvl w:val="0"/>
          <w:numId w:val="2"/>
        </w:numPr>
        <w:shd w:val="clear" w:color="auto" w:fill="auto"/>
        <w:tabs>
          <w:tab w:val="left" w:pos="774"/>
        </w:tabs>
        <w:spacing w:after="120" w:line="288" w:lineRule="exact"/>
        <w:ind w:left="760" w:hanging="340"/>
        <w:jc w:val="both"/>
      </w:pPr>
      <w:r>
        <w:t xml:space="preserve">art. 162 §2, w którym wskazano, że wykroczenie popełnia ten, kto zakopuje, zatapia, odprowadza </w:t>
      </w:r>
      <w:r>
        <w:t xml:space="preserve">do gruntu w lasach lub w inny sposób składuje w lesie odpady. Zmiana dotyczy rozszerzenia katalogu kar poprzez dodanie kary ograniczenia wolności oraz podwyższenia wysokości możliwej do orzeczenia grzywny do 5 tys. zł. W przypadku art. 162 </w:t>
      </w:r>
      <w:proofErr w:type="spellStart"/>
      <w:r>
        <w:t>Kw</w:t>
      </w:r>
      <w:proofErr w:type="spellEnd"/>
      <w:r>
        <w:t xml:space="preserve"> także wprowad</w:t>
      </w:r>
      <w:r>
        <w:t>za się obligatoryjne orzekanie przez sądy w obu ww. przypadkach środka wychowawczego w postaci obowiązku przywrócenia do stanu poprzedniego.</w:t>
      </w:r>
    </w:p>
    <w:p w14:paraId="29D92D4E" w14:textId="77777777" w:rsidR="00CF7DB6" w:rsidRDefault="00C2260F">
      <w:pPr>
        <w:pStyle w:val="Teksttreci20"/>
        <w:shd w:val="clear" w:color="auto" w:fill="auto"/>
        <w:spacing w:after="120" w:line="288" w:lineRule="exact"/>
        <w:ind w:firstLine="760"/>
        <w:jc w:val="both"/>
      </w:pPr>
      <w:r>
        <w:t>Natomiast odnosząc się do problemu pozostawiania śmieci w lasach należy wskazać, że istniejące przepisy określają k</w:t>
      </w:r>
      <w:r>
        <w:t>ary za zaśmiecanie lasu. Zgodnie z art. 162 ustawy Kodeks wykroczeń kto w lasach zanieczyszcza glebę lub wodę albo wyrzuca do lasu kamienie, śmieci, złom, padlinę lub inne nieczystości, albo w inny sposób zaśmieca las, podlega karze grzywny albo karze naga</w:t>
      </w:r>
      <w:r>
        <w:t>ny. Jeżeli czyn sprawcy polega na zakopywaniu, zatapianiu, odprowadzaniu do gruntu w lasach lub w inny sposób składowaniu w lesie odpadów, sprawca podlega karze aresztu albo grzywny, a ponadto orzekana jest nawiązka - do wysokości równej kosztom rekultywac</w:t>
      </w:r>
      <w:r>
        <w:t>ji gleby, oczyszczenia wody, wydobycia, wykopania, usunięcia z lasu, a także zniszczenia lub neutralizacji odpadów.</w:t>
      </w:r>
    </w:p>
    <w:p w14:paraId="0BABD40B" w14:textId="77777777" w:rsidR="00CF7DB6" w:rsidRDefault="00C2260F">
      <w:pPr>
        <w:pStyle w:val="Teksttreci20"/>
        <w:shd w:val="clear" w:color="auto" w:fill="auto"/>
        <w:spacing w:after="120" w:line="288" w:lineRule="exact"/>
        <w:ind w:firstLine="760"/>
        <w:jc w:val="both"/>
      </w:pPr>
      <w:r>
        <w:t xml:space="preserve">W kwestii działalności Państwowego Gospodarstwa Leśnego Lasy Państwowe należy wskazać, że Straż Leśna posiada kompetencje, w ramach </w:t>
      </w:r>
      <w:r>
        <w:t xml:space="preserve">których mieści się m.in. możliwość nakładania oraz pobierania </w:t>
      </w:r>
      <w:r>
        <w:lastRenderedPageBreak/>
        <w:t>grzywien, w drodze mandatu karnego, w sprawach i w zakresie określonych odrębnymi przepisami. W ramach patroli Straży Leśnej, przy współpracy z innymi służbami mundurowymi, możliwe jest ujawnian</w:t>
      </w:r>
      <w:r>
        <w:t>ie przypadków szkodnictwa, kłusownictwa, kradzieży oraz zaśmiecania. Interwencje podejmowane są także zgodnie ze wskazaniami innych pracowników nadleśnictwa, a także na podstawie zgłoszeń pochodzących od mieszkańców danego terenu. Dużym wsparciem w zwalcza</w:t>
      </w:r>
      <w:r>
        <w:t>niu wykroczeń związanych z zaśmiecaniem lasu jest również, coraz bardziej powszechna, instalacja monitoringu wizyjnego w lasach. Należy przy tym podkreślić, że Państwowe Gospodarstwo Leśne Lasy Państwowe ponosi koszty usuwania wyrzuconych do lasów śmieci i</w:t>
      </w:r>
      <w:r>
        <w:t xml:space="preserve"> odpadów, które rocznie kształtują się na poziomie ok. 20 mln zł.</w:t>
      </w:r>
    </w:p>
    <w:p w14:paraId="59F26124" w14:textId="77777777" w:rsidR="00CF7DB6" w:rsidRDefault="00C2260F">
      <w:pPr>
        <w:pStyle w:val="Teksttreci20"/>
        <w:shd w:val="clear" w:color="auto" w:fill="auto"/>
        <w:spacing w:after="120" w:line="288" w:lineRule="exact"/>
        <w:ind w:firstLine="760"/>
        <w:jc w:val="both"/>
      </w:pPr>
      <w:r>
        <w:t xml:space="preserve">Ponadto, Lasy Państwowe organizują akcje informacyjno-edukacyjne, dotyczące m.in. problemu zaśmiecania lasu. Jedną z ostatnich jest ogólnopolska akcja „Zabierz 5 z lasu”. W ramach tej akcji </w:t>
      </w:r>
      <w:r>
        <w:t xml:space="preserve">Lasy Państwowe zachęcają odwiedzających las do zebrania - podczas spaceru czy pikniku - 5 szt. śmieci, aby następnie wyrzucić je do leśnego lub swojego pojemnika na śmieci. Akcja ma na celu kształtowanie nawyku dbania o środowisko oraz zmniejszenie liczby </w:t>
      </w:r>
      <w:r>
        <w:t>odpadów pozostawianych w lasach. Jednostki Lasów Państwowych organizują corocznie również akcje sadzenia lasu, angażując przy tym wiele lokalnych grup społecznych.</w:t>
      </w:r>
    </w:p>
    <w:p w14:paraId="4285964B" w14:textId="77777777" w:rsidR="00CF7DB6" w:rsidRDefault="00C2260F">
      <w:pPr>
        <w:pStyle w:val="Teksttreci20"/>
        <w:shd w:val="clear" w:color="auto" w:fill="auto"/>
        <w:spacing w:after="120" w:line="288" w:lineRule="exact"/>
        <w:ind w:firstLine="760"/>
        <w:jc w:val="both"/>
      </w:pPr>
      <w:r>
        <w:t>Odnosząc się natomiast do kwestii wspomagania działań Straży Leśnej i Służby Leśnej oraz Str</w:t>
      </w:r>
      <w:r>
        <w:t>aży Miejskiej i Policji w zakresie zwalczania nielegalnego handlu schwytanymi ptakami chronionymi oraz zwalczania nielegalnego handlu roślinami chronionymi, pragnę wskazać, iż w przypadku podejrzenia naruszenia przepisów z zakresu ochrony gatunkowej, incyd</w:t>
      </w:r>
      <w:r>
        <w:t xml:space="preserve">ent taki należy zgłosić do organów ścigania, gdyż do prowadzenia czynności wyjaśniających w zakresie postępowania w sprawach o wykroczenia na mocy ustawy z dnia 24 sierpnia 2001 r. Kodeks postępowania w sprawach o wykroczenia (Dz. U. 2020 poz. 729 t. j.), </w:t>
      </w:r>
      <w:r>
        <w:t>uprawniona jest przede wszystkim Policja. Natomiast, zgodnie z art. 131 pkt 14 ustawy z dnia 16 kwietnia 2004 r. o ochronie przyrody (Dz. U. 2020 poz. 55 ze zm.), naruszenie obowiązujących zakazów w stosunku do roślin, grzybów i zwierząt objętych ochroną g</w:t>
      </w:r>
      <w:r>
        <w:t>atunkową bez zezwolenia lub wbrew jego warunkom, podlega karze aresztu albo grzywny. Orzekanie w sprawach naruszania zakazów obowiązujących w stosunku do roślin, zwierząt lub grzybów objętych ochroną gatunkową, następuje na podstawie przepisów ustawy Kodek</w:t>
      </w:r>
      <w:r>
        <w:t>s postępowania w sprawach o wykroczenia, a zgodnie z art. 9 § 1 ww. Kodeksu, w sprawach o wykroczenia w pierwszej instancji orzeka sąd rejonowy. W przypadku znacznych rozmiarów zniszczeń w świecie roślinnym lub zwierzęcym, w tym w gatunkach objętych ochron</w:t>
      </w:r>
      <w:r>
        <w:t>ą, rozstrzyganie opiera się na podstawie art. 181 ustawy Kodeks karny.</w:t>
      </w:r>
    </w:p>
    <w:p w14:paraId="19E38A86" w14:textId="77777777" w:rsidR="00CF7DB6" w:rsidRDefault="00C2260F">
      <w:pPr>
        <w:pStyle w:val="Teksttreci20"/>
        <w:shd w:val="clear" w:color="auto" w:fill="auto"/>
        <w:spacing w:after="120" w:line="288" w:lineRule="exact"/>
        <w:ind w:firstLine="760"/>
        <w:jc w:val="both"/>
      </w:pPr>
      <w:r>
        <w:t xml:space="preserve">Tym niemniej warto zwrócić uwagę, że zgodnie z art. 4 ust. 1 ustawy o ochronie przyrody każdy jest zobowiązany do ochrony przyrody, co oznacza, że każdy dowiedziawszy się o popełnieniu </w:t>
      </w:r>
      <w:r>
        <w:t>przestępstwa ściganego z urzędu ma społeczny obowiązek zawiadomić o tym prokuratora lub Policję - art. 304 § 1 ustawy z dnia 6 czerwca 1997 r. Kodeks postępowania karnego (Dz. U. z 2020 r. poz. 30).</w:t>
      </w:r>
    </w:p>
    <w:p w14:paraId="4945F0E6" w14:textId="77777777" w:rsidR="00CF7DB6" w:rsidRDefault="00C2260F">
      <w:pPr>
        <w:pStyle w:val="Teksttreci20"/>
        <w:shd w:val="clear" w:color="auto" w:fill="auto"/>
        <w:spacing w:after="125" w:line="288" w:lineRule="exact"/>
        <w:ind w:firstLine="760"/>
        <w:jc w:val="both"/>
      </w:pPr>
      <w:r>
        <w:t xml:space="preserve">Warto zaznaczyć, że w celu zwiększenia świadomości wśród </w:t>
      </w:r>
      <w:r>
        <w:t>innych organów odnośnie istnienia ww. norm prawnych i zwiększenia egzekwowania naruszeń tych norm, Generalna Dyrekcja Ochrony Środowiska realizuje projekt LIFE15 GIE/PL/000758 pn. "Masz prawo do skutecznej ochrony przyrody", finansowany ze środków Programu</w:t>
      </w:r>
      <w:r>
        <w:t xml:space="preserve"> LIFE oraz ze środków Narodowego Funduszu Ochrony Środowiska i Gospodarki Wodnej. Celem projektu jest podwyższenie poziomu świadomości i wiedzy organów zaangażowanych w prawne aspekty ochrony przyrody, poprawa koordynacji ich działań oraz ułatwienie egzekw</w:t>
      </w:r>
      <w:r>
        <w:t>owania prawa w zakresie ochrony przyrody. Cel zostanie osiągnięty poprzez realizację pilotażowych działań edukacyjnych i informacyjnych skierowanych do tych podmiotów. Od roku 2018 w ramach projektu prowadzone są szkolenia dla Policji. Program szkoleń obej</w:t>
      </w:r>
      <w:r>
        <w:t>muje m.in.: analizę przepisów dotyczących form ochrony przyrody i aktów prawnych dotyczących ochrony gatunkowej, zagadnienia z zakresu wycinki drzew i postępowania w sytuacji, gdy drzewo jest siedliskiem chronionych gatunków zwierząt, roślin lub grzybów or</w:t>
      </w:r>
      <w:r>
        <w:t>az przybliżenie schematu podejmowania czynności przy prowadzeniu postępowań w sprawie przestępstw i wykroczeń przeciwko przyrodzie. Główne grupy docelowe działań projektu to:</w:t>
      </w:r>
    </w:p>
    <w:p w14:paraId="1B378691" w14:textId="77777777" w:rsidR="00CF7DB6" w:rsidRDefault="00C2260F">
      <w:pPr>
        <w:pStyle w:val="Teksttreci20"/>
        <w:numPr>
          <w:ilvl w:val="0"/>
          <w:numId w:val="2"/>
        </w:numPr>
        <w:shd w:val="clear" w:color="auto" w:fill="auto"/>
        <w:tabs>
          <w:tab w:val="left" w:pos="751"/>
        </w:tabs>
        <w:spacing w:line="307" w:lineRule="exact"/>
        <w:ind w:left="760"/>
      </w:pPr>
      <w:r>
        <w:lastRenderedPageBreak/>
        <w:t>organy ścigania (m.in. Komenda Główna Policji, komendy wojewódzkie),</w:t>
      </w:r>
    </w:p>
    <w:p w14:paraId="3C322871" w14:textId="77777777" w:rsidR="00CF7DB6" w:rsidRDefault="00C2260F">
      <w:pPr>
        <w:pStyle w:val="Teksttreci20"/>
        <w:numPr>
          <w:ilvl w:val="0"/>
          <w:numId w:val="2"/>
        </w:numPr>
        <w:shd w:val="clear" w:color="auto" w:fill="auto"/>
        <w:tabs>
          <w:tab w:val="left" w:pos="751"/>
        </w:tabs>
        <w:spacing w:line="307" w:lineRule="exact"/>
        <w:ind w:left="760"/>
      </w:pPr>
      <w:r>
        <w:t>prokuratura (m.in. Prokuratura Krajowa, prokuratury regionalne, prokuratury okręgowe),</w:t>
      </w:r>
    </w:p>
    <w:p w14:paraId="6B4640A1" w14:textId="77777777" w:rsidR="00CF7DB6" w:rsidRDefault="00C2260F">
      <w:pPr>
        <w:pStyle w:val="Teksttreci20"/>
        <w:numPr>
          <w:ilvl w:val="0"/>
          <w:numId w:val="2"/>
        </w:numPr>
        <w:shd w:val="clear" w:color="auto" w:fill="auto"/>
        <w:tabs>
          <w:tab w:val="left" w:pos="751"/>
        </w:tabs>
        <w:spacing w:line="307" w:lineRule="exact"/>
        <w:ind w:left="760"/>
      </w:pPr>
      <w:r>
        <w:t xml:space="preserve">podmioty zaangażowane w ochronę przyrody (m.in. GDOŚ, </w:t>
      </w:r>
      <w:proofErr w:type="spellStart"/>
      <w:r>
        <w:t>rdoś</w:t>
      </w:r>
      <w:proofErr w:type="spellEnd"/>
      <w:r>
        <w:t xml:space="preserve">, GIOŚ, </w:t>
      </w:r>
      <w:proofErr w:type="spellStart"/>
      <w:r>
        <w:t>wioś</w:t>
      </w:r>
      <w:proofErr w:type="spellEnd"/>
      <w:r>
        <w:t xml:space="preserve"> i inne),</w:t>
      </w:r>
    </w:p>
    <w:p w14:paraId="012A4891" w14:textId="77777777" w:rsidR="00CF7DB6" w:rsidRDefault="00C2260F">
      <w:pPr>
        <w:pStyle w:val="Teksttreci20"/>
        <w:numPr>
          <w:ilvl w:val="0"/>
          <w:numId w:val="2"/>
        </w:numPr>
        <w:shd w:val="clear" w:color="auto" w:fill="auto"/>
        <w:tabs>
          <w:tab w:val="left" w:pos="751"/>
        </w:tabs>
        <w:spacing w:line="307" w:lineRule="exact"/>
        <w:ind w:left="760"/>
      </w:pPr>
      <w:r>
        <w:t>organy sądownicze (m.in. sądy okręgowe, sądy administracyjne),</w:t>
      </w:r>
    </w:p>
    <w:p w14:paraId="4E2EA1B1" w14:textId="77777777" w:rsidR="00CF7DB6" w:rsidRDefault="00C2260F">
      <w:pPr>
        <w:pStyle w:val="Teksttreci20"/>
        <w:numPr>
          <w:ilvl w:val="0"/>
          <w:numId w:val="2"/>
        </w:numPr>
        <w:shd w:val="clear" w:color="auto" w:fill="auto"/>
        <w:tabs>
          <w:tab w:val="left" w:pos="751"/>
        </w:tabs>
        <w:spacing w:after="420" w:line="288" w:lineRule="exact"/>
        <w:ind w:left="760"/>
      </w:pPr>
      <w:r>
        <w:t>inne podmioty (w tym organ</w:t>
      </w:r>
      <w:r>
        <w:t>izacje społeczne), które mogą występować na prawach strony w postępowaniach dotyczących ochrony przyrody.</w:t>
      </w:r>
    </w:p>
    <w:p w14:paraId="6DFDD3EC" w14:textId="77777777" w:rsidR="00CF7DB6" w:rsidRDefault="00C2260F">
      <w:pPr>
        <w:pStyle w:val="Teksttreci20"/>
        <w:shd w:val="clear" w:color="auto" w:fill="auto"/>
        <w:spacing w:after="455" w:line="288" w:lineRule="exact"/>
        <w:ind w:left="180" w:firstLine="580"/>
        <w:jc w:val="both"/>
      </w:pPr>
      <w:r>
        <w:t>Reasumując, należy zwrócić uwagę, że w obowiązującym stanie prawnym Służba Ochrony Przyrody nie jest organem administracji uprawnionym do kontroli prz</w:t>
      </w:r>
      <w:r>
        <w:t xml:space="preserve">estrzegania przepisów o ochronie przyrody, co oznacza, że nie ma podstaw do przyznania jej uprawnień właściwych dla tych organów. Niemniej dla zwiększenia efektywności wykrywania wykroczeń dot. ochrony gatunkowej zasadnym jest bieżące informowanie organów </w:t>
      </w:r>
      <w:r>
        <w:t>ścigania o wszelkich podejrzanych sytuacjach zarówno przez organy ochrony przyrody, jak i stronę społeczną jaką jest Straż Ochrony Przyrody.</w:t>
      </w:r>
    </w:p>
    <w:p w14:paraId="3DB7FB1F" w14:textId="77777777" w:rsidR="00CF7DB6" w:rsidRDefault="00C2260F">
      <w:pPr>
        <w:pStyle w:val="Teksttreci30"/>
        <w:shd w:val="clear" w:color="auto" w:fill="auto"/>
        <w:spacing w:before="0" w:after="140"/>
        <w:ind w:left="4720"/>
      </w:pPr>
      <w:r>
        <w:t>Z poważaniem,</w:t>
      </w:r>
    </w:p>
    <w:p w14:paraId="5629ADCD" w14:textId="77777777" w:rsidR="00CF7DB6" w:rsidRDefault="00C2260F">
      <w:pPr>
        <w:pStyle w:val="Teksttreci30"/>
        <w:shd w:val="clear" w:color="auto" w:fill="auto"/>
        <w:spacing w:before="0" w:after="116"/>
        <w:ind w:left="4720"/>
      </w:pPr>
      <w:r>
        <w:t>Z upoważnienia Ministra</w:t>
      </w:r>
    </w:p>
    <w:p w14:paraId="17FD6DA3" w14:textId="77777777" w:rsidR="00CF7DB6" w:rsidRDefault="00C2260F">
      <w:pPr>
        <w:pStyle w:val="Teksttreci40"/>
        <w:shd w:val="clear" w:color="auto" w:fill="auto"/>
        <w:spacing w:before="0"/>
        <w:ind w:left="4720" w:right="2220"/>
      </w:pPr>
      <w:r>
        <w:t>Małgorzata Golińska Sekretarz Stanu</w:t>
      </w:r>
    </w:p>
    <w:p w14:paraId="7063C9B9" w14:textId="77777777" w:rsidR="00CF7DB6" w:rsidRDefault="00C2260F">
      <w:pPr>
        <w:pStyle w:val="Teksttreci40"/>
        <w:shd w:val="clear" w:color="auto" w:fill="auto"/>
        <w:spacing w:before="0" w:after="4575"/>
        <w:ind w:left="4720" w:right="1000"/>
      </w:pPr>
      <w:r>
        <w:t>Ministerstwo Klimatu i Środowiska / - pod</w:t>
      </w:r>
      <w:r>
        <w:t>pisany cyfrowo/</w:t>
      </w:r>
    </w:p>
    <w:p w14:paraId="3F3EB14C" w14:textId="77777777" w:rsidR="00CF7DB6" w:rsidRDefault="00C2260F">
      <w:pPr>
        <w:pStyle w:val="Teksttreci50"/>
        <w:shd w:val="clear" w:color="auto" w:fill="auto"/>
        <w:spacing w:before="0"/>
        <w:ind w:firstLine="0"/>
      </w:pPr>
      <w:r>
        <w:t>Do wiadomości:</w:t>
      </w:r>
    </w:p>
    <w:p w14:paraId="63248A72" w14:textId="77777777" w:rsidR="00CF7DB6" w:rsidRDefault="00C2260F">
      <w:pPr>
        <w:pStyle w:val="Teksttreci50"/>
        <w:numPr>
          <w:ilvl w:val="0"/>
          <w:numId w:val="3"/>
        </w:numPr>
        <w:shd w:val="clear" w:color="auto" w:fill="auto"/>
        <w:tabs>
          <w:tab w:val="left" w:pos="751"/>
        </w:tabs>
        <w:spacing w:before="0"/>
        <w:ind w:left="760"/>
        <w:jc w:val="left"/>
      </w:pPr>
      <w:r>
        <w:t>Biuro Kontroli i Audytu Wewnętrznego, Ministerstwo Klimatu i Środowiska</w:t>
      </w:r>
    </w:p>
    <w:p w14:paraId="0BE02F74" w14:textId="77777777" w:rsidR="00CF7DB6" w:rsidRDefault="00C2260F">
      <w:pPr>
        <w:pStyle w:val="Teksttreci50"/>
        <w:numPr>
          <w:ilvl w:val="0"/>
          <w:numId w:val="3"/>
        </w:numPr>
        <w:shd w:val="clear" w:color="auto" w:fill="auto"/>
        <w:tabs>
          <w:tab w:val="left" w:pos="751"/>
        </w:tabs>
        <w:spacing w:before="0"/>
        <w:ind w:left="760"/>
        <w:jc w:val="left"/>
      </w:pPr>
      <w:r>
        <w:t>Departament Legislacyjny Prawa Karnego, Ministerstwo Sprawiedliwości</w:t>
      </w:r>
    </w:p>
    <w:p w14:paraId="3289282B" w14:textId="77777777" w:rsidR="00CF7DB6" w:rsidRDefault="00C2260F">
      <w:pPr>
        <w:pStyle w:val="Podpistabeli0"/>
        <w:framePr w:w="8011" w:wrap="notBeside" w:vAnchor="text" w:hAnchor="text" w:y="1"/>
        <w:shd w:val="clear" w:color="auto" w:fill="auto"/>
      </w:pPr>
      <w:r>
        <w:lastRenderedPageBreak/>
        <w:t>Potwierdzam zgodność kopii z dokumentem elektronicznym: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5"/>
        <w:gridCol w:w="5006"/>
      </w:tblGrid>
      <w:tr w:rsidR="00CF7DB6" w14:paraId="4906957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6C7D8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Teksttreci212pt"/>
              </w:rPr>
              <w:t xml:space="preserve">Identyfikator </w:t>
            </w:r>
            <w:r>
              <w:rPr>
                <w:rStyle w:val="Teksttreci212pt"/>
              </w:rPr>
              <w:t>dokumentu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BD9B96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</w:pPr>
            <w:r>
              <w:rPr>
                <w:rStyle w:val="Teksttreci212pt"/>
              </w:rPr>
              <w:t>1569423.5292860.5952572</w:t>
            </w:r>
          </w:p>
        </w:tc>
      </w:tr>
      <w:tr w:rsidR="00CF7DB6" w14:paraId="2BD1DEC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0FD7A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Teksttreci212pt"/>
              </w:rPr>
              <w:t>Nazwa dokumentu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905D6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</w:pPr>
            <w:r>
              <w:rPr>
                <w:rStyle w:val="Teksttreci212pt"/>
              </w:rPr>
              <w:t>odp. do</w:t>
            </w:r>
          </w:p>
        </w:tc>
      </w:tr>
      <w:tr w:rsidR="00CF7DB6" w14:paraId="57582EF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B36D4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Teksttreci212pt"/>
              </w:rPr>
              <w:t>Tytuł dokumentu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33D02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</w:pPr>
            <w:r>
              <w:rPr>
                <w:rStyle w:val="Teksttreci212pt"/>
              </w:rPr>
              <w:t>odp. do</w:t>
            </w:r>
          </w:p>
        </w:tc>
      </w:tr>
      <w:tr w:rsidR="00CF7DB6" w14:paraId="4EE6C96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ED79A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Teksttreci212pt"/>
              </w:rPr>
              <w:t>Sygnatura dokumentu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722448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</w:pPr>
            <w:r>
              <w:rPr>
                <w:rStyle w:val="Teksttreci212pt"/>
              </w:rPr>
              <w:t>DOP-WOŚ.053.1.2021</w:t>
            </w:r>
          </w:p>
        </w:tc>
      </w:tr>
      <w:tr w:rsidR="00CF7DB6" w14:paraId="270A248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86562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Teksttreci212pt"/>
              </w:rPr>
              <w:t>Data dokumentu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E61D98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</w:pPr>
            <w:r>
              <w:rPr>
                <w:rStyle w:val="Teksttreci212pt"/>
              </w:rPr>
              <w:t>2022-04-28 19:44:01</w:t>
            </w:r>
          </w:p>
        </w:tc>
      </w:tr>
      <w:tr w:rsidR="00CF7DB6" w14:paraId="5D6E6CA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79CB1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Teksttreci212pt"/>
              </w:rPr>
              <w:t>Skrót dokumentu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309BE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</w:pPr>
            <w:r>
              <w:rPr>
                <w:rStyle w:val="Teksttreci212pt"/>
              </w:rPr>
              <w:t>1D07B110752360A8FABA3F92D004D7414B7</w:t>
            </w:r>
          </w:p>
          <w:p w14:paraId="748996E3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</w:pPr>
            <w:r>
              <w:rPr>
                <w:rStyle w:val="Teksttreci212pt"/>
              </w:rPr>
              <w:t>2387C</w:t>
            </w:r>
          </w:p>
        </w:tc>
      </w:tr>
      <w:tr w:rsidR="00CF7DB6" w14:paraId="5AFEAF3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A91E3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Teksttreci212pt"/>
              </w:rPr>
              <w:t>Wersja dokumentu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BA826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</w:pPr>
            <w:r>
              <w:rPr>
                <w:rStyle w:val="Teksttreci212pt"/>
              </w:rPr>
              <w:t>1.25</w:t>
            </w:r>
          </w:p>
        </w:tc>
      </w:tr>
      <w:tr w:rsidR="00CF7DB6" w14:paraId="1977BA7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4C318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Teksttreci212pt"/>
              </w:rPr>
              <w:t xml:space="preserve">Data </w:t>
            </w:r>
            <w:r>
              <w:rPr>
                <w:rStyle w:val="Teksttreci212pt"/>
              </w:rPr>
              <w:t>podpisu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0D6210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</w:pPr>
            <w:r>
              <w:rPr>
                <w:rStyle w:val="Teksttreci212pt"/>
              </w:rPr>
              <w:t>2022-04-28</w:t>
            </w:r>
          </w:p>
        </w:tc>
      </w:tr>
      <w:tr w:rsidR="00CF7DB6" w14:paraId="54319F83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9E324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Teksttreci212pt"/>
              </w:rPr>
              <w:t>Podpisane przez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BA97B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74" w:lineRule="exact"/>
              <w:ind w:firstLine="0"/>
            </w:pPr>
            <w:r>
              <w:rPr>
                <w:rStyle w:val="Teksttreci212pt"/>
              </w:rPr>
              <w:t>Małgorzata Golińska; Ministerstwo Środowiska Sekretarz Stanu</w:t>
            </w:r>
          </w:p>
        </w:tc>
      </w:tr>
      <w:tr w:rsidR="00CF7DB6" w14:paraId="2F69B94D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1378A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66" w:lineRule="exact"/>
              <w:ind w:firstLine="0"/>
              <w:jc w:val="right"/>
            </w:pPr>
            <w:r>
              <w:rPr>
                <w:rStyle w:val="Teksttreci212pt"/>
              </w:rPr>
              <w:t>Rodzaj certyfikatu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C5F88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274" w:lineRule="exact"/>
              <w:ind w:firstLine="0"/>
            </w:pPr>
            <w:r>
              <w:rPr>
                <w:rStyle w:val="Teksttreci212pt"/>
              </w:rPr>
              <w:t>Certyfikat kwalifikowany podpisu elektronicznego karta</w:t>
            </w:r>
          </w:p>
        </w:tc>
      </w:tr>
      <w:tr w:rsidR="00CF7DB6" w14:paraId="481F7D7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69119" w14:textId="77777777" w:rsidR="00CF7DB6" w:rsidRDefault="00CF7DB6">
            <w:pPr>
              <w:framePr w:w="801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9228E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Teksttreci275pt"/>
              </w:rPr>
              <w:t>EZD 3.104.37.37.20575</w:t>
            </w:r>
          </w:p>
        </w:tc>
      </w:tr>
      <w:tr w:rsidR="00CF7DB6" w14:paraId="071B423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C72C6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Teksttreci275pt0"/>
              </w:rPr>
              <w:t>Data wydruku: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C1982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166" w:lineRule="exact"/>
              <w:ind w:firstLine="0"/>
            </w:pPr>
            <w:r>
              <w:rPr>
                <w:rStyle w:val="Teksttreci275pt0"/>
              </w:rPr>
              <w:t>2022-04-29 08:41:08</w:t>
            </w:r>
          </w:p>
        </w:tc>
      </w:tr>
      <w:tr w:rsidR="00CF7DB6" w14:paraId="41FFEA1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C7A4A6" w14:textId="77777777" w:rsidR="00CF7DB6" w:rsidRDefault="00C2260F">
            <w:pPr>
              <w:pStyle w:val="Teksttreci20"/>
              <w:framePr w:w="8011" w:wrap="notBeside" w:vAnchor="text" w:hAnchor="text" w:y="1"/>
              <w:shd w:val="clear" w:color="auto" w:fill="auto"/>
              <w:spacing w:line="166" w:lineRule="exact"/>
              <w:ind w:firstLine="0"/>
              <w:jc w:val="right"/>
            </w:pPr>
            <w:r>
              <w:rPr>
                <w:rStyle w:val="Teksttreci275pt0"/>
              </w:rPr>
              <w:t>Autor wydruku: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45363" w14:textId="77777777" w:rsidR="00CF7DB6" w:rsidRDefault="00CF7DB6">
            <w:pPr>
              <w:framePr w:w="8011" w:wrap="notBeside" w:vAnchor="text" w:hAnchor="text" w:y="1"/>
              <w:rPr>
                <w:sz w:val="10"/>
                <w:szCs w:val="10"/>
              </w:rPr>
            </w:pPr>
          </w:p>
        </w:tc>
      </w:tr>
    </w:tbl>
    <w:p w14:paraId="11C32D46" w14:textId="77777777" w:rsidR="00CF7DB6" w:rsidRDefault="00CF7DB6">
      <w:pPr>
        <w:framePr w:w="8011" w:wrap="notBeside" w:vAnchor="text" w:hAnchor="text" w:y="1"/>
        <w:rPr>
          <w:sz w:val="2"/>
          <w:szCs w:val="2"/>
        </w:rPr>
      </w:pPr>
    </w:p>
    <w:p w14:paraId="07AC9885" w14:textId="77777777" w:rsidR="00CF7DB6" w:rsidRDefault="00CF7DB6">
      <w:pPr>
        <w:rPr>
          <w:sz w:val="2"/>
          <w:szCs w:val="2"/>
        </w:rPr>
      </w:pPr>
    </w:p>
    <w:p w14:paraId="0363E1BD" w14:textId="77777777" w:rsidR="00CF7DB6" w:rsidRDefault="00CF7DB6">
      <w:pPr>
        <w:rPr>
          <w:sz w:val="2"/>
          <w:szCs w:val="2"/>
        </w:rPr>
      </w:pPr>
    </w:p>
    <w:sectPr w:rsidR="00CF7DB6">
      <w:type w:val="continuous"/>
      <w:pgSz w:w="11900" w:h="16840"/>
      <w:pgMar w:top="1386" w:right="1375" w:bottom="1381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E9B5" w14:textId="77777777" w:rsidR="00C2260F" w:rsidRDefault="00C2260F">
      <w:r>
        <w:separator/>
      </w:r>
    </w:p>
  </w:endnote>
  <w:endnote w:type="continuationSeparator" w:id="0">
    <w:p w14:paraId="61F4A6C7" w14:textId="77777777" w:rsidR="00C2260F" w:rsidRDefault="00C2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B1B0B" w14:textId="77777777" w:rsidR="00C2260F" w:rsidRDefault="00C2260F"/>
  </w:footnote>
  <w:footnote w:type="continuationSeparator" w:id="0">
    <w:p w14:paraId="37B52E17" w14:textId="77777777" w:rsidR="00C2260F" w:rsidRDefault="00C226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9D8"/>
    <w:multiLevelType w:val="multilevel"/>
    <w:tmpl w:val="F432B0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13CE"/>
    <w:multiLevelType w:val="multilevel"/>
    <w:tmpl w:val="D5CC79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4B323E"/>
    <w:multiLevelType w:val="multilevel"/>
    <w:tmpl w:val="5C3CE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4115227">
    <w:abstractNumId w:val="2"/>
  </w:num>
  <w:num w:numId="2" w16cid:durableId="1705206001">
    <w:abstractNumId w:val="0"/>
  </w:num>
  <w:num w:numId="3" w16cid:durableId="68101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DB6"/>
    <w:rsid w:val="001A4483"/>
    <w:rsid w:val="00C2260F"/>
    <w:rsid w:val="00C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FA8A52"/>
  <w15:docId w15:val="{864CD7B0-8896-4C09-A455-1FDCC440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12pt">
    <w:name w:val="Tekst treści (2) + 1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6969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75pt0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60" w:line="31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440" w:after="460" w:line="24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40" w:line="274" w:lineRule="exact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540" w:line="230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2284</Words>
  <Characters>13710</Characters>
  <Application>Microsoft Office Word</Application>
  <DocSecurity>0</DocSecurity>
  <Lines>114</Lines>
  <Paragraphs>31</Paragraphs>
  <ScaleCrop>false</ScaleCrop>
  <Company/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2022-04-29T08:30:00Z</dcterms:created>
  <dcterms:modified xsi:type="dcterms:W3CDTF">2022-04-29T08:31:00Z</dcterms:modified>
</cp:coreProperties>
</file>