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60AB7" w14:textId="34CFE78A" w:rsidR="00E436E4" w:rsidRDefault="0096395C" w:rsidP="001E2F41">
      <w:pPr>
        <w:pStyle w:val="Nagwek10"/>
        <w:keepNext/>
        <w:keepLines/>
        <w:shd w:val="clear" w:color="auto" w:fill="auto"/>
        <w:spacing w:after="93"/>
        <w:ind w:left="180" w:right="5720"/>
        <w:jc w:val="center"/>
      </w:pPr>
      <w:bookmarkStart w:id="0" w:name="bookmark0"/>
      <w:r>
        <w:t>Ministerstwo</w:t>
      </w:r>
      <w:r w:rsidR="001E2F41">
        <w:t xml:space="preserve"> </w:t>
      </w:r>
      <w:r>
        <w:t>Klimatu i Środowiska</w:t>
      </w:r>
      <w:bookmarkEnd w:id="0"/>
    </w:p>
    <w:p w14:paraId="2615F7D5" w14:textId="77777777" w:rsidR="00E436E4" w:rsidRDefault="0096395C" w:rsidP="001E2F41">
      <w:pPr>
        <w:pStyle w:val="Nagwek20"/>
        <w:keepNext/>
        <w:keepLines/>
        <w:shd w:val="clear" w:color="auto" w:fill="auto"/>
        <w:spacing w:before="0" w:after="133"/>
      </w:pPr>
      <w:bookmarkStart w:id="1" w:name="bookmark1"/>
      <w:r>
        <w:t>Departament Odnawialnych Źródeł Energii</w:t>
      </w:r>
      <w:bookmarkEnd w:id="1"/>
    </w:p>
    <w:p w14:paraId="33D168D7" w14:textId="77777777" w:rsidR="00E436E4" w:rsidRDefault="0096395C">
      <w:pPr>
        <w:pStyle w:val="Teksttreci20"/>
        <w:shd w:val="clear" w:color="auto" w:fill="auto"/>
        <w:spacing w:before="0"/>
      </w:pPr>
      <w:r>
        <w:t>Warszawa, dnia 10-03-2021 r.</w:t>
      </w:r>
    </w:p>
    <w:p w14:paraId="03AFDE5F" w14:textId="77777777" w:rsidR="00E436E4" w:rsidRDefault="0096395C">
      <w:pPr>
        <w:pStyle w:val="Teksttreci20"/>
        <w:shd w:val="clear" w:color="auto" w:fill="auto"/>
        <w:spacing w:before="0" w:after="0"/>
        <w:jc w:val="both"/>
      </w:pPr>
      <w:r>
        <w:t>DOZE-III.053.3.2021.ŁZ</w:t>
      </w:r>
    </w:p>
    <w:p w14:paraId="0CF282F6" w14:textId="77777777" w:rsidR="00E436E4" w:rsidRDefault="0096395C">
      <w:pPr>
        <w:pStyle w:val="Teksttreci30"/>
        <w:shd w:val="clear" w:color="auto" w:fill="auto"/>
        <w:spacing w:after="2287"/>
      </w:pPr>
      <w:r>
        <w:t>1434196</w:t>
      </w:r>
      <w:r>
        <w:rPr>
          <w:rStyle w:val="Teksttreci35pt"/>
        </w:rPr>
        <w:t>.</w:t>
      </w:r>
      <w:r>
        <w:t>4901808.3902977</w:t>
      </w:r>
    </w:p>
    <w:p w14:paraId="4E96BD6E" w14:textId="77777777" w:rsidR="00E436E4" w:rsidRDefault="0096395C">
      <w:pPr>
        <w:pStyle w:val="Teksttreci40"/>
        <w:shd w:val="clear" w:color="auto" w:fill="auto"/>
        <w:spacing w:before="0" w:after="163"/>
      </w:pPr>
      <w:r>
        <w:t>Szanowny Panie Prezesie,</w:t>
      </w:r>
    </w:p>
    <w:p w14:paraId="07EE094B" w14:textId="77777777" w:rsidR="00E436E4" w:rsidRDefault="0096395C">
      <w:pPr>
        <w:pStyle w:val="Teksttreci20"/>
        <w:shd w:val="clear" w:color="auto" w:fill="auto"/>
        <w:spacing w:before="0" w:after="80" w:line="413" w:lineRule="exact"/>
        <w:ind w:firstLine="740"/>
        <w:jc w:val="both"/>
      </w:pPr>
      <w:r>
        <w:t xml:space="preserve">W odpowiedzi na pismo dotyczące zmiany obecnie obowiązujących </w:t>
      </w:r>
      <w:r>
        <w:t>regulacji prawnych z zakresu odbiorcy przemysłowego, proszę przyjąć następujące wyjaśnienia.</w:t>
      </w:r>
    </w:p>
    <w:p w14:paraId="51E73E0A" w14:textId="77777777" w:rsidR="00E436E4" w:rsidRDefault="0096395C">
      <w:pPr>
        <w:pStyle w:val="Teksttreci20"/>
        <w:shd w:val="clear" w:color="auto" w:fill="auto"/>
        <w:tabs>
          <w:tab w:val="center" w:pos="1590"/>
          <w:tab w:val="right" w:pos="2401"/>
          <w:tab w:val="center" w:pos="2708"/>
          <w:tab w:val="right" w:pos="3630"/>
          <w:tab w:val="left" w:pos="3799"/>
          <w:tab w:val="right" w:pos="6650"/>
          <w:tab w:val="left" w:pos="6818"/>
          <w:tab w:val="center" w:pos="7571"/>
          <w:tab w:val="center" w:pos="8186"/>
          <w:tab w:val="right" w:pos="9050"/>
        </w:tabs>
        <w:spacing w:before="0" w:after="0" w:line="413" w:lineRule="exact"/>
        <w:ind w:firstLine="740"/>
        <w:jc w:val="both"/>
      </w:pPr>
      <w:r>
        <w:t xml:space="preserve">Ustawa z dnia 20 lutego 2015 roku o odnawialnych źródłach energii ( Dz.U. z 2020 r. poz. 261, z </w:t>
      </w:r>
      <w:proofErr w:type="spellStart"/>
      <w:r>
        <w:t>późn</w:t>
      </w:r>
      <w:proofErr w:type="spellEnd"/>
      <w:r>
        <w:t>. zm.), dalej „ustawa o OZE” definiuje kim jest odbiorca przemy</w:t>
      </w:r>
      <w:r>
        <w:t>słowy. Zgodnie z art. 52 ustawy o OZE wskazuje się, iż jednym z elementów obligatoryjnych uznania odbiorcy końcowego za odbiorcę przemysłowego jest wykonywanie przeważającej działalności określonej w Polskiej Klasyfikacji Działalności (PKD) oznaczonej nast</w:t>
      </w:r>
      <w:r>
        <w:t>ępującymi kodami: 0510; 0729; 0811; 0891; 0893; 0899; 1032; 1039; 1041; 1062; 1104; 1106; 1310; 1320; 1394; 1395;</w:t>
      </w:r>
      <w:r>
        <w:tab/>
        <w:t>1411;</w:t>
      </w:r>
      <w:r>
        <w:tab/>
        <w:t>1610;</w:t>
      </w:r>
      <w:r>
        <w:tab/>
        <w:t>1621;</w:t>
      </w:r>
      <w:r>
        <w:tab/>
        <w:t>1711;</w:t>
      </w:r>
      <w:r>
        <w:tab/>
        <w:t>1712; 1722; 1920; 2012;</w:t>
      </w:r>
      <w:r>
        <w:tab/>
        <w:t>2013;</w:t>
      </w:r>
      <w:r>
        <w:tab/>
        <w:t>2014;</w:t>
      </w:r>
      <w:r>
        <w:tab/>
        <w:t>2015;</w:t>
      </w:r>
      <w:r>
        <w:tab/>
        <w:t>2016;</w:t>
      </w:r>
      <w:r>
        <w:tab/>
        <w:t>2017;</w:t>
      </w:r>
    </w:p>
    <w:p w14:paraId="2F43DD86" w14:textId="77777777" w:rsidR="00E436E4" w:rsidRDefault="0096395C">
      <w:pPr>
        <w:pStyle w:val="Teksttreci20"/>
        <w:shd w:val="clear" w:color="auto" w:fill="auto"/>
        <w:tabs>
          <w:tab w:val="center" w:pos="1590"/>
          <w:tab w:val="right" w:pos="2401"/>
          <w:tab w:val="center" w:pos="2708"/>
          <w:tab w:val="right" w:pos="3630"/>
          <w:tab w:val="left" w:pos="3794"/>
          <w:tab w:val="right" w:pos="6650"/>
          <w:tab w:val="left" w:pos="6814"/>
          <w:tab w:val="center" w:pos="7571"/>
          <w:tab w:val="center" w:pos="8186"/>
          <w:tab w:val="right" w:pos="9050"/>
        </w:tabs>
        <w:spacing w:before="0" w:after="0" w:line="413" w:lineRule="exact"/>
        <w:jc w:val="both"/>
      </w:pPr>
      <w:r>
        <w:t>2060; 2110;</w:t>
      </w:r>
      <w:r>
        <w:tab/>
        <w:t>2221;</w:t>
      </w:r>
      <w:r>
        <w:tab/>
        <w:t>2222;</w:t>
      </w:r>
      <w:r>
        <w:tab/>
        <w:t>2311;</w:t>
      </w:r>
      <w:r>
        <w:tab/>
        <w:t>2312;</w:t>
      </w:r>
      <w:r>
        <w:tab/>
        <w:t>2313; 2314; 2319; 2320;</w:t>
      </w:r>
      <w:r>
        <w:tab/>
      </w:r>
      <w:r>
        <w:t>2331;</w:t>
      </w:r>
      <w:r>
        <w:tab/>
        <w:t>2342;</w:t>
      </w:r>
      <w:r>
        <w:tab/>
        <w:t>2343;</w:t>
      </w:r>
      <w:r>
        <w:tab/>
        <w:t>2349;</w:t>
      </w:r>
      <w:r>
        <w:tab/>
        <w:t>2399;</w:t>
      </w:r>
    </w:p>
    <w:p w14:paraId="599639FD" w14:textId="77777777" w:rsidR="00E436E4" w:rsidRDefault="0096395C">
      <w:pPr>
        <w:pStyle w:val="Teksttreci20"/>
        <w:shd w:val="clear" w:color="auto" w:fill="auto"/>
        <w:tabs>
          <w:tab w:val="center" w:pos="1590"/>
          <w:tab w:val="right" w:pos="2401"/>
          <w:tab w:val="center" w:pos="2708"/>
          <w:tab w:val="right" w:pos="3630"/>
          <w:tab w:val="left" w:pos="3794"/>
          <w:tab w:val="right" w:pos="6650"/>
          <w:tab w:val="left" w:pos="6814"/>
          <w:tab w:val="center" w:pos="7571"/>
          <w:tab w:val="center" w:pos="8186"/>
          <w:tab w:val="right" w:pos="9050"/>
        </w:tabs>
        <w:spacing w:before="0" w:after="80" w:line="413" w:lineRule="exact"/>
        <w:jc w:val="both"/>
      </w:pPr>
      <w:r>
        <w:t>2410; 2420;</w:t>
      </w:r>
      <w:r>
        <w:tab/>
        <w:t>2431;</w:t>
      </w:r>
      <w:r>
        <w:tab/>
        <w:t>2432;</w:t>
      </w:r>
      <w:r>
        <w:tab/>
        <w:t>2434;</w:t>
      </w:r>
      <w:r>
        <w:tab/>
        <w:t>2441;</w:t>
      </w:r>
      <w:r>
        <w:tab/>
        <w:t>2442; 2443; 2444; 2445;</w:t>
      </w:r>
      <w:r>
        <w:tab/>
        <w:t>2446;</w:t>
      </w:r>
      <w:r>
        <w:tab/>
        <w:t>2720;</w:t>
      </w:r>
      <w:r>
        <w:tab/>
        <w:t>3299;</w:t>
      </w:r>
      <w:r>
        <w:tab/>
        <w:t>2011;</w:t>
      </w:r>
      <w:r>
        <w:tab/>
        <w:t>2332;</w:t>
      </w:r>
    </w:p>
    <w:p w14:paraId="733B96B8" w14:textId="77777777" w:rsidR="00E436E4" w:rsidRDefault="0096395C">
      <w:pPr>
        <w:pStyle w:val="Teksttreci20"/>
        <w:shd w:val="clear" w:color="auto" w:fill="auto"/>
        <w:tabs>
          <w:tab w:val="center" w:pos="1590"/>
          <w:tab w:val="right" w:pos="2401"/>
          <w:tab w:val="center" w:pos="2708"/>
          <w:tab w:val="right" w:pos="3630"/>
          <w:tab w:val="left" w:pos="3794"/>
        </w:tabs>
        <w:spacing w:before="0" w:after="84" w:line="413" w:lineRule="exact"/>
        <w:jc w:val="both"/>
      </w:pPr>
      <w:r>
        <w:t>2351; 2352;</w:t>
      </w:r>
      <w:r>
        <w:tab/>
        <w:t>2451;</w:t>
      </w:r>
      <w:r>
        <w:tab/>
        <w:t>2452;</w:t>
      </w:r>
      <w:r>
        <w:tab/>
        <w:t>2453;</w:t>
      </w:r>
      <w:r>
        <w:tab/>
        <w:t>2454;</w:t>
      </w:r>
      <w:r>
        <w:tab/>
        <w:t>2611; 2680; 3832.</w:t>
      </w:r>
    </w:p>
    <w:p w14:paraId="5011FBB1" w14:textId="77777777" w:rsidR="00E436E4" w:rsidRDefault="0096395C">
      <w:pPr>
        <w:pStyle w:val="Teksttreci20"/>
        <w:shd w:val="clear" w:color="auto" w:fill="auto"/>
        <w:spacing w:before="0" w:after="76" w:line="408" w:lineRule="exact"/>
        <w:ind w:firstLine="740"/>
        <w:jc w:val="both"/>
      </w:pPr>
      <w:r>
        <w:t>Określenie powyższego grona podmiotów jest skorelowane z Komunikatem Komisji - Wyt</w:t>
      </w:r>
      <w:r>
        <w:t>yczne w sprawie pomocy państwa na ochronę środowiska i cele związane z energią w latach 2014-2020 (2014/C 200/01), dalej „Komunikat Komisji”.</w:t>
      </w:r>
    </w:p>
    <w:p w14:paraId="5CF1900A" w14:textId="77777777" w:rsidR="00E436E4" w:rsidRDefault="0096395C">
      <w:pPr>
        <w:pStyle w:val="Teksttreci20"/>
        <w:shd w:val="clear" w:color="auto" w:fill="auto"/>
        <w:spacing w:before="0" w:after="0" w:line="413" w:lineRule="exact"/>
        <w:ind w:firstLine="740"/>
        <w:jc w:val="both"/>
      </w:pPr>
      <w:r>
        <w:t>Z treści Komunikatu Komisji wynika, że pomoc w postaci ulg w finansowaniu wsparcia na rzecz energii ze źródeł odna</w:t>
      </w:r>
      <w:r>
        <w:t>wialnych może zostać przyznana wyłącznie przedsiębiorstwom należącym do sektorów, których pozycja konkurencyjna jest zagrożona z uwagi na wysokie koszty związane z finansowaniem wsparcia na rzecz energii ze źródeł odnawialnych, co wynika z intensywności zu</w:t>
      </w:r>
      <w:r>
        <w:t>życia energii elektrycznej przez te sektory (wymienione są one w Załączniku 3 - Wykaz sektorów kwalifikowalnych na podstawie sekcji 3.7.2).</w:t>
      </w:r>
    </w:p>
    <w:p w14:paraId="3A2FA833" w14:textId="77777777" w:rsidR="00E436E4" w:rsidRDefault="0096395C">
      <w:pPr>
        <w:pStyle w:val="Teksttreci20"/>
        <w:shd w:val="clear" w:color="auto" w:fill="auto"/>
        <w:spacing w:before="0" w:after="120" w:line="413" w:lineRule="exact"/>
        <w:ind w:firstLine="740"/>
        <w:jc w:val="both"/>
      </w:pPr>
      <w:r>
        <w:lastRenderedPageBreak/>
        <w:t>Zgodnie z Komunikatem Komisji beneficjenci pomocy polegającej na udzieleniu ulg w finansowaniu wsparcia mają być wyb</w:t>
      </w:r>
      <w:r>
        <w:t>ierani w oparciu o obiektywne, niedyskryminacyjne i przejrzyste kryteria, przy czym na potrzeby ustalenia intensywności zużycia energii, od której uzależnione jest przyznanie ulgi, przyjmuje się zużycie energii elektrycznej przez dane przedsiębiorstwo.</w:t>
      </w:r>
    </w:p>
    <w:p w14:paraId="51547AD4" w14:textId="77777777" w:rsidR="00E436E4" w:rsidRDefault="0096395C">
      <w:pPr>
        <w:pStyle w:val="Teksttreci20"/>
        <w:shd w:val="clear" w:color="auto" w:fill="auto"/>
        <w:spacing w:before="0" w:after="120" w:line="413" w:lineRule="exact"/>
        <w:ind w:firstLine="740"/>
        <w:jc w:val="both"/>
      </w:pPr>
      <w:r>
        <w:t>W t</w:t>
      </w:r>
      <w:r>
        <w:t xml:space="preserve">ym miejscu należy zaznaczyć, iż działalność gospodarcza oznaczona symbolem PKD 0113 nie została wymieniona we wspomnianym Załączniku 3 do Komunikatu Komisji. Dlatego też obecny mechanizm wsparcia dla odbiorców przemysłowych funkcjonujący na terenie Polski </w:t>
      </w:r>
      <w:r>
        <w:t>nie zakłada pomocy dla działalności gospodarczej oznaczonej tym symbolem PKD. Co więcej, wspomniany wcześniej Komunikat nie zapewnia przesłanek świadczących o tym, aby przedstawiona w Pańskim piśmie zmiana przepisów ustawy o OZE spotkała się z pozytywną op</w:t>
      </w:r>
      <w:r>
        <w:t>inią Komisji Europejskiej, co jest elementem obligatoryjnym w przypadku zmian programów pomocowych.</w:t>
      </w:r>
    </w:p>
    <w:p w14:paraId="30F8E9BD" w14:textId="77777777" w:rsidR="00E436E4" w:rsidRDefault="0096395C">
      <w:pPr>
        <w:pStyle w:val="Teksttreci20"/>
        <w:shd w:val="clear" w:color="auto" w:fill="auto"/>
        <w:spacing w:before="0" w:after="0" w:line="413" w:lineRule="exact"/>
        <w:ind w:firstLine="740"/>
        <w:jc w:val="both"/>
      </w:pPr>
      <w:r>
        <w:t>Niemniej jednak dziękujemy za informację o skali problemu z jakim mierzą się przedsiębiorcy reprezentowani przez Stowarzyszenie. Mając na uwadze toczące się</w:t>
      </w:r>
      <w:r>
        <w:t xml:space="preserve"> dyskusje o modyfikacji zasad przyznawania pomocy publicznej w sektorze energii w Unii Europejskiej, nie wykluczamy pochylenia się szerzej nad wymienionym w Pańskim piśmie problemem podczas pracy nad przyszłymi nowelizacjami ustawy o OZE.</w:t>
      </w:r>
    </w:p>
    <w:sectPr w:rsidR="00E436E4">
      <w:pgSz w:w="11900" w:h="16840"/>
      <w:pgMar w:top="682" w:right="1385" w:bottom="2141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19039" w14:textId="77777777" w:rsidR="0096395C" w:rsidRDefault="0096395C">
      <w:r>
        <w:separator/>
      </w:r>
    </w:p>
  </w:endnote>
  <w:endnote w:type="continuationSeparator" w:id="0">
    <w:p w14:paraId="31EE01EB" w14:textId="77777777" w:rsidR="0096395C" w:rsidRDefault="0096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FBE05" w14:textId="77777777" w:rsidR="0096395C" w:rsidRDefault="0096395C"/>
  </w:footnote>
  <w:footnote w:type="continuationSeparator" w:id="0">
    <w:p w14:paraId="74D4C7E8" w14:textId="77777777" w:rsidR="0096395C" w:rsidRDefault="009639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6E4"/>
    <w:rsid w:val="001E2F41"/>
    <w:rsid w:val="0096395C"/>
    <w:rsid w:val="00E4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D578"/>
  <w15:docId w15:val="{9CAA97CC-18F8-431A-B79D-410C4ACF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FBE75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Nagwek12">
    <w:name w:val="Nagłówek #1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AF9D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5pt">
    <w:name w:val="Tekst treści (3) + 5 pt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80" w:line="326" w:lineRule="exac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80" w:after="80" w:line="310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80" w:after="400" w:line="24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340"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340" w:after="280" w:line="266" w:lineRule="exact"/>
      <w:ind w:firstLine="740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SOCJUSZ Marta</dc:creator>
  <cp:lastModifiedBy>SOCJUSZ Marta</cp:lastModifiedBy>
  <cp:revision>1</cp:revision>
  <dcterms:created xsi:type="dcterms:W3CDTF">2021-03-11T14:07:00Z</dcterms:created>
  <dcterms:modified xsi:type="dcterms:W3CDTF">2021-03-11T14:08:00Z</dcterms:modified>
</cp:coreProperties>
</file>