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FDC3" w14:textId="759DAD6C" w:rsidR="002018E0" w:rsidRDefault="003734D7">
      <w:pPr>
        <w:pStyle w:val="Nagwek10"/>
        <w:keepNext/>
        <w:keepLines/>
        <w:shd w:val="clear" w:color="auto" w:fill="auto"/>
        <w:ind w:right="3600"/>
      </w:pPr>
      <w:bookmarkStart w:id="0" w:name="bookmark0"/>
      <w:r>
        <w:t>Ministerstwo</w:t>
      </w:r>
      <w:r>
        <w:rPr>
          <w:rStyle w:val="Nagwek11"/>
        </w:rPr>
        <w:t xml:space="preserve"> </w:t>
      </w:r>
      <w:r>
        <w:t>Klimatu i Środowiska</w:t>
      </w:r>
      <w:bookmarkEnd w:id="0"/>
    </w:p>
    <w:p w14:paraId="38B21082" w14:textId="77777777" w:rsidR="002018E0" w:rsidRDefault="003734D7">
      <w:pPr>
        <w:pStyle w:val="Nagwek20"/>
        <w:keepNext/>
        <w:keepLines/>
        <w:shd w:val="clear" w:color="auto" w:fill="auto"/>
        <w:spacing w:after="295"/>
      </w:pPr>
      <w:bookmarkStart w:id="1" w:name="bookmark1"/>
      <w:r>
        <w:t>Departament Instrumentów Środowiskowych</w:t>
      </w:r>
      <w:bookmarkEnd w:id="1"/>
    </w:p>
    <w:p w14:paraId="22302FEF" w14:textId="77777777" w:rsidR="002018E0" w:rsidRDefault="003734D7">
      <w:pPr>
        <w:pStyle w:val="Nagwek30"/>
        <w:keepNext/>
        <w:keepLines/>
        <w:shd w:val="clear" w:color="auto" w:fill="auto"/>
        <w:tabs>
          <w:tab w:val="left" w:pos="6091"/>
        </w:tabs>
        <w:spacing w:before="0"/>
      </w:pPr>
      <w:bookmarkStart w:id="2" w:name="bookmark2"/>
      <w:r>
        <w:t>DIŚ-V.053.1.2021.PG</w:t>
      </w:r>
      <w:r>
        <w:tab/>
        <w:t>Warszawa, dnia 09-02-2021 r.</w:t>
      </w:r>
      <w:bookmarkEnd w:id="2"/>
    </w:p>
    <w:p w14:paraId="2DAB9C19" w14:textId="77777777" w:rsidR="002018E0" w:rsidRDefault="003734D7">
      <w:pPr>
        <w:pStyle w:val="Teksttreci30"/>
        <w:shd w:val="clear" w:color="auto" w:fill="auto"/>
        <w:spacing w:after="2305"/>
      </w:pPr>
      <w:r>
        <w:t>1437833</w:t>
      </w:r>
      <w:r>
        <w:rPr>
          <w:rStyle w:val="Teksttreci35pt"/>
        </w:rPr>
        <w:t>.</w:t>
      </w:r>
      <w:r>
        <w:t>4759616.3766608</w:t>
      </w:r>
    </w:p>
    <w:p w14:paraId="2B902E5F" w14:textId="77777777" w:rsidR="002018E0" w:rsidRDefault="003734D7">
      <w:pPr>
        <w:pStyle w:val="Teksttreci40"/>
        <w:shd w:val="clear" w:color="auto" w:fill="auto"/>
        <w:spacing w:before="0" w:after="256"/>
      </w:pPr>
      <w:r>
        <w:t>Szanowny Panie,</w:t>
      </w:r>
    </w:p>
    <w:p w14:paraId="554FAA55" w14:textId="77777777" w:rsidR="002018E0" w:rsidRDefault="003734D7">
      <w:pPr>
        <w:pStyle w:val="Teksttreci20"/>
        <w:shd w:val="clear" w:color="auto" w:fill="auto"/>
        <w:spacing w:before="0"/>
      </w:pPr>
      <w:r>
        <w:t xml:space="preserve">odpowiadając na petycję w kwestii dostosowania rozporządzenia Ministra Klimatu z dnia </w:t>
      </w:r>
      <w:r>
        <w:t>17 lutego 2020 r. w sprawie sposobów sprawdzania dotrzymania dopuszczalnych poziomów pól elektromagnetycznych w środowisku do rozporządzenia Ministra Zdrowia z dnia 17 grudnia 2019 r. w sprawie dopuszczalnych poziomów pól elektromagnetycznych w środowisku,</w:t>
      </w:r>
      <w:r>
        <w:t xml:space="preserve"> informuję co następuje.</w:t>
      </w:r>
    </w:p>
    <w:p w14:paraId="6C466514" w14:textId="77777777" w:rsidR="002018E0" w:rsidRDefault="003734D7">
      <w:pPr>
        <w:pStyle w:val="Teksttreci20"/>
        <w:shd w:val="clear" w:color="auto" w:fill="auto"/>
        <w:spacing w:before="0"/>
      </w:pPr>
      <w:r>
        <w:t>Rozporządzenie Ministra Klimatu z dnia 17 lutego 2020 r. w sprawie sposobów sprawdzania dotrzymania dopuszczalnych poziomów pól elektromagnetycznych w środowisku jest dostosowane do rozporządzenia Ministra Zdrowia z dnia 17 grudnia</w:t>
      </w:r>
      <w:r>
        <w:t xml:space="preserve"> 2019 r. w sprawie dopuszczalnych poziomów pól elektromagnetycznych w środowisku. Laboratoria badawcze posiadające akredytacje, które realizują pomiary pola elektromagnetycznego w środowisku wykonywane dla celów obszaru regulowanego jako dokument odniesien</w:t>
      </w:r>
      <w:r>
        <w:t>ia wykorzystują załącznik do Rozporządzenia Ministra Klimatu z dnia 17 lutego 2020 r. (Dz.U. 2020 poz. 258). Warunkiem koniecznym do realizacji prawidłowych pomiarów pól impulsowych oprócz wykorzystania odpowiedniej metody wskazanej w załączniku jest wykor</w:t>
      </w:r>
      <w:r>
        <w:t>zystanie właściwej aparatury pomiarowej. Do pomiarów pól impulsowych wykorzystuje się przyrząd pomiarowy o odpowiedniej charakterystyce częstotliwościowej, dynamicznej, uwzględniający poprawki dla pól impulsowych i modulowanych.</w:t>
      </w:r>
    </w:p>
    <w:p w14:paraId="63A0A72D" w14:textId="77777777" w:rsidR="002018E0" w:rsidRDefault="003734D7">
      <w:pPr>
        <w:pStyle w:val="Teksttreci20"/>
        <w:shd w:val="clear" w:color="auto" w:fill="auto"/>
        <w:spacing w:before="0"/>
      </w:pPr>
      <w:r>
        <w:t xml:space="preserve">Nie jest prawdą, że cyt. </w:t>
      </w:r>
      <w:r>
        <w:rPr>
          <w:rStyle w:val="Teksttreci2Kursywa"/>
        </w:rPr>
        <w:t>„P</w:t>
      </w:r>
      <w:r>
        <w:rPr>
          <w:rStyle w:val="Teksttreci2Kursywa"/>
        </w:rPr>
        <w:t xml:space="preserve">raktycznie wszystkie instalacje wytwarzające </w:t>
      </w:r>
      <w:proofErr w:type="spellStart"/>
      <w:r>
        <w:rPr>
          <w:rStyle w:val="Teksttreci2Kursywa"/>
        </w:rPr>
        <w:t>PEMpracujące</w:t>
      </w:r>
      <w:proofErr w:type="spellEnd"/>
      <w:r>
        <w:rPr>
          <w:rStyle w:val="Teksttreci2Kursywa"/>
        </w:rPr>
        <w:t xml:space="preserve"> w Polsce (jak również i na świecie) a w szczególności Stacje Bazowe Telefonii Komórkowej (SBTK) generują pola impulsowe w związku z używanymi technikami kodowania/transmisji danych”.</w:t>
      </w:r>
      <w:r>
        <w:t xml:space="preserve"> Urządzeniami em</w:t>
      </w:r>
      <w:r>
        <w:t>itującymi pola elektromagnetyczne są także stacje elektroenergetyczne, napowietrzne linie elektroenergetyczne, instalacje radiokomunikacyjne, radionawigacyjne oraz radiolokacyjne. Te ostatnie emitują zarówno pola impulsowe, ale są także radary wykorzystują</w:t>
      </w:r>
      <w:r>
        <w:t>ce falę ciągłą. Falę ciągłą oprócz sygnałów impulsowych wykorzystuje się także w technice radionawigacyjnej. Technika impulsowa jest jedną z wielu możliwych metod emisji sygnałów z wykorzystaniem fali elektromagnetycznej, ale nie jedyną. Zatem nie wszystki</w:t>
      </w:r>
      <w:r>
        <w:t>e instalacje wytwarzające PEM pracujące w Polsce generują pola impulsowe.</w:t>
      </w:r>
    </w:p>
    <w:p w14:paraId="253A4D61" w14:textId="77777777" w:rsidR="002018E0" w:rsidRDefault="003734D7">
      <w:pPr>
        <w:pStyle w:val="Teksttreci40"/>
        <w:shd w:val="clear" w:color="auto" w:fill="auto"/>
        <w:spacing w:before="0" w:after="0" w:line="250" w:lineRule="exact"/>
      </w:pPr>
      <w:r>
        <w:rPr>
          <w:rStyle w:val="Teksttreci4Bezkursywy"/>
        </w:rPr>
        <w:t xml:space="preserve">Nie jest prawdą, że cyt. </w:t>
      </w:r>
      <w:r>
        <w:t xml:space="preserve">„badania prowadzone przez ICNIRP oraz inne organizacje </w:t>
      </w:r>
      <w:proofErr w:type="spellStart"/>
      <w:r>
        <w:t>protelekomunikacyjne</w:t>
      </w:r>
      <w:proofErr w:type="spellEnd"/>
      <w:r>
        <w:t xml:space="preserve"> pomijają fakt emisji impulsowych</w:t>
      </w:r>
      <w:r>
        <w:rPr>
          <w:rStyle w:val="Teksttreci4Bezkursywy"/>
        </w:rPr>
        <w:t>’’. Polska m.in. dzięki działaniom</w:t>
      </w:r>
    </w:p>
    <w:p w14:paraId="48B74885" w14:textId="77777777" w:rsidR="002018E0" w:rsidRDefault="003734D7">
      <w:pPr>
        <w:pStyle w:val="Teksttreci20"/>
        <w:shd w:val="clear" w:color="auto" w:fill="auto"/>
        <w:spacing w:before="0" w:after="345"/>
        <w:ind w:firstLine="2580"/>
      </w:pPr>
      <w:r>
        <w:t>z Wojskowego I</w:t>
      </w:r>
      <w:r>
        <w:t>nstytutu Higieny i Epidemiologii (</w:t>
      </w:r>
      <w:proofErr w:type="spellStart"/>
      <w:r>
        <w:t>WIHiE</w:t>
      </w:r>
      <w:proofErr w:type="spellEnd"/>
      <w:r>
        <w:t xml:space="preserve">) w Warszawie należy do grona nielicznych krajów na świecie, w których już w drugiej połowie ub. wieku były realizowane intensywne badania promieniowania pól impulsowych. </w:t>
      </w:r>
      <w:proofErr w:type="spellStart"/>
      <w:r>
        <w:t>WIHiE</w:t>
      </w:r>
      <w:proofErr w:type="spellEnd"/>
      <w:r>
        <w:t xml:space="preserve"> oprócz opracowań w zakresie oddziaływań </w:t>
      </w:r>
      <w:r>
        <w:t>biologicznych, sformułował metodyki pomiarowe pól impulsowych jak i oprzyrządowanie do badań pól impulsowych. Badania pól impulsowych prowadził już od początku lat 70. ubiegłego wieku m.in. wydzielony zespół specjalistów szpitala wojskowego w Gliwicach, je</w:t>
      </w:r>
      <w:r>
        <w:t>den z nielicznych tego typu ośrodków w kraju (niektóre badania miały charakter tajny). Prace badawcze</w:t>
      </w:r>
    </w:p>
    <w:p w14:paraId="3A65FEB1" w14:textId="77777777" w:rsidR="002018E0" w:rsidRDefault="003734D7">
      <w:pPr>
        <w:pStyle w:val="Teksttreci50"/>
        <w:shd w:val="clear" w:color="auto" w:fill="auto"/>
        <w:spacing w:before="0"/>
        <w:ind w:right="60"/>
        <w:sectPr w:rsidR="002018E0">
          <w:footerReference w:type="default" r:id="rId6"/>
          <w:pgSz w:w="11900" w:h="16840"/>
          <w:pgMar w:top="1032" w:right="1375" w:bottom="566" w:left="1308" w:header="0" w:footer="3" w:gutter="0"/>
          <w:cols w:space="720"/>
          <w:noEndnote/>
          <w:titlePg/>
          <w:docGrid w:linePitch="360"/>
        </w:sectPr>
      </w:pPr>
      <w:r>
        <w:t xml:space="preserve">ul. Wawelska 52/54, 00-922 Warszawa; tel. (22) 36-92-472, faks (22) 36-92-473, </w:t>
      </w:r>
      <w:hyperlink r:id="rId7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br/>
      </w:r>
      <w:r>
        <w:t>Działamy zgodnie z EMAS - zarządzając instytucją dbamy o środowisko</w:t>
      </w:r>
    </w:p>
    <w:p w14:paraId="75E8A71C" w14:textId="77777777" w:rsidR="002018E0" w:rsidRDefault="003734D7">
      <w:pPr>
        <w:pStyle w:val="Teksttreci20"/>
        <w:shd w:val="clear" w:color="auto" w:fill="auto"/>
        <w:spacing w:before="0"/>
      </w:pPr>
      <w:r>
        <w:lastRenderedPageBreak/>
        <w:t>prowadziły oprócz sił zbrojnych ośrodki wykorzystują</w:t>
      </w:r>
      <w:r>
        <w:t>ce technikę impulsową w dziedzinie zastosowań przemysłowych. Czynny wkład w dziedzinie pól impulsowych od dziesięcioleci ma PIT-RADWAR S.A. jeden z głównych dostawców urządzeń z wykorzystaniem emisji sygnałów impulsowych.</w:t>
      </w:r>
    </w:p>
    <w:p w14:paraId="795FE311" w14:textId="77777777" w:rsidR="002018E0" w:rsidRDefault="003734D7">
      <w:pPr>
        <w:pStyle w:val="Teksttreci20"/>
        <w:shd w:val="clear" w:color="auto" w:fill="auto"/>
        <w:spacing w:before="0"/>
      </w:pPr>
      <w:r>
        <w:t>W Polsce badania pól elektromagnet</w:t>
      </w:r>
      <w:r>
        <w:t>ycznych niestacjonarnych, w tym pól impulsowych od kilkudziesięciu lat objęte są prawem. 5 listopada 1980 r. wydane zostało rozporządzenie Rady Ministrów w sprawie szczególnych zasad ochrony przed elektromagnetycznym promieniowaniem niejonizującym szkodliw</w:t>
      </w:r>
      <w:r>
        <w:t xml:space="preserve">ym dla ludzi i środowiska. Na jego podstawie już w ubiegłym wieku badane były m.in. urządzenia nadawcze impulsowe, w tym m.in. stacje radiolokacyjne generujące pola niestacjonarne. Warunkiem koniecznym do pomiarów pól impulsowych było i jest wykorzystanie </w:t>
      </w:r>
      <w:r>
        <w:t>odpowiedniej aparatury. Pomiary pól elektromagnetycznych, w tym także pól impulsowych realizowane są przez laboratoria badawcze posiadające odpowiedni certyfikat akredytacji. Załącznik do rozporządzenia Ministra Klimatu z dnia 17 lutego 2020 r. w sprawie s</w:t>
      </w:r>
      <w:r>
        <w:t>posobów sprawdzania dotrzymania dopuszczalnych poziomów pól elektromagnetycznych w środowisku jest narzędziem wykorzystywanym przez akredytowane laboratoria badawcze. Załącznik ten jest dokumentem odniesienia wykorzystywanym do pomiarów pola elektromagnety</w:t>
      </w:r>
      <w:r>
        <w:t>cznego w środowisku wykonywanych dla celów obszaru regulowanego.</w:t>
      </w:r>
    </w:p>
    <w:p w14:paraId="6E96F3CA" w14:textId="77777777" w:rsidR="002018E0" w:rsidRDefault="003734D7">
      <w:pPr>
        <w:pStyle w:val="Teksttreci20"/>
        <w:shd w:val="clear" w:color="auto" w:fill="auto"/>
        <w:spacing w:before="0"/>
      </w:pPr>
      <w:r>
        <w:t>Realizacja pomiarów pól impulsowych obarczona jest określonymi rygorami. Wymagana jest spójność pomiarowa. Miernik pola elektromagnetycznego poddany jest określonemu programowi wzorcowania, w</w:t>
      </w:r>
      <w:r>
        <w:t xml:space="preserve"> ramach którego uwzględnia się m.in. pomiary charakterystyki częstotliwościowej w pełnym zakresie częstotliwości wskazanych w akredytacji, pomiary charakterystyki dynamicznej. Istotne jest wyznaczenie poprawek dla pól impulsowych i modulowanych. Wzorcowani</w:t>
      </w:r>
      <w:r>
        <w:t>e miernika obejmuje także pomiar odporności tego przyrządu na pole elektromagnetyczne, którego poziomy są wyższe niż jego zakres pomiarowy.</w:t>
      </w:r>
    </w:p>
    <w:p w14:paraId="30138CE3" w14:textId="77777777" w:rsidR="002018E0" w:rsidRDefault="003734D7">
      <w:pPr>
        <w:pStyle w:val="Teksttreci20"/>
        <w:shd w:val="clear" w:color="auto" w:fill="auto"/>
        <w:spacing w:before="0" w:after="256"/>
      </w:pPr>
      <w:r>
        <w:t>W Polsce jest kilka laboratoriów badawczych posiadających akredytacje do przeprowadzania pomiarów pól elektromagnety</w:t>
      </w:r>
      <w:r>
        <w:t>cznych opisanych w petycji. Każde z nich wykorzystuje przyrządy pomiarowe wywzorcowane przez laboratorium wzorcujące posiadające akredytację Polskiego Centrum Akredytacji. Polskie Centrum Akredytacji jest krajową jednostką akredytującą upoważnioną do akred</w:t>
      </w:r>
      <w:r>
        <w:t>ytacji jednostek oceniających zgodność na podstawie ustawy z dnia 13.04.2016 r. o systemach oceny zgodności i nadzoru rynku (tj. Dz. U. z 2019 r. poz.544).</w:t>
      </w:r>
    </w:p>
    <w:p w14:paraId="7910A7B8" w14:textId="77777777" w:rsidR="002018E0" w:rsidRDefault="003734D7">
      <w:pPr>
        <w:pStyle w:val="Teksttreci20"/>
        <w:shd w:val="clear" w:color="auto" w:fill="auto"/>
        <w:spacing w:before="0" w:after="928" w:line="254" w:lineRule="exact"/>
      </w:pPr>
      <w:r>
        <w:t xml:space="preserve">Reasumując, rozporządzenie Ministra Klimatu z dnia 17 lutego 2020 r. w sprawie sposobów sprawdzania </w:t>
      </w:r>
      <w:r>
        <w:t>dotrzymania dopuszczalnych poziomów pól elektromagnetycznych w środowisku, spełnia wszelkie wymogi w zakresie metodyki pomiarów pól elektromagnetycznych.</w:t>
      </w:r>
    </w:p>
    <w:p w14:paraId="0EFF3415" w14:textId="77777777" w:rsidR="002018E0" w:rsidRDefault="003734D7">
      <w:pPr>
        <w:pStyle w:val="Teksttreci40"/>
        <w:shd w:val="clear" w:color="auto" w:fill="auto"/>
        <w:spacing w:before="0" w:after="0"/>
        <w:ind w:left="4720"/>
        <w:jc w:val="left"/>
      </w:pPr>
      <w:r>
        <w:t>Z poważaniem</w:t>
      </w:r>
    </w:p>
    <w:sectPr w:rsidR="002018E0">
      <w:pgSz w:w="11900" w:h="16840"/>
      <w:pgMar w:top="1431" w:right="1380" w:bottom="1431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13C3" w14:textId="77777777" w:rsidR="003734D7" w:rsidRDefault="003734D7">
      <w:r>
        <w:separator/>
      </w:r>
    </w:p>
  </w:endnote>
  <w:endnote w:type="continuationSeparator" w:id="0">
    <w:p w14:paraId="25ABACC4" w14:textId="77777777" w:rsidR="003734D7" w:rsidRDefault="0037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B114" w14:textId="77777777" w:rsidR="002018E0" w:rsidRDefault="003734D7">
    <w:pPr>
      <w:rPr>
        <w:sz w:val="2"/>
        <w:szCs w:val="2"/>
      </w:rPr>
    </w:pPr>
    <w:r>
      <w:pict w14:anchorId="2B6BB43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5pt;margin-top:794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DEE63CC" w14:textId="77777777" w:rsidR="002018E0" w:rsidRDefault="003734D7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C88BF" w14:textId="77777777" w:rsidR="003734D7" w:rsidRDefault="003734D7"/>
  </w:footnote>
  <w:footnote w:type="continuationSeparator" w:id="0">
    <w:p w14:paraId="0A37FE74" w14:textId="77777777" w:rsidR="003734D7" w:rsidRDefault="003734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8E0"/>
    <w:rsid w:val="002018E0"/>
    <w:rsid w:val="003734D7"/>
    <w:rsid w:val="0061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74818E"/>
  <w15:docId w15:val="{4E9F5E28-2284-4E94-B5DB-BEC6FD1A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9B91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5pt">
    <w:name w:val="Tekst treści (3) + 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22" w:lineRule="exact"/>
      <w:ind w:firstLine="56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60" w:line="288" w:lineRule="exact"/>
      <w:ind w:firstLine="56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60" w:line="244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34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340" w:after="260" w:line="24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26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pl/klim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2021-02-12T14:23:00Z</dcterms:created>
  <dcterms:modified xsi:type="dcterms:W3CDTF">2021-02-12T14:23:00Z</dcterms:modified>
</cp:coreProperties>
</file>