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FE2D" w14:textId="4B2467BA" w:rsidR="00D51CBF" w:rsidRDefault="00482392">
      <w:pPr>
        <w:pStyle w:val="Teksttreci20"/>
        <w:shd w:val="clear" w:color="auto" w:fill="auto"/>
        <w:sectPr w:rsidR="00D51CBF">
          <w:pgSz w:w="11900" w:h="16840"/>
          <w:pgMar w:top="1407" w:right="1394" w:bottom="1642" w:left="7620" w:header="0" w:footer="3" w:gutter="0"/>
          <w:cols w:space="720"/>
          <w:noEndnote/>
          <w:docGrid w:linePitch="360"/>
        </w:sectPr>
      </w:pPr>
      <w:r>
        <w:t>Warszawa, dnia 27-10-2020 r.</w:t>
      </w:r>
    </w:p>
    <w:p w14:paraId="2D6FD5B9" w14:textId="4EAC3891" w:rsidR="00D51CBF" w:rsidRDefault="00A737A7">
      <w:pPr>
        <w:spacing w:line="194" w:lineRule="exact"/>
        <w:rPr>
          <w:sz w:val="16"/>
          <w:szCs w:val="16"/>
        </w:rPr>
      </w:pPr>
      <w:r>
        <w:pict w14:anchorId="7648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9pt;margin-top:-25.45pt;width:40.3pt;height:40.1pt;z-index:-125829376;mso-wrap-distance-left:5pt;mso-wrap-distance-right:172.8pt;mso-position-horizontal-relative:margin;mso-position-vertical-relative:margin" wrapcoords="0 0 21600 0 21600 21600 0 21600 0 0">
            <v:imagedata r:id="rId6" o:title="image1"/>
            <w10:wrap type="square" side="right" anchorx="margin" anchory="margin"/>
          </v:shape>
        </w:pict>
      </w:r>
    </w:p>
    <w:p w14:paraId="3666D7B9" w14:textId="77777777" w:rsidR="00D51CBF" w:rsidRDefault="00D51CBF">
      <w:pPr>
        <w:rPr>
          <w:sz w:val="2"/>
          <w:szCs w:val="2"/>
        </w:rPr>
        <w:sectPr w:rsidR="00D51CBF">
          <w:type w:val="continuous"/>
          <w:pgSz w:w="11900" w:h="16840"/>
          <w:pgMar w:top="1436" w:right="0" w:bottom="1407" w:left="0" w:header="0" w:footer="3" w:gutter="0"/>
          <w:cols w:space="720"/>
          <w:noEndnote/>
          <w:docGrid w:linePitch="360"/>
        </w:sectPr>
      </w:pPr>
    </w:p>
    <w:p w14:paraId="226EB2EB" w14:textId="77777777" w:rsidR="00D51CBF" w:rsidRDefault="00482392">
      <w:pPr>
        <w:pStyle w:val="Nagwek10"/>
        <w:keepNext/>
        <w:keepLines/>
        <w:shd w:val="clear" w:color="auto" w:fill="auto"/>
        <w:spacing w:after="511"/>
      </w:pPr>
      <w:bookmarkStart w:id="0" w:name="bookmark0"/>
      <w:r>
        <w:rPr>
          <w:rStyle w:val="Nagwek115pt"/>
          <w:b/>
          <w:bCs/>
        </w:rPr>
        <w:t>M</w:t>
      </w:r>
      <w:r>
        <w:rPr>
          <w:rStyle w:val="Nagwek1Maelitery"/>
          <w:b/>
          <w:bCs/>
        </w:rPr>
        <w:t xml:space="preserve">inister </w:t>
      </w:r>
      <w:r>
        <w:rPr>
          <w:rStyle w:val="Nagwek115pt"/>
          <w:b/>
          <w:bCs/>
        </w:rPr>
        <w:t>K</w:t>
      </w:r>
      <w:r>
        <w:rPr>
          <w:rStyle w:val="Nagwek1Maelitery"/>
          <w:b/>
          <w:bCs/>
        </w:rPr>
        <w:t xml:space="preserve">limatu i </w:t>
      </w:r>
      <w:r>
        <w:rPr>
          <w:rStyle w:val="Nagwek115pt"/>
          <w:b/>
          <w:bCs/>
        </w:rPr>
        <w:t>Ś</w:t>
      </w:r>
      <w:r>
        <w:rPr>
          <w:rStyle w:val="Nagwek1Maelitery"/>
          <w:b/>
          <w:bCs/>
        </w:rPr>
        <w:t>rodowiska</w:t>
      </w:r>
      <w:bookmarkEnd w:id="0"/>
    </w:p>
    <w:p w14:paraId="0BD2ABA1" w14:textId="77777777" w:rsidR="00D51CBF" w:rsidRDefault="00482392">
      <w:pPr>
        <w:pStyle w:val="Teksttreci20"/>
        <w:shd w:val="clear" w:color="auto" w:fill="auto"/>
      </w:pPr>
      <w:r>
        <w:t>DOP-GMO.053.1.2020.MG</w:t>
      </w:r>
    </w:p>
    <w:p w14:paraId="2C0EF331" w14:textId="77777777" w:rsidR="00D51CBF" w:rsidRDefault="00482392">
      <w:pPr>
        <w:pStyle w:val="Teksttreci30"/>
        <w:shd w:val="clear" w:color="auto" w:fill="auto"/>
        <w:spacing w:after="3035"/>
      </w:pPr>
      <w:r>
        <w:t>1324889</w:t>
      </w:r>
      <w:r>
        <w:rPr>
          <w:rStyle w:val="Teksttreci35pt"/>
        </w:rPr>
        <w:t>.</w:t>
      </w:r>
      <w:r>
        <w:t>4166872.3311090</w:t>
      </w:r>
    </w:p>
    <w:p w14:paraId="54945F03" w14:textId="77777777" w:rsidR="00D51CBF" w:rsidRDefault="00482392">
      <w:pPr>
        <w:pStyle w:val="Teksttreci40"/>
        <w:shd w:val="clear" w:color="auto" w:fill="auto"/>
        <w:spacing w:before="0" w:after="222"/>
      </w:pPr>
      <w:r>
        <w:t>Szanowny Panie Doktorze,</w:t>
      </w:r>
    </w:p>
    <w:p w14:paraId="5B0DE97A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 xml:space="preserve">W odpowiedzi na petycję skierowaną do Ministra Środowiska z dnia 4 </w:t>
      </w:r>
      <w:r>
        <w:t>września 2020 r., dotyczącą bezpieczeństwa żywnościowego Polski, ochrony środowiska, zdrowia i wolności Rodaków, w świetle nowej strategii Komisji Europejskiej z 20 maja 2020 r. - „Od pola do stołu”, przekazuję następujące wyjaśnienia w odniesieniu do prob</w:t>
      </w:r>
      <w:r>
        <w:t>lemów poruszanych w pkt 6 petycji, czyli zagadnień będących w kompetencjach Ministra Klimatu i Środowiska.</w:t>
      </w:r>
    </w:p>
    <w:p w14:paraId="3FC2E308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Kwestia włączenia techniki CRISPR/</w:t>
      </w:r>
      <w:proofErr w:type="spellStart"/>
      <w:r>
        <w:t>Cas</w:t>
      </w:r>
      <w:proofErr w:type="spellEnd"/>
      <w:r>
        <w:t xml:space="preserve"> do katalogu technik prowadzących do powstania GMO jest częścią szerszego zagadnienia, a mianowicie statusu tzw.</w:t>
      </w:r>
      <w:r>
        <w:t xml:space="preserve"> Nowych Technik Hodowli </w:t>
      </w:r>
      <w:r>
        <w:rPr>
          <w:rStyle w:val="Teksttreci2PogrubienieKursywa"/>
        </w:rPr>
        <w:t>(</w:t>
      </w:r>
      <w:r>
        <w:rPr>
          <w:rStyle w:val="Teksttreci2115ptKursywa"/>
        </w:rPr>
        <w:t xml:space="preserve">New </w:t>
      </w:r>
      <w:proofErr w:type="spellStart"/>
      <w:r>
        <w:rPr>
          <w:rStyle w:val="Teksttreci2115ptKursywa"/>
        </w:rPr>
        <w:t>Breeding</w:t>
      </w:r>
      <w:proofErr w:type="spellEnd"/>
      <w:r>
        <w:rPr>
          <w:rStyle w:val="Teksttreci2115ptKursywa"/>
        </w:rPr>
        <w:t xml:space="preserve"> </w:t>
      </w:r>
      <w:proofErr w:type="spellStart"/>
      <w:r>
        <w:rPr>
          <w:rStyle w:val="Teksttreci2115ptKursywa"/>
        </w:rPr>
        <w:t>Technics</w:t>
      </w:r>
      <w:proofErr w:type="spellEnd"/>
      <w:r>
        <w:rPr>
          <w:rStyle w:val="Teksttreci2PogrubienieKursywa"/>
        </w:rPr>
        <w:t>).</w:t>
      </w:r>
      <w:r>
        <w:t xml:space="preserve"> Techniki takie jak m.in. </w:t>
      </w:r>
      <w:proofErr w:type="spellStart"/>
      <w:r>
        <w:t>cisgeneza</w:t>
      </w:r>
      <w:proofErr w:type="spellEnd"/>
      <w:r>
        <w:t xml:space="preserve"> </w:t>
      </w:r>
      <w:r>
        <w:rPr>
          <w:rStyle w:val="Teksttreci2PogrubienieKursywa"/>
        </w:rPr>
        <w:t>(</w:t>
      </w:r>
      <w:proofErr w:type="spellStart"/>
      <w:r>
        <w:rPr>
          <w:rStyle w:val="Teksttreci2115ptKursywa"/>
        </w:rPr>
        <w:t>cisgenesis</w:t>
      </w:r>
      <w:proofErr w:type="spellEnd"/>
      <w:r>
        <w:rPr>
          <w:rStyle w:val="Teksttreci2PogrubienieKursywa"/>
        </w:rPr>
        <w:t xml:space="preserve">), </w:t>
      </w:r>
      <w:proofErr w:type="spellStart"/>
      <w:r>
        <w:t>intrageneza</w:t>
      </w:r>
      <w:proofErr w:type="spellEnd"/>
      <w:r>
        <w:t xml:space="preserve"> </w:t>
      </w:r>
      <w:r>
        <w:rPr>
          <w:rStyle w:val="Teksttreci2PogrubienieKursywa"/>
        </w:rPr>
        <w:t>(</w:t>
      </w:r>
      <w:proofErr w:type="spellStart"/>
      <w:r>
        <w:rPr>
          <w:rStyle w:val="Teksttreci2115ptKursywa"/>
        </w:rPr>
        <w:t>intragenesis</w:t>
      </w:r>
      <w:proofErr w:type="spellEnd"/>
      <w:r>
        <w:rPr>
          <w:rStyle w:val="Teksttreci2PogrubienieKursywa"/>
        </w:rPr>
        <w:t>),</w:t>
      </w:r>
      <w:r>
        <w:t xml:space="preserve"> </w:t>
      </w:r>
      <w:proofErr w:type="spellStart"/>
      <w:r>
        <w:t>metylacja</w:t>
      </w:r>
      <w:proofErr w:type="spellEnd"/>
      <w:r>
        <w:t xml:space="preserve"> DNA zależna od RNA </w:t>
      </w:r>
      <w:r>
        <w:rPr>
          <w:rStyle w:val="Teksttreci2PogrubienieKursywa"/>
        </w:rPr>
        <w:t>(</w:t>
      </w:r>
      <w:r>
        <w:rPr>
          <w:rStyle w:val="Teksttreci2115ptKursywa"/>
        </w:rPr>
        <w:t>RNA-</w:t>
      </w:r>
      <w:proofErr w:type="spellStart"/>
      <w:r>
        <w:rPr>
          <w:rStyle w:val="Teksttreci2115ptKursywa"/>
        </w:rPr>
        <w:t>directed</w:t>
      </w:r>
      <w:proofErr w:type="spellEnd"/>
      <w:r>
        <w:rPr>
          <w:rStyle w:val="Teksttreci2115ptKursywa"/>
        </w:rPr>
        <w:t xml:space="preserve"> DNA </w:t>
      </w:r>
      <w:proofErr w:type="spellStart"/>
      <w:r>
        <w:rPr>
          <w:rStyle w:val="Teksttreci2115ptKursywa"/>
        </w:rPr>
        <w:t>methylation</w:t>
      </w:r>
      <w:proofErr w:type="spellEnd"/>
      <w:r>
        <w:rPr>
          <w:rStyle w:val="Teksttreci2PogrubienieKursywa"/>
        </w:rPr>
        <w:t xml:space="preserve">) </w:t>
      </w:r>
      <w:r>
        <w:t xml:space="preserve">czy mutageneza ukierunkowana </w:t>
      </w:r>
      <w:proofErr w:type="spellStart"/>
      <w:r>
        <w:t>oligonukleotydami</w:t>
      </w:r>
      <w:proofErr w:type="spellEnd"/>
      <w:r>
        <w:t xml:space="preserve"> </w:t>
      </w:r>
      <w:r>
        <w:rPr>
          <w:rStyle w:val="Teksttreci2PogrubienieKursywa"/>
        </w:rPr>
        <w:t>(</w:t>
      </w:r>
      <w:proofErr w:type="spellStart"/>
      <w:r>
        <w:rPr>
          <w:rStyle w:val="Teksttreci2115ptKursywa"/>
        </w:rPr>
        <w:t>oligonucleotide-direct</w:t>
      </w:r>
      <w:r>
        <w:rPr>
          <w:rStyle w:val="Teksttreci2115ptKursywa"/>
        </w:rPr>
        <w:t>ed</w:t>
      </w:r>
      <w:proofErr w:type="spellEnd"/>
      <w:r>
        <w:rPr>
          <w:rStyle w:val="Teksttreci2115ptKursywa"/>
        </w:rPr>
        <w:t xml:space="preserve"> </w:t>
      </w:r>
      <w:proofErr w:type="spellStart"/>
      <w:r>
        <w:rPr>
          <w:rStyle w:val="Teksttreci2115ptKursywa"/>
        </w:rPr>
        <w:t>mutagenesis</w:t>
      </w:r>
      <w:proofErr w:type="spellEnd"/>
      <w:r>
        <w:rPr>
          <w:rStyle w:val="Teksttreci2PogrubienieKursywa"/>
        </w:rPr>
        <w:t xml:space="preserve">) </w:t>
      </w:r>
      <w:r>
        <w:t>zaczęły być stosowane w praktyce kilkanaście lat temu. Od wielu lat toczą się dyskusje na temat zakresu oceny, której powinny podlegać produkty wytworzone za pomocą tych technik. Państwa członkowskie bezskutecznie próbowały wymóc na Komisji</w:t>
      </w:r>
      <w:r>
        <w:t xml:space="preserve"> Europejskiej przedłożenie jasnych wytycznych w tej sprawie.</w:t>
      </w:r>
    </w:p>
    <w:p w14:paraId="328C9175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Brak rozstrzygnięcia w tym zakresie wywołał spór prawny we Francji, a ostatecznie sprawa dotycząca wprowadzania do obrotu odmian rzepaku odpornych na herbicydy, uzyskanych za pomocą mutagenezy uk</w:t>
      </w:r>
      <w:r>
        <w:t xml:space="preserve">ierunkowanej </w:t>
      </w:r>
      <w:proofErr w:type="spellStart"/>
      <w:r>
        <w:t>oligonukleotydami</w:t>
      </w:r>
      <w:proofErr w:type="spellEnd"/>
      <w:r>
        <w:t>, została skierowana do Trybunału Sprawiedliwości UE (sprawa C-528/16). Z orzeczenia Trybunału w tej sprawie wynika jednoznacznie, że organizmy uzyskane za pomocą technik i metod mutagenezy, które nie były tradycyjnie wykorzys</w:t>
      </w:r>
      <w:r>
        <w:t xml:space="preserve">tywane do różnych zastosowań i których bezpieczeństwo nie jest od dawna potwierdzone (tzw. mutageneza ukierunkowana </w:t>
      </w:r>
      <w:proofErr w:type="spellStart"/>
      <w:r>
        <w:t>oligonukleotydami</w:t>
      </w:r>
      <w:proofErr w:type="spellEnd"/>
      <w:r>
        <w:t xml:space="preserve"> lub mutageneza ukierunkowana z wykorzystaniem nukleazy) podlegają obowiązkom przewidzianym w dyrektywie 2001/18/WE z dnia </w:t>
      </w:r>
      <w:r>
        <w:t>12 marca 2001 r. w sprawie zamierzonego uwalniania do środowiska organizmów zmodyfikowanych genetycznie i uchylającej</w:t>
      </w:r>
      <w:r>
        <w:br w:type="page"/>
      </w:r>
      <w:r>
        <w:lastRenderedPageBreak/>
        <w:t>dyrektywę Rady 90/220/EWG, podobnie jak inne GMO, które wchodzą w zakres stosowania tej dyrektywy, a z zakresu stosowania dyrektywy 2001/1</w:t>
      </w:r>
      <w:r>
        <w:t>8/WE są wyłączone tylko organizmy uzyskane za pomocą technik i metod mutagenezy, które były tradycyjnie wykorzystywane do różnych zastosowań i których bezpieczeństwo zostało już dawno potwierdzone. Takie wymagania spełniają wyłącznie tradycyjne metody muta</w:t>
      </w:r>
      <w:r>
        <w:t>genezy przypadkowej.</w:t>
      </w:r>
    </w:p>
    <w:p w14:paraId="55B51064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W przepisach ustawy z dnia 22 czerwca 2001 r. o mikroorganizmach i organizmach genetycznie zmodyfikowanych (Dz. U. 2019 r. poz. 706 oraz z 2020 r. poz. 322), tak samo jak w analogicznych przepisach dyrektywy 2001/18/WE wymienione zosta</w:t>
      </w:r>
      <w:r>
        <w:t>ły techniki i metody prowadzące do powstania organizmów, które to techniki i metody, pod warunkiem że nie obejmują one wykorzystania rekombinowanych cząsteczek kwasu nukleinowego lub GMO innych niż uzyskane za pomocą jednej lub więcej technik i metod wymie</w:t>
      </w:r>
      <w:r>
        <w:t xml:space="preserve">nionych w tych przepisach, zostają wyłączone z zakresu stosowania odpowiednio ustawy oraz dyrektywy. Wśród tych technik i metod została wymieniona mutageneza. Znaczenie tego pojęcia nie budzi wątpliwości interpretacyjnych. Mutageneza, o której mowa w art. </w:t>
      </w:r>
      <w:r>
        <w:t>4 ust. 2 pkt 1 lit. a ustawy z dnia 22 czerwca 2001 r. o mikroorganizmach i organizmach genetycznie zmodyfikowanych oznacza wyłącznie tradycyjne metody mutagenezy przypadkowej.</w:t>
      </w:r>
    </w:p>
    <w:p w14:paraId="1E42B2D5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Dodatkowo należy wyjaśnić, że Trybunał Sprawiedliwości UE nie nałożył obowiązku</w:t>
      </w:r>
      <w:r>
        <w:t xml:space="preserve"> zmiany dyrektywy 2001/18/WE z dnia 12 marca 2001 r. w sprawie zamierzonego uwalniania do środowiska organizmów zmodyfikowanych genetycznie i uchylającej dyrektywę Rady 90/220/EWG lecz nakazał stosowną interpretację kilku przepisów tej dyrektywy oraz dyrek</w:t>
      </w:r>
      <w:r>
        <w:t>tywy Rady 2002/53/WE z dnia 13 czerwca 2002 r. w sprawie wspólnego katalogu odmian gatunków roślin rolniczych (art. 2 pkt 2 dyrektywy 2001/18/WE, art 3 ust. 1 dyrektywy 2001/18/WE w związku z pkt 1 załącznika I B do tej dyrektywy oraz w świetle motywu 17 t</w:t>
      </w:r>
      <w:r>
        <w:t>ejże dyrektywy, art. 4 ust. 4 dyrektywy Rady 2002/53/WE oraz art. 3 ust. 1 dyrektywy 2001/18 w związku z pkt 1 załącznika I B do tej dyrektywy).</w:t>
      </w:r>
    </w:p>
    <w:p w14:paraId="7FD35B6F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Zgodnie z powyższym orzeczeniem Trybunału Sprawiedliwości UE, i w zgodzie z polskim prawem, rząd RP uznaje muta</w:t>
      </w:r>
      <w:r>
        <w:t xml:space="preserve">genezę przypadkową za technikę nieprowadzącą do powstania GMO, a technikę mutagenezy ukierunkowanej </w:t>
      </w:r>
      <w:proofErr w:type="spellStart"/>
      <w:r>
        <w:t>oligonukleotydami</w:t>
      </w:r>
      <w:proofErr w:type="spellEnd"/>
      <w:r>
        <w:t>, która pozwala uzyskać takie same efekty jak wprowadzenie obcego genu do organizmu oraz pozwala produkować nowe odmiany w takim tempie i w</w:t>
      </w:r>
      <w:r>
        <w:t xml:space="preserve"> takim zakresie, jakich nie można było sobie wyobrazić przy stosowaniu tradycyjnych metod mutagenezy przypadkowej, traktuje tak samo jak </w:t>
      </w:r>
      <w:proofErr w:type="spellStart"/>
      <w:r>
        <w:t>transgenezę</w:t>
      </w:r>
      <w:proofErr w:type="spellEnd"/>
      <w:r>
        <w:t xml:space="preserve"> czyli technikę prowadzącą do powstania GMO.</w:t>
      </w:r>
    </w:p>
    <w:p w14:paraId="6A67AB28" w14:textId="77777777" w:rsidR="00D51CBF" w:rsidRDefault="00482392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W obowiązującym prawie unijnym i wdrażającym je prawie krajowym</w:t>
      </w:r>
      <w:r>
        <w:t xml:space="preserve"> wymienione są wyłącznie metody nieprowadzące do powstania GMO. W świetle wyroku Trybunału Sprawiedliwości UE w sprawie C-528/16, uznającego rozpatrywaną nową technikę tworzenia organizmów (mutageneza ukierunkowana nukleotydami) za prowadzącą do powstania </w:t>
      </w:r>
      <w:r>
        <w:t>GMO, nie ma potrzeby rozszerzenia katalogu technik nieprowadzących do powstania GMO. Oznacza to tym samym brak potrzeby zmiany obowiązującego prawa w tym zakresie.</w:t>
      </w:r>
    </w:p>
    <w:p w14:paraId="261E04DC" w14:textId="77777777" w:rsidR="00D51CBF" w:rsidRDefault="00482392">
      <w:pPr>
        <w:pStyle w:val="Teksttreci20"/>
        <w:shd w:val="clear" w:color="auto" w:fill="auto"/>
        <w:spacing w:line="317" w:lineRule="exact"/>
        <w:ind w:firstLine="760"/>
        <w:jc w:val="both"/>
        <w:sectPr w:rsidR="00D51CBF">
          <w:type w:val="continuous"/>
          <w:pgSz w:w="11900" w:h="16840"/>
          <w:pgMar w:top="1436" w:right="1385" w:bottom="1407" w:left="1366" w:header="0" w:footer="3" w:gutter="0"/>
          <w:cols w:space="720"/>
          <w:noEndnote/>
          <w:docGrid w:linePitch="360"/>
        </w:sectPr>
      </w:pPr>
      <w:r>
        <w:t>Jednocześnie należy podkreślić, że status każdej z nowych technik ho</w:t>
      </w:r>
      <w:r>
        <w:t>dowli powinien być określany po analizie dokonywanej w oparciu o definicję organizmu genetycznie zmodyfikowanego zawartą w art. 3 ustawy z dnia 22 czerwca 2001 r. o mikroorganizmach i organizmach genetycznie zmodyfikowanych, stosowne postanowienia dyrektyw</w:t>
      </w:r>
      <w:r>
        <w:t>y</w:t>
      </w:r>
    </w:p>
    <w:p w14:paraId="68AD31E7" w14:textId="77777777" w:rsidR="00D51CBF" w:rsidRDefault="00482392">
      <w:pPr>
        <w:spacing w:line="360" w:lineRule="exact"/>
      </w:pPr>
      <w:r>
        <w:lastRenderedPageBreak/>
        <w:pict w14:anchorId="4AD9F2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.1pt;width:455.75pt;height:30.2pt;z-index:251657728;mso-wrap-distance-left:5pt;mso-wrap-distance-right:5pt;mso-position-horizontal-relative:margin" filled="f" stroked="f">
            <v:textbox style="mso-fit-shape-to-text:t" inset="0,0,0,0">
              <w:txbxContent>
                <w:p w14:paraId="29B5CC42" w14:textId="77777777" w:rsidR="00D51CBF" w:rsidRDefault="00482392">
                  <w:pPr>
                    <w:pStyle w:val="Teksttreci20"/>
                    <w:shd w:val="clear" w:color="auto" w:fill="auto"/>
                    <w:spacing w:line="312" w:lineRule="exact"/>
                    <w:jc w:val="both"/>
                  </w:pPr>
                  <w:r>
                    <w:rPr>
                      <w:rStyle w:val="Teksttreci2Exact"/>
                    </w:rPr>
                    <w:t>2001/18/WE oraz z uwzględnieniem wyroku Trybunału Sprawiedliwości UE w sprawie C- 528/16.</w:t>
                  </w:r>
                </w:p>
              </w:txbxContent>
            </v:textbox>
            <w10:wrap anchorx="margin"/>
          </v:shape>
        </w:pict>
      </w:r>
      <w:r>
        <w:pict w14:anchorId="262AA618">
          <v:shape id="_x0000_s1028" type="#_x0000_t202" style="position:absolute;margin-left:234pt;margin-top:79.05pt;width:113.3pt;height:33.8pt;z-index:251657729;mso-wrap-distance-left:5pt;mso-wrap-distance-right:5pt;mso-position-horizontal-relative:margin" filled="f" stroked="f">
            <v:textbox style="mso-fit-shape-to-text:t" inset="0,0,0,0">
              <w:txbxContent>
                <w:p w14:paraId="7A973DF8" w14:textId="77777777" w:rsidR="00D51CBF" w:rsidRDefault="00482392">
                  <w:pPr>
                    <w:pStyle w:val="Teksttreci40"/>
                    <w:shd w:val="clear" w:color="auto" w:fill="auto"/>
                    <w:spacing w:before="0" w:after="120"/>
                  </w:pPr>
                  <w:r>
                    <w:rPr>
                      <w:rStyle w:val="Teksttreci4Exact"/>
                      <w:i/>
                      <w:iCs/>
                    </w:rPr>
                    <w:t>Z poważaniem,</w:t>
                  </w:r>
                </w:p>
                <w:p w14:paraId="17315493" w14:textId="77777777" w:rsidR="00D51CBF" w:rsidRDefault="00482392">
                  <w:pPr>
                    <w:pStyle w:val="Teksttreci40"/>
                    <w:shd w:val="clear" w:color="auto" w:fill="auto"/>
                    <w:spacing w:before="0" w:after="0"/>
                  </w:pPr>
                  <w:r>
                    <w:rPr>
                      <w:rStyle w:val="Teksttreci4Exact"/>
                      <w:i/>
                      <w:iCs/>
                    </w:rPr>
                    <w:t>Z upoważnienia Ministra</w:t>
                  </w:r>
                </w:p>
              </w:txbxContent>
            </v:textbox>
            <w10:wrap anchorx="margin"/>
          </v:shape>
        </w:pict>
      </w:r>
      <w:r>
        <w:pict w14:anchorId="4D32B2D8">
          <v:shape id="_x0000_s1029" type="#_x0000_t202" style="position:absolute;margin-left:.05pt;margin-top:684.25pt;width:319.45pt;height:14.45pt;z-index:251657730;mso-wrap-distance-left:5pt;mso-wrap-distance-right:5pt;mso-position-horizontal-relative:margin" filled="f" stroked="f">
            <v:textbox style="mso-fit-shape-to-text:t" inset="0,0,0,0">
              <w:txbxContent>
                <w:p w14:paraId="6A6F17AF" w14:textId="77777777" w:rsidR="00D51CBF" w:rsidRDefault="00482392">
                  <w:pPr>
                    <w:pStyle w:val="Teksttreci5"/>
                    <w:shd w:val="clear" w:color="auto" w:fill="auto"/>
                  </w:pPr>
                  <w:r>
                    <w:rPr>
                      <w:rStyle w:val="Teksttreci5Exact0"/>
                    </w:rPr>
                    <w:t>Do wiadomości</w:t>
                  </w:r>
                  <w:r>
                    <w:t xml:space="preserve"> - Biuro Kontroli i Audytu, Ministerstwo Klimatu i Środowiska</w:t>
                  </w:r>
                </w:p>
              </w:txbxContent>
            </v:textbox>
            <w10:wrap anchorx="margin"/>
          </v:shape>
        </w:pict>
      </w:r>
    </w:p>
    <w:p w14:paraId="57605DC8" w14:textId="77777777" w:rsidR="00D51CBF" w:rsidRDefault="00D51CBF">
      <w:pPr>
        <w:spacing w:line="360" w:lineRule="exact"/>
      </w:pPr>
    </w:p>
    <w:p w14:paraId="26FAACF5" w14:textId="77777777" w:rsidR="00D51CBF" w:rsidRDefault="00D51CBF">
      <w:pPr>
        <w:spacing w:line="360" w:lineRule="exact"/>
      </w:pPr>
    </w:p>
    <w:p w14:paraId="79C9EAAC" w14:textId="77777777" w:rsidR="00D51CBF" w:rsidRDefault="00D51CBF">
      <w:pPr>
        <w:spacing w:line="360" w:lineRule="exact"/>
      </w:pPr>
    </w:p>
    <w:p w14:paraId="523CC71D" w14:textId="77777777" w:rsidR="00D51CBF" w:rsidRDefault="00D51CBF">
      <w:pPr>
        <w:spacing w:line="360" w:lineRule="exact"/>
      </w:pPr>
    </w:p>
    <w:p w14:paraId="00AF7C7B" w14:textId="77777777" w:rsidR="00D51CBF" w:rsidRDefault="00D51CBF">
      <w:pPr>
        <w:spacing w:line="360" w:lineRule="exact"/>
      </w:pPr>
    </w:p>
    <w:p w14:paraId="67471F19" w14:textId="77777777" w:rsidR="00D51CBF" w:rsidRDefault="00D51CBF">
      <w:pPr>
        <w:spacing w:line="360" w:lineRule="exact"/>
      </w:pPr>
    </w:p>
    <w:p w14:paraId="2E80E690" w14:textId="77777777" w:rsidR="00D51CBF" w:rsidRDefault="00D51CBF">
      <w:pPr>
        <w:spacing w:line="360" w:lineRule="exact"/>
      </w:pPr>
    </w:p>
    <w:p w14:paraId="2219F782" w14:textId="77777777" w:rsidR="00D51CBF" w:rsidRDefault="00D51CBF">
      <w:pPr>
        <w:spacing w:line="360" w:lineRule="exact"/>
      </w:pPr>
    </w:p>
    <w:p w14:paraId="5938FDDB" w14:textId="77777777" w:rsidR="00D51CBF" w:rsidRDefault="00D51CBF">
      <w:pPr>
        <w:spacing w:line="360" w:lineRule="exact"/>
      </w:pPr>
    </w:p>
    <w:p w14:paraId="7A6FAD45" w14:textId="77777777" w:rsidR="00D51CBF" w:rsidRDefault="00D51CBF">
      <w:pPr>
        <w:spacing w:line="360" w:lineRule="exact"/>
      </w:pPr>
    </w:p>
    <w:p w14:paraId="295733CB" w14:textId="77777777" w:rsidR="00D51CBF" w:rsidRDefault="00D51CBF">
      <w:pPr>
        <w:spacing w:line="360" w:lineRule="exact"/>
      </w:pPr>
    </w:p>
    <w:p w14:paraId="116AB2D0" w14:textId="77777777" w:rsidR="00D51CBF" w:rsidRDefault="00D51CBF">
      <w:pPr>
        <w:spacing w:line="360" w:lineRule="exact"/>
      </w:pPr>
    </w:p>
    <w:p w14:paraId="455A94A7" w14:textId="77777777" w:rsidR="00D51CBF" w:rsidRDefault="00D51CBF">
      <w:pPr>
        <w:spacing w:line="360" w:lineRule="exact"/>
      </w:pPr>
    </w:p>
    <w:p w14:paraId="3F05A242" w14:textId="77777777" w:rsidR="00D51CBF" w:rsidRDefault="00D51CBF">
      <w:pPr>
        <w:spacing w:line="360" w:lineRule="exact"/>
      </w:pPr>
    </w:p>
    <w:p w14:paraId="562EA4C7" w14:textId="77777777" w:rsidR="00D51CBF" w:rsidRDefault="00D51CBF">
      <w:pPr>
        <w:spacing w:line="360" w:lineRule="exact"/>
      </w:pPr>
    </w:p>
    <w:p w14:paraId="56744839" w14:textId="77777777" w:rsidR="00D51CBF" w:rsidRDefault="00D51CBF">
      <w:pPr>
        <w:spacing w:line="360" w:lineRule="exact"/>
      </w:pPr>
    </w:p>
    <w:p w14:paraId="46039C0E" w14:textId="77777777" w:rsidR="00D51CBF" w:rsidRDefault="00D51CBF">
      <w:pPr>
        <w:spacing w:line="360" w:lineRule="exact"/>
      </w:pPr>
    </w:p>
    <w:p w14:paraId="1386ADC4" w14:textId="77777777" w:rsidR="00D51CBF" w:rsidRDefault="00D51CBF">
      <w:pPr>
        <w:spacing w:line="360" w:lineRule="exact"/>
      </w:pPr>
    </w:p>
    <w:p w14:paraId="30C4E22A" w14:textId="77777777" w:rsidR="00D51CBF" w:rsidRDefault="00D51CBF">
      <w:pPr>
        <w:spacing w:line="360" w:lineRule="exact"/>
      </w:pPr>
    </w:p>
    <w:p w14:paraId="0C253450" w14:textId="77777777" w:rsidR="00D51CBF" w:rsidRDefault="00D51CBF">
      <w:pPr>
        <w:spacing w:line="360" w:lineRule="exact"/>
      </w:pPr>
    </w:p>
    <w:p w14:paraId="0A548661" w14:textId="77777777" w:rsidR="00D51CBF" w:rsidRDefault="00D51CBF">
      <w:pPr>
        <w:spacing w:line="360" w:lineRule="exact"/>
      </w:pPr>
    </w:p>
    <w:p w14:paraId="67B3FC3F" w14:textId="77777777" w:rsidR="00D51CBF" w:rsidRDefault="00D51CBF">
      <w:pPr>
        <w:spacing w:line="360" w:lineRule="exact"/>
      </w:pPr>
    </w:p>
    <w:p w14:paraId="7EE0E1E3" w14:textId="77777777" w:rsidR="00D51CBF" w:rsidRDefault="00D51CBF">
      <w:pPr>
        <w:spacing w:line="360" w:lineRule="exact"/>
      </w:pPr>
    </w:p>
    <w:p w14:paraId="1446BBFA" w14:textId="77777777" w:rsidR="00D51CBF" w:rsidRDefault="00D51CBF">
      <w:pPr>
        <w:spacing w:line="360" w:lineRule="exact"/>
      </w:pPr>
    </w:p>
    <w:p w14:paraId="78A618B2" w14:textId="77777777" w:rsidR="00D51CBF" w:rsidRDefault="00D51CBF">
      <w:pPr>
        <w:spacing w:line="360" w:lineRule="exact"/>
      </w:pPr>
    </w:p>
    <w:p w14:paraId="170E4B52" w14:textId="77777777" w:rsidR="00D51CBF" w:rsidRDefault="00D51CBF">
      <w:pPr>
        <w:spacing w:line="360" w:lineRule="exact"/>
      </w:pPr>
    </w:p>
    <w:p w14:paraId="1A6C3693" w14:textId="77777777" w:rsidR="00D51CBF" w:rsidRDefault="00D51CBF">
      <w:pPr>
        <w:spacing w:line="360" w:lineRule="exact"/>
      </w:pPr>
    </w:p>
    <w:p w14:paraId="44765834" w14:textId="77777777" w:rsidR="00D51CBF" w:rsidRDefault="00D51CBF">
      <w:pPr>
        <w:spacing w:line="360" w:lineRule="exact"/>
      </w:pPr>
    </w:p>
    <w:p w14:paraId="0B22A294" w14:textId="77777777" w:rsidR="00D51CBF" w:rsidRDefault="00D51CBF">
      <w:pPr>
        <w:spacing w:line="360" w:lineRule="exact"/>
      </w:pPr>
    </w:p>
    <w:p w14:paraId="4AC3B985" w14:textId="77777777" w:rsidR="00D51CBF" w:rsidRDefault="00D51CBF">
      <w:pPr>
        <w:spacing w:line="360" w:lineRule="exact"/>
      </w:pPr>
    </w:p>
    <w:p w14:paraId="51B0EE2B" w14:textId="77777777" w:rsidR="00D51CBF" w:rsidRDefault="00D51CBF">
      <w:pPr>
        <w:spacing w:line="360" w:lineRule="exact"/>
      </w:pPr>
    </w:p>
    <w:p w14:paraId="0BADD312" w14:textId="77777777" w:rsidR="00D51CBF" w:rsidRDefault="00D51CBF">
      <w:pPr>
        <w:spacing w:line="360" w:lineRule="exact"/>
      </w:pPr>
    </w:p>
    <w:p w14:paraId="26871F26" w14:textId="77777777" w:rsidR="00D51CBF" w:rsidRDefault="00D51CBF">
      <w:pPr>
        <w:spacing w:line="360" w:lineRule="exact"/>
      </w:pPr>
    </w:p>
    <w:p w14:paraId="28C2C4D4" w14:textId="77777777" w:rsidR="00D51CBF" w:rsidRDefault="00D51CBF">
      <w:pPr>
        <w:spacing w:line="360" w:lineRule="exact"/>
      </w:pPr>
    </w:p>
    <w:p w14:paraId="5305D28E" w14:textId="77777777" w:rsidR="00D51CBF" w:rsidRDefault="00D51CBF">
      <w:pPr>
        <w:spacing w:line="360" w:lineRule="exact"/>
      </w:pPr>
    </w:p>
    <w:p w14:paraId="216B6DC0" w14:textId="77777777" w:rsidR="00D51CBF" w:rsidRDefault="00D51CBF">
      <w:pPr>
        <w:spacing w:line="360" w:lineRule="exact"/>
      </w:pPr>
    </w:p>
    <w:p w14:paraId="315E2243" w14:textId="77777777" w:rsidR="00D51CBF" w:rsidRDefault="00D51CBF">
      <w:pPr>
        <w:spacing w:line="640" w:lineRule="exact"/>
      </w:pPr>
    </w:p>
    <w:p w14:paraId="03553112" w14:textId="77777777" w:rsidR="00D51CBF" w:rsidRDefault="00D51CBF">
      <w:pPr>
        <w:rPr>
          <w:sz w:val="2"/>
          <w:szCs w:val="2"/>
        </w:rPr>
      </w:pPr>
    </w:p>
    <w:sectPr w:rsidR="00D51CBF">
      <w:pgSz w:w="11900" w:h="16840"/>
      <w:pgMar w:top="1421" w:right="1395" w:bottom="140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03E0" w14:textId="77777777" w:rsidR="00482392" w:rsidRDefault="00482392">
      <w:r>
        <w:separator/>
      </w:r>
    </w:p>
  </w:endnote>
  <w:endnote w:type="continuationSeparator" w:id="0">
    <w:p w14:paraId="0B64626E" w14:textId="77777777" w:rsidR="00482392" w:rsidRDefault="0048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4555" w14:textId="77777777" w:rsidR="00482392" w:rsidRDefault="00482392"/>
  </w:footnote>
  <w:footnote w:type="continuationSeparator" w:id="0">
    <w:p w14:paraId="3C034FD5" w14:textId="77777777" w:rsidR="00482392" w:rsidRDefault="004823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CBF"/>
    <w:rsid w:val="00482392"/>
    <w:rsid w:val="00A737A7"/>
    <w:rsid w:val="00D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2EAD4C"/>
  <w15:docId w15:val="{2758429B-995F-4DE2-B7EC-9EE9F18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5pt">
    <w:name w:val="Nagłówek #1 + 15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8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80" w:after="280"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2020-11-17T14:41:00Z</dcterms:created>
  <dcterms:modified xsi:type="dcterms:W3CDTF">2020-11-17T14:42:00Z</dcterms:modified>
</cp:coreProperties>
</file>